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Grace E. Falk; Eric J. Dobratz, MD; [RA co-authors — full names &amp; degrees to confirm: Chin, Deol, Gregg, Kim, Roesch, Walsh]; Tyler M. Muffly, MD; Cristina Cabrera-Muffly, MD</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436 (59.6%), with a median wait of 14 business days (IQR 5–30). Requested subspecialty was the dominant determinant: pediatric otolaryngology had higher odds of an offer (OR 2.29 (95% CI 1.09–4.80; p = 0.028)), and waits were longer for laryngology (IRR 2.24 (95% CI 1.13–4.41; p = 0.020)) and pediatric otolaryngology (IRR 1.62 (95% CI 1.11–2.38;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t xml:space="preserve">Cristina Cabrera-Muffly, MD; Department of Otolaryngology–Head and Neck Surgery, University of Colorado School of Medicine, Aurora, CO;</w:t>
      </w:r>
      <w:r>
        <w:t xml:space="preserve"> </w:t>
      </w:r>
      <w:r>
        <w:rPr>
          <w:i/>
          <w:iCs/>
        </w:rPr>
        <w:t xml:space="preserve">[address; email; telephone]</w:t>
      </w:r>
      <w:r>
        <w:t xml:space="preserve">.</w:t>
      </w:r>
    </w:p>
    <w:p>
      <w:pPr>
        <w:pStyle w:val="BodyText"/>
      </w:pPr>
      <w:r>
        <w:rPr>
          <w:b/>
          <w:bCs/>
        </w:rPr>
        <w:t xml:space="preserve">Affiliations:</w:t>
      </w:r>
      <w:r>
        <w:t xml:space="preserve"> </w:t>
      </w:r>
      <w:r>
        <w:t xml:space="preserve">Grace E. Falk, Old Dominion University / Eastern Virginia Medical School, Norfolk, VA. Eric J. Dobratz, Department of Otolaryngology–Head and Neck Surgery, Eastern Virginia Medical School at Old Dominion University, Norfolk, VA.</w:t>
      </w:r>
      <w:r>
        <w:t xml:space="preserve"> </w:t>
      </w:r>
      <w:r>
        <w:rPr>
          <w:i/>
          <w:iCs/>
        </w:rPr>
        <w:t xml:space="preserve">[Research-assistant co-authors — affiliations to confirm.]</w:t>
      </w:r>
      <w:r>
        <w:t xml:space="preserve"> </w:t>
      </w:r>
      <w:r>
        <w:t xml:space="preserve">Tyler M. Muffly, Denver Health and Hospital Authority, Denver, CO; Department of Obstetrics and Gynecology, University of Colorado School of Medicine, Aurora, CO. Cristina Cabrera-Muffly, Department of Otolaryngology–Head and Neck Surgery, University of Colorado School of Medicine, Aurora, CO.</w:t>
      </w:r>
    </w:p>
    <w:p>
      <w:pPr>
        <w:pStyle w:val="BodyText"/>
      </w:pPr>
      <w:r>
        <w:rPr>
          <w:i/>
          <w:iCs/>
        </w:rPr>
        <w:t xml:space="preserve">Word count: abstract ≈ 200; main text</w:t>
      </w:r>
      <w:r>
        <w:rPr>
          <w:i/>
          <w:iCs/>
        </w:rPr>
        <w:t xml:space="preserve"> </w:t>
      </w:r>
      <w:r>
        <w:t xml:space="preserve">[to finalize]</w:t>
      </w:r>
      <w:r>
        <w:rPr>
          <w:i/>
          <w:iCs/>
        </w:rPr>
        <w:t xml:space="preserve">. Tables: 2 main, 10 supplementary. Figures: 2 main, 7 supplementary.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 Script selection followed the physician’s fellowship training (subspecialty-specific script if fellowship-trained, otherwise the general otolaryngology script), and callers verified board certification and coded practice rurality before each call; the full pre-call procedure and the verbatim subspecialty scripts are provided in the Supplementary Appendix (</w:t>
      </w:r>
      <w:r>
        <w:rPr>
          <w:b/>
          <w:bCs/>
        </w:rPr>
        <w:t xml:space="preserve">Table S9</w:t>
      </w:r>
      <w:r>
        <w:t xml:space="preserve">).</w:t>
      </w:r>
      <w:r>
        <w:t xml:space="preserve"> </w:t>
      </w:r>
      <w:r>
        <w:rPr>
          <w:i/>
          <w:iCs/>
        </w:rPr>
        <w:t xml:space="preserve">[To confirm from the protocol: the number and timing of call attempts before a physician was recorded as unreachable, and caller-training procedures.]</w:t>
      </w:r>
      <w:r>
        <w:t xml:space="preserve"> </w:t>
      </w:r>
      <w:r>
        <w:t xml:space="preserve">The Human Subjects Protection Program at Old Dominion University (Macon &amp; Joan Brock Virginia Health Sciences / Eastern Virginia Medical School) determined that this project (IRB #24-12-NH-0285) does not involve human subjects research and is therefore not subject to IRB review; informed consent was not required. The covert measurement of clinician behavior has been debated—most publicly when a 2011 federally commissioned</w:t>
      </w:r>
      <w:r>
        <w:t xml:space="preserve"> </w:t>
      </w:r>
      <w:r>
        <w:t xml:space="preserve">“mystery shopper”</w:t>
      </w:r>
      <w:r>
        <w:t xml:space="preserve"> </w:t>
      </w:r>
      <w:r>
        <w:t xml:space="preserve">survey of primary-care access was shelved amid concern about deceiving physician practices</w:t>
      </w:r>
      <w:hyperlink w:anchor="ref-rhodes2011">
        <w:r>
          <w:rPr>
            <w:rStyle w:val="Hyperlink"/>
            <w:vertAlign w:val="superscript"/>
          </w:rPr>
          <w:t xml:space="preserve">5</w:t>
        </w:r>
      </w:hyperlink>
      <w:r>
        <w:rPr>
          <w:vertAlign w:val="superscript"/>
        </w:rPr>
        <w:t xml:space="preserve">,</w:t>
      </w:r>
      <w:hyperlink w:anchor="ref-blinkhorn2013">
        <w:r>
          <w:rPr>
            <w:rStyle w:val="Hyperlink"/>
            <w:vertAlign w:val="superscript"/>
          </w:rPr>
          <w:t xml:space="preserve">6</w:t>
        </w:r>
      </w:hyperlink>
      <w:r>
        <w:t xml:space="preserve">—but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7</w:t>
        </w:r>
      </w:hyperlink>
      <w:r>
        <w:t xml:space="preserve">. This study was designed to satisfy those conditions.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methods—for example, surveys of offices aware of being observed—would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8</w:t>
        </w:r>
      </w:hyperlink>
      <w:r>
        <w:rPr>
          <w:vertAlign w:val="superscript"/>
        </w:rPr>
        <w:t xml:space="preserve">,</w:t>
      </w:r>
      <w:hyperlink w:anchor="ref-hodson2025">
        <w:r>
          <w:rPr>
            <w:rStyle w:val="Hyperlink"/>
            <w:vertAlign w:val="superscript"/>
          </w:rPr>
          <w:t xml:space="preserve">9</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10</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11</w:t>
        </w:r>
      </w:hyperlink>
      <w:r>
        <w:t xml:space="preserve">.</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12</w:t>
        </w:r>
      </w:hyperlink>
      <w:r>
        <w:t xml:space="preserve">; the CDC/ATSDR Social Vulnerability Index (SVI, 2022, tract-level, population-weighted to the practice ZIP)</w:t>
      </w:r>
      <w:hyperlink w:anchor="ref-cdcsvi">
        <w:r>
          <w:rPr>
            <w:rStyle w:val="Hyperlink"/>
            <w:vertAlign w:val="superscript"/>
          </w:rPr>
          <w:t xml:space="preserve">13</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to adjust for operator-level differences in call handling.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16</w:t>
        </w:r>
      </w:hyperlink>
      <w:r>
        <w:t xml:space="preserve">,</w:t>
      </w:r>
      <w:r>
        <w:t xml:space="preserve"> </w:t>
      </w:r>
      <w:r>
        <w:rPr>
          <w:rStyle w:val="VerbatimChar"/>
        </w:rPr>
        <w:t xml:space="preserve">emmeans</w:t>
      </w:r>
      <w:hyperlink w:anchor="ref-emmeans">
        <w:r>
          <w:rPr>
            <w:rStyle w:val="Hyperlink"/>
            <w:vertAlign w:val="superscript"/>
          </w:rPr>
          <w:t xml:space="preserve">14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17</w:t>
        </w:r>
      </w:hyperlink>
      <w:r>
        <w:t xml:space="preserve"> </w:t>
      </w:r>
      <w:r>
        <w:t xml:space="preserve">and the simulated-patient–specific CRiSP/CRiSPHe reporting checklist</w:t>
      </w:r>
      <w:hyperlink w:anchor="ref-crisp2021">
        <w:r>
          <w:rPr>
            <w:rStyle w:val="Hyperlink"/>
            <w:vertAlign w:val="superscript"/>
          </w:rPr>
          <w:t xml:space="preserve">18</w:t>
        </w:r>
      </w:hyperlink>
      <w:r>
        <w:rPr>
          <w:vertAlign w:val="superscript"/>
        </w:rPr>
        <w:t xml:space="preserve">,</w:t>
      </w:r>
      <w:hyperlink w:anchor="ref-crisphe2024">
        <w:r>
          <w:rPr>
            <w:rStyle w:val="Hyperlink"/>
            <w:vertAlign w:val="superscript"/>
          </w:rPr>
          <w:t xml:space="preserve">19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20</w:t>
        </w:r>
      </w:hyperlink>
      <w:r>
        <w:rPr>
          <w:vertAlign w:val="superscript"/>
        </w:rPr>
        <w:t xml:space="preserve">,</w:t>
      </w:r>
      <w:hyperlink w:anchor="ref-saeedi2025">
        <w:r>
          <w:rPr>
            <w:rStyle w:val="Hyperlink"/>
            <w:vertAlign w:val="superscript"/>
          </w:rPr>
          <w:t xml:space="preserve">21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436 of 731 (59.6%);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436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295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18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2.29 (95% CI 1.09–4.80; p = 0.028)), while otology/neurotology trended lower (OR 0.58 (95% CI 0.27–1.25; p = 0.167)). No geographic covariate was associated with access: county ENT supply (OR 0.96 (95% CI 0.81–1.13; p = 0.617) per SD), the Medicaid fee index (OR 0.90 (95% CI 0.76–1.06; p = 0.191)), social vulnerability (OR 0.93 (95% CI 0.78–1.11; p = 0.425)), and dual-eligibility (OR 0.98 (95% CI 0.82–1.17; p = 0.816))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2.24 (95% CI 1.13–4.41; p = 0.020)) and pediatric otolaryngology (IRR 1.62 (95% CI 1.11–2.38; p = 0.013)). Anchored to the roughly two-week median wait for general otolaryngology (14 business days), these rate ratios correspond to a substantially longer typical wait—on the order of an additional two to three weeks for laryngology and about one to one-and-a-half weeks for pediatric otolaryngology—consistent with the observed subspecialty medians (Table S3).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(0.59–1.69)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 (0.36–1.90)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0.650</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1.80 (0.51–6.32)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0.357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 (0.27–1.25)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2.29 (1.09–4.80)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2.21 (0.75–6.50)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1.71 (0.56–5.21)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0.344</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0.617</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(0.76–1.06)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 (0.78–1.11)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(0.82–1.17)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0.816</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1.04 (0.73–1.49)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1.06 (0.74–1.52)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1.29 (0.74–2.26)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2.24 (1.13–4.41)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(0.72–2.41)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1.62 (1.11–2.38)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1.56 (0.90–2.68)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(0.64–2.30)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 (0.87–1.12)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0.832</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1.19 (0.92–1.53)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intermediate steps of the access pathway (</w:t>
      </w:r>
      <w:r>
        <w:rPr>
          <w:b/>
          <w:bCs/>
        </w:rPr>
        <w:t xml:space="preserve">Table S10</w:t>
      </w:r>
      <w:r>
        <w:t xml:space="preserve">,</w:t>
      </w:r>
      <w:r>
        <w:t xml:space="preserve"> </w:t>
      </w:r>
      <w:r>
        <w:rPr>
          <w:b/>
          <w:bCs/>
        </w:rPr>
        <w:t xml:space="preserve">Figure S7</w:t>
      </w:r>
      <w:r>
        <w:t xml:space="preserve">). Of the 731 analytic calls, a live office was reached in 569 (78%); the practice was accepting new patients in 432 (59%); and an appointment was offered in 436 (60%). Critically, only 370 calls (51%) yielded an appointment</w:t>
      </w:r>
      <w:r>
        <w:t xml:space="preserve"> </w:t>
      </w:r>
      <w:r>
        <w:rPr>
          <w:b/>
          <w:bCs/>
        </w:rPr>
        <w:t xml:space="preserve">with the specific board-certified otolaryngologist requested</w:t>
      </w:r>
      <w:r>
        <w:t xml:space="preserve">: among the 436 offers, 58 (13%) were with a different physician and 9 with an advanced practice provider only.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(104)—a signal that provider directories overstate the reachable workforce.</w:t>
      </w:r>
    </w:p>
    <w:bookmarkEnd w:id="31"/>
    <w:bookmarkStart w:id="32" w:name="robustness-and-missing-data"/>
    <w:p>
      <w:pPr>
        <w:pStyle w:val="Heading3"/>
      </w:pPr>
      <w:r>
        <w:t xml:space="preserve">Robustness and missing data</w:t>
      </w:r>
    </w:p>
    <w:p>
      <w:pPr>
        <w:pStyle w:val="FirstParagraph"/>
      </w:pPr>
      <w:r>
        <w:t xml:space="preserve">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 The main findings were stable across two sensitivity analyses (</w:t>
      </w:r>
      <w:r>
        <w:rPr>
          <w:b/>
          <w:bCs/>
        </w:rPr>
        <w:t xml:space="preserve">Table S8</w:t>
      </w:r>
      <w:r>
        <w:t xml:space="preserve">). Under a three-level rurality specification (urban, RUCA 1–3; suburban, 4–6; rural, 7–10), no urban-to-rural gradient emerged—neither suburban (wait IRR 1.15) nor the sparse rural stratum (IRR 1.29) differed significantly from urban—while the subspecialty effects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 This parallels an emerging pattern in other access studies, in which disparities track the</w:t>
      </w:r>
      <w:r>
        <w:t xml:space="preserve"> </w:t>
      </w:r>
      <w:r>
        <w:rPr>
          <w:i/>
          <w:iCs/>
        </w:rPr>
        <w:t xml:space="preserve">type of practice</w:t>
      </w:r>
      <w:r>
        <w:t xml:space="preserve"> </w:t>
      </w:r>
      <w:r>
        <w:t xml:space="preserve">a patient reaches rather than whether that practice is urban or rural: rural populations may face barriers less because they are rural than because they are more likely to reach practices with different acceptance behavior. Framed this way, the relevant unit for intervention is the practice and the clinical request, not the community.</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(426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22</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22</w:t>
        </w:r>
      </w:hyperlink>
      <w:r>
        <w:t xml:space="preserve">. Third, our secondary measures hint at an information-quality dimension we did not fully model—whether front-desk statements (that a practice does not see a complaint, or that a physician is unavailable) are accurate—which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23</w:t>
        </w:r>
      </w:hyperlink>
      <w:r>
        <w:t xml:space="preserve">. Comparing publicly listed directory or website information against phone-obtained access would quantify this gap directly</w:t>
      </w:r>
      <w:hyperlink w:anchor="ref-hodson2025">
        <w:r>
          <w:rPr>
            <w:rStyle w:val="Hyperlink"/>
            <w:vertAlign w:val="superscript"/>
          </w:rPr>
          <w:t xml:space="preserve">9</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presentations—head-and-neck cancer red flags, for instance—is an access-quality axis beyond the offer and wait we measured</w:t>
      </w:r>
      <w:hyperlink w:anchor="ref-moriarty2003">
        <w:r>
          <w:rPr>
            <w:rStyle w:val="Hyperlink"/>
            <w:vertAlign w:val="superscript"/>
          </w:rPr>
          <w:t xml:space="preserve">8</w:t>
        </w:r>
      </w:hyperlink>
      <w:r>
        <w:t xml:space="preserv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b/>
          <w:bCs/>
        </w:rPr>
        <w:t xml:space="preserve">Grace E. Falk:</w:t>
      </w:r>
      <w:r>
        <w:t xml:space="preserve"> </w:t>
      </w:r>
      <w:r>
        <w:t xml:space="preserve">Investigation, Data curation, Project administration, Writing – original draft.</w:t>
      </w:r>
      <w:r>
        <w:t xml:space="preserve"> </w:t>
      </w:r>
      <w:r>
        <w:rPr>
          <w:b/>
          <w:bCs/>
        </w:rPr>
        <w:t xml:space="preserve">Eric J. Dobratz:</w:t>
      </w:r>
      <w:r>
        <w:t xml:space="preserve"> </w:t>
      </w:r>
      <w:r>
        <w:t xml:space="preserve">Conceptualization, Supervision, Resources, Project administration, Writing – review &amp; editing.</w:t>
      </w:r>
      <w:r>
        <w:t xml:space="preserve"> </w:t>
      </w:r>
      <w:r>
        <w:rPr>
          <w:b/>
          <w:bCs/>
        </w:rPr>
        <w:t xml:space="preserve">[Research-assistant co-authors: Chin, Deol, Gregg, Kim, Roesch, Walsh]:</w:t>
      </w:r>
      <w:r>
        <w:t xml:space="preserve"> </w:t>
      </w:r>
      <w:r>
        <w:t xml:space="preserve">Investigation (mystery-caller data collection).</w:t>
      </w:r>
      <w:r>
        <w:t xml:space="preserve"> </w:t>
      </w:r>
      <w:r>
        <w:rPr>
          <w:b/>
          <w:bCs/>
        </w:rPr>
        <w:t xml:space="preserve">Tyler M. Muffly:</w:t>
      </w:r>
      <w:r>
        <w:t xml:space="preserve"> </w:t>
      </w:r>
      <w:r>
        <w:t xml:space="preserve">Conceptualization, Methodology, Formal analysis, Software, Writing – review &amp; editing.</w:t>
      </w:r>
      <w:r>
        <w:t xml:space="preserve"> </w:t>
      </w:r>
      <w:r>
        <w:rPr>
          <w:b/>
          <w:bCs/>
        </w:rPr>
        <w:t xml:space="preserve">Cristina Cabrera-Muffly:</w:t>
      </w:r>
      <w:r>
        <w:t xml:space="preserve"> </w:t>
      </w:r>
      <w:r>
        <w:t xml:space="preserve">Conceptualization, Supervision,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bookmarkStart w:id="46"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-0.238</w:t>
            </w:r>
          </w:p>
        </w:tc>
        <w:tc>
          <w:tcPr/>
          <w:p>
            <w:pPr>
              <w:pStyle w:val="Compact"/>
              <w:jc w:val="right"/>
            </w:pPr>
            <w:r>
              <w:t xml:space="preserve">0.191</w:t>
            </w:r>
          </w:p>
        </w:tc>
        <w:tc>
          <w:tcPr/>
          <w:p>
            <w:pPr>
              <w:pStyle w:val="Compact"/>
              <w:jc w:val="right"/>
            </w:pPr>
            <w:r>
              <w:t xml:space="preserve">-1.250</w:t>
            </w:r>
          </w:p>
        </w:tc>
        <w:tc>
          <w:tcPr/>
          <w:p>
            <w:pPr>
              <w:pStyle w:val="Compact"/>
              <w:jc w:val="right"/>
            </w:pPr>
            <w:r>
              <w:t xml:space="preserve">0.211</w:t>
            </w:r>
          </w:p>
        </w:tc>
        <w:tc>
          <w:tcPr/>
          <w:p>
            <w:pPr>
              <w:pStyle w:val="Compact"/>
              <w:jc w:val="left"/>
            </w:pPr>
            <w:r>
              <w:t xml:space="preserve">0.211</w:t>
            </w:r>
          </w:p>
        </w:tc>
        <w:tc>
          <w:tcPr/>
          <w:p>
            <w:pPr>
              <w:pStyle w:val="Compact"/>
              <w:jc w:val="right"/>
            </w:pPr>
            <w:r>
              <w:t xml:space="preserve">0.788</w:t>
            </w:r>
          </w:p>
        </w:tc>
        <w:tc>
          <w:tcPr/>
          <w:p>
            <w:pPr>
              <w:pStyle w:val="Compact"/>
              <w:jc w:val="right"/>
            </w:pPr>
            <w:r>
              <w:t xml:space="preserve">0.542</w:t>
            </w:r>
          </w:p>
        </w:tc>
        <w:tc>
          <w:tcPr/>
          <w:p>
            <w:pPr>
              <w:pStyle w:val="Compact"/>
              <w:jc w:val="right"/>
            </w:pPr>
            <w:r>
              <w:t xml:space="preserve">1.145</w:t>
            </w:r>
          </w:p>
        </w:tc>
      </w:tr>
      <w:tr>
        <w:tc>
          <w:tcPr/>
          <w:p>
            <w:pPr>
              <w:pStyle w:val="Compact"/>
              <w:jc w:val="left"/>
            </w:pPr>
            <w:r>
              <w:t xml:space="preserve">Facial plastic surgery</w:t>
            </w:r>
          </w:p>
        </w:tc>
        <w:tc>
          <w:tcPr/>
          <w:p>
            <w:pPr>
              <w:pStyle w:val="Compact"/>
              <w:jc w:val="right"/>
            </w:pPr>
            <w:r>
              <w:t xml:space="preserve">0.002</w:t>
            </w:r>
          </w:p>
        </w:tc>
        <w:tc>
          <w:tcPr/>
          <w:p>
            <w:pPr>
              <w:pStyle w:val="Compact"/>
              <w:jc w:val="right"/>
            </w:pPr>
            <w:r>
              <w:t xml:space="preserve">0.268</w:t>
            </w:r>
          </w:p>
        </w:tc>
        <w:tc>
          <w:tcPr/>
          <w:p>
            <w:pPr>
              <w:pStyle w:val="Compact"/>
              <w:jc w:val="right"/>
            </w:pPr>
            <w:r>
              <w:t xml:space="preserve">0.007</w:t>
            </w:r>
          </w:p>
        </w:tc>
        <w:tc>
          <w:tcPr/>
          <w:p>
            <w:pPr>
              <w:pStyle w:val="Compact"/>
              <w:jc w:val="right"/>
            </w:pPr>
            <w:r>
              <w:t xml:space="preserve">0.995</w:t>
            </w:r>
          </w:p>
        </w:tc>
        <w:tc>
          <w:tcPr/>
          <w:p>
            <w:pPr>
              <w:pStyle w:val="Compact"/>
              <w:jc w:val="left"/>
            </w:pPr>
            <w:r>
              <w:t xml:space="preserve">0.995</w:t>
            </w:r>
          </w:p>
        </w:tc>
        <w:tc>
          <w:tcPr/>
          <w:p>
            <w:pPr>
              <w:pStyle w:val="Compact"/>
              <w:jc w:val="right"/>
            </w:pPr>
            <w:r>
              <w:t xml:space="preserve">1.002</w:t>
            </w:r>
          </w:p>
        </w:tc>
        <w:tc>
          <w:tcPr/>
          <w:p>
            <w:pPr>
              <w:pStyle w:val="Compact"/>
              <w:jc w:val="right"/>
            </w:pPr>
            <w:r>
              <w:t xml:space="preserve">0.593</w:t>
            </w:r>
          </w:p>
        </w:tc>
        <w:tc>
          <w:tcPr/>
          <w:p>
            <w:pPr>
              <w:pStyle w:val="Compact"/>
              <w:jc w:val="right"/>
            </w:pPr>
            <w:r>
              <w:t xml:space="preserve">1.693</w:t>
            </w:r>
          </w:p>
        </w:tc>
      </w:tr>
      <w:tr>
        <w:tc>
          <w:tcPr/>
          <w:p>
            <w:pPr>
              <w:pStyle w:val="Compact"/>
              <w:jc w:val="left"/>
            </w:pPr>
            <w:r>
              <w:t xml:space="preserve">Head and neck oncology</w:t>
            </w:r>
          </w:p>
        </w:tc>
        <w:tc>
          <w:tcPr/>
          <w:p>
            <w:pPr>
              <w:pStyle w:val="Compact"/>
              <w:jc w:val="right"/>
            </w:pPr>
            <w:r>
              <w:t xml:space="preserve">-0.194</w:t>
            </w:r>
          </w:p>
        </w:tc>
        <w:tc>
          <w:tcPr/>
          <w:p>
            <w:pPr>
              <w:pStyle w:val="Compact"/>
              <w:jc w:val="right"/>
            </w:pPr>
            <w:r>
              <w:t xml:space="preserve">0.427</w:t>
            </w:r>
          </w:p>
        </w:tc>
        <w:tc>
          <w:tcPr/>
          <w:p>
            <w:pPr>
              <w:pStyle w:val="Compact"/>
              <w:jc w:val="right"/>
            </w:pPr>
            <w:r>
              <w:t xml:space="preserve">-0.454</w:t>
            </w:r>
          </w:p>
        </w:tc>
        <w:tc>
          <w:tcPr/>
          <w:p>
            <w:pPr>
              <w:pStyle w:val="Compact"/>
              <w:jc w:val="right"/>
            </w:pPr>
            <w:r>
              <w:t xml:space="preserve">0.650</w:t>
            </w:r>
          </w:p>
        </w:tc>
        <w:tc>
          <w:tcPr/>
          <w:p>
            <w:pPr>
              <w:pStyle w:val="Compact"/>
              <w:jc w:val="left"/>
            </w:pPr>
            <w:r>
              <w:t xml:space="preserve">0.650</w:t>
            </w:r>
          </w:p>
        </w:tc>
        <w:tc>
          <w:tcPr/>
          <w:p>
            <w:pPr>
              <w:pStyle w:val="Compact"/>
              <w:jc w:val="right"/>
            </w:pPr>
            <w:r>
              <w:t xml:space="preserve">0.824</w:t>
            </w:r>
          </w:p>
        </w:tc>
        <w:tc>
          <w:tcPr/>
          <w:p>
            <w:pPr>
              <w:pStyle w:val="Compact"/>
              <w:jc w:val="right"/>
            </w:pPr>
            <w:r>
              <w:t xml:space="preserve">0.357</w:t>
            </w:r>
          </w:p>
        </w:tc>
        <w:tc>
          <w:tcPr/>
          <w:p>
            <w:pPr>
              <w:pStyle w:val="Compact"/>
              <w:jc w:val="right"/>
            </w:pPr>
            <w:r>
              <w:t xml:space="preserve">1.902</w:t>
            </w:r>
          </w:p>
        </w:tc>
      </w:tr>
      <w:tr>
        <w:tc>
          <w:tcPr/>
          <w:p>
            <w:pPr>
              <w:pStyle w:val="Compact"/>
              <w:jc w:val="left"/>
            </w:pPr>
            <w:r>
              <w:t xml:space="preserve">Laryngology</w:t>
            </w:r>
          </w:p>
        </w:tc>
        <w:tc>
          <w:tcPr/>
          <w:p>
            <w:pPr>
              <w:pStyle w:val="Compact"/>
              <w:jc w:val="right"/>
            </w:pPr>
            <w:r>
              <w:t xml:space="preserve">0.590</w:t>
            </w:r>
          </w:p>
        </w:tc>
        <w:tc>
          <w:tcPr/>
          <w:p>
            <w:pPr>
              <w:pStyle w:val="Compact"/>
              <w:jc w:val="right"/>
            </w:pPr>
            <w:r>
              <w:t xml:space="preserve">0.640</w:t>
            </w:r>
          </w:p>
        </w:tc>
        <w:tc>
          <w:tcPr/>
          <w:p>
            <w:pPr>
              <w:pStyle w:val="Compact"/>
              <w:jc w:val="right"/>
            </w:pPr>
            <w:r>
              <w:t xml:space="preserve">0.921</w:t>
            </w:r>
          </w:p>
        </w:tc>
        <w:tc>
          <w:tcPr/>
          <w:p>
            <w:pPr>
              <w:pStyle w:val="Compact"/>
              <w:jc w:val="right"/>
            </w:pPr>
            <w:r>
              <w:t xml:space="preserve">0.357</w:t>
            </w:r>
          </w:p>
        </w:tc>
        <w:tc>
          <w:tcPr/>
          <w:p>
            <w:pPr>
              <w:pStyle w:val="Compact"/>
              <w:jc w:val="left"/>
            </w:pPr>
            <w:r>
              <w:t xml:space="preserve">0.357</w:t>
            </w:r>
          </w:p>
        </w:tc>
        <w:tc>
          <w:tcPr/>
          <w:p>
            <w:pPr>
              <w:pStyle w:val="Compact"/>
              <w:jc w:val="right"/>
            </w:pPr>
            <w:r>
              <w:t xml:space="preserve">1.803</w:t>
            </w:r>
          </w:p>
        </w:tc>
        <w:tc>
          <w:tcPr/>
          <w:p>
            <w:pPr>
              <w:pStyle w:val="Compact"/>
              <w:jc w:val="right"/>
            </w:pPr>
            <w:r>
              <w:t xml:space="preserve">0.514</w:t>
            </w:r>
          </w:p>
        </w:tc>
        <w:tc>
          <w:tcPr/>
          <w:p>
            <w:pPr>
              <w:pStyle w:val="Compact"/>
              <w:jc w:val="right"/>
            </w:pPr>
            <w:r>
              <w:t xml:space="preserve">6.322</w:t>
            </w:r>
          </w:p>
        </w:tc>
      </w:tr>
      <w:tr>
        <w:tc>
          <w:tcPr/>
          <w:p>
            <w:pPr>
              <w:pStyle w:val="Compact"/>
              <w:jc w:val="left"/>
            </w:pPr>
            <w:r>
              <w:t xml:space="preserve">Otology/neurotology</w:t>
            </w:r>
          </w:p>
        </w:tc>
        <w:tc>
          <w:tcPr/>
          <w:p>
            <w:pPr>
              <w:pStyle w:val="Compact"/>
              <w:jc w:val="right"/>
            </w:pPr>
            <w:r>
              <w:t xml:space="preserve">-0.544</w:t>
            </w:r>
          </w:p>
        </w:tc>
        <w:tc>
          <w:tcPr/>
          <w:p>
            <w:pPr>
              <w:pStyle w:val="Compact"/>
              <w:jc w:val="right"/>
            </w:pPr>
            <w:r>
              <w:t xml:space="preserve">0.393</w:t>
            </w:r>
          </w:p>
        </w:tc>
        <w:tc>
          <w:tcPr/>
          <w:p>
            <w:pPr>
              <w:pStyle w:val="Compact"/>
              <w:jc w:val="right"/>
            </w:pPr>
            <w:r>
              <w:t xml:space="preserve">-1.383</w:t>
            </w:r>
          </w:p>
        </w:tc>
        <w:tc>
          <w:tcPr/>
          <w:p>
            <w:pPr>
              <w:pStyle w:val="Compact"/>
              <w:jc w:val="right"/>
            </w:pPr>
            <w:r>
              <w:t xml:space="preserve">0.167</w:t>
            </w:r>
          </w:p>
        </w:tc>
        <w:tc>
          <w:tcPr/>
          <w:p>
            <w:pPr>
              <w:pStyle w:val="Compact"/>
              <w:jc w:val="left"/>
            </w:pPr>
            <w:r>
              <w:t xml:space="preserve">0.167</w:t>
            </w:r>
          </w:p>
        </w:tc>
        <w:tc>
          <w:tcPr/>
          <w:p>
            <w:pPr>
              <w:pStyle w:val="Compact"/>
              <w:jc w:val="right"/>
            </w:pPr>
            <w:r>
              <w:t xml:space="preserve">0.580</w:t>
            </w:r>
          </w:p>
        </w:tc>
        <w:tc>
          <w:tcPr/>
          <w:p>
            <w:pPr>
              <w:pStyle w:val="Compact"/>
              <w:jc w:val="right"/>
            </w:pPr>
            <w:r>
              <w:t xml:space="preserve">0.268</w:t>
            </w:r>
          </w:p>
        </w:tc>
        <w:tc>
          <w:tcPr/>
          <w:p>
            <w:pPr>
              <w:pStyle w:val="Compact"/>
              <w:jc w:val="right"/>
            </w:pPr>
            <w:r>
              <w:t xml:space="preserve">1.255</w:t>
            </w:r>
          </w:p>
        </w:tc>
      </w:tr>
      <w:tr>
        <w:tc>
          <w:tcPr/>
          <w:p>
            <w:pPr>
              <w:pStyle w:val="Compact"/>
              <w:jc w:val="left"/>
            </w:pPr>
            <w:r>
              <w:t xml:space="preserve">Pediatric otolaryngology</w:t>
            </w:r>
          </w:p>
        </w:tc>
        <w:tc>
          <w:tcPr/>
          <w:p>
            <w:pPr>
              <w:pStyle w:val="Compact"/>
              <w:jc w:val="right"/>
            </w:pPr>
            <w:r>
              <w:t xml:space="preserve">0.829</w:t>
            </w:r>
          </w:p>
        </w:tc>
        <w:tc>
          <w:tcPr/>
          <w:p>
            <w:pPr>
              <w:pStyle w:val="Compact"/>
              <w:jc w:val="right"/>
            </w:pPr>
            <w:r>
              <w:t xml:space="preserve">0.378</w:t>
            </w:r>
          </w:p>
        </w:tc>
        <w:tc>
          <w:tcPr/>
          <w:p>
            <w:pPr>
              <w:pStyle w:val="Compact"/>
              <w:jc w:val="right"/>
            </w:pPr>
            <w:r>
              <w:t xml:space="preserve">2.194</w:t>
            </w:r>
          </w:p>
        </w:tc>
        <w:tc>
          <w:tcPr/>
          <w:p>
            <w:pPr>
              <w:pStyle w:val="Compact"/>
              <w:jc w:val="right"/>
            </w:pPr>
            <w:r>
              <w:t xml:space="preserve">0.028</w:t>
            </w:r>
          </w:p>
        </w:tc>
        <w:tc>
          <w:tcPr/>
          <w:p>
            <w:pPr>
              <w:pStyle w:val="Compact"/>
              <w:jc w:val="left"/>
            </w:pPr>
            <w:r>
              <w:t xml:space="preserve">0.028</w:t>
            </w:r>
          </w:p>
        </w:tc>
        <w:tc>
          <w:tcPr/>
          <w:p>
            <w:pPr>
              <w:pStyle w:val="Compact"/>
              <w:jc w:val="right"/>
            </w:pPr>
            <w:r>
              <w:t xml:space="preserve">2.291</w:t>
            </w:r>
          </w:p>
        </w:tc>
        <w:tc>
          <w:tcPr/>
          <w:p>
            <w:pPr>
              <w:pStyle w:val="Compact"/>
              <w:jc w:val="right"/>
            </w:pPr>
            <w:r>
              <w:t xml:space="preserve">1.093</w:t>
            </w:r>
          </w:p>
        </w:tc>
        <w:tc>
          <w:tcPr/>
          <w:p>
            <w:pPr>
              <w:pStyle w:val="Compact"/>
              <w:jc w:val="right"/>
            </w:pPr>
            <w:r>
              <w:t xml:space="preserve">4.804</w:t>
            </w:r>
          </w:p>
        </w:tc>
      </w:tr>
      <w:tr>
        <w:tc>
          <w:tcPr/>
          <w:p>
            <w:pPr>
              <w:pStyle w:val="Compact"/>
              <w:jc w:val="left"/>
            </w:pPr>
            <w:r>
              <w:t xml:space="preserve">Rhinology</w:t>
            </w:r>
          </w:p>
        </w:tc>
        <w:tc>
          <w:tcPr/>
          <w:p>
            <w:pPr>
              <w:pStyle w:val="Compact"/>
              <w:jc w:val="right"/>
            </w:pPr>
            <w:r>
              <w:t xml:space="preserve">0.792</w:t>
            </w:r>
          </w:p>
        </w:tc>
        <w:tc>
          <w:tcPr/>
          <w:p>
            <w:pPr>
              <w:pStyle w:val="Compact"/>
              <w:jc w:val="right"/>
            </w:pPr>
            <w:r>
              <w:t xml:space="preserve">0.551</w:t>
            </w:r>
          </w:p>
        </w:tc>
        <w:tc>
          <w:tcPr/>
          <w:p>
            <w:pPr>
              <w:pStyle w:val="Compact"/>
              <w:jc w:val="right"/>
            </w:pPr>
            <w:r>
              <w:t xml:space="preserve">1.437</w:t>
            </w:r>
          </w:p>
        </w:tc>
        <w:tc>
          <w:tcPr/>
          <w:p>
            <w:pPr>
              <w:pStyle w:val="Compact"/>
              <w:jc w:val="right"/>
            </w:pPr>
            <w:r>
              <w:t xml:space="preserve">0.151</w:t>
            </w:r>
          </w:p>
        </w:tc>
        <w:tc>
          <w:tcPr/>
          <w:p>
            <w:pPr>
              <w:pStyle w:val="Compact"/>
              <w:jc w:val="left"/>
            </w:pPr>
            <w:r>
              <w:t xml:space="preserve">0.151</w:t>
            </w:r>
          </w:p>
        </w:tc>
        <w:tc>
          <w:tcPr/>
          <w:p>
            <w:pPr>
              <w:pStyle w:val="Compact"/>
              <w:jc w:val="right"/>
            </w:pPr>
            <w:r>
              <w:t xml:space="preserve">2.208</w:t>
            </w:r>
          </w:p>
        </w:tc>
        <w:tc>
          <w:tcPr/>
          <w:p>
            <w:pPr>
              <w:pStyle w:val="Compact"/>
              <w:jc w:val="right"/>
            </w:pPr>
            <w:r>
              <w:t xml:space="preserve">0.750</w:t>
            </w:r>
          </w:p>
        </w:tc>
        <w:tc>
          <w:tcPr/>
          <w:p>
            <w:pPr>
              <w:pStyle w:val="Compact"/>
              <w:jc w:val="right"/>
            </w:pPr>
            <w:r>
              <w:t xml:space="preserve">6.503</w:t>
            </w:r>
          </w:p>
        </w:tc>
      </w:tr>
      <w:tr>
        <w:tc>
          <w:tcPr/>
          <w:p>
            <w:pPr>
              <w:pStyle w:val="Compact"/>
              <w:jc w:val="left"/>
            </w:pPr>
            <w:r>
              <w:t xml:space="preserve">Sleep medicine</w:t>
            </w:r>
          </w:p>
        </w:tc>
        <w:tc>
          <w:tcPr/>
          <w:p>
            <w:pPr>
              <w:pStyle w:val="Compact"/>
              <w:jc w:val="right"/>
            </w:pPr>
            <w:r>
              <w:t xml:space="preserve">0.538</w:t>
            </w:r>
          </w:p>
        </w:tc>
        <w:tc>
          <w:tcPr/>
          <w:p>
            <w:pPr>
              <w:pStyle w:val="Compact"/>
              <w:jc w:val="right"/>
            </w:pPr>
            <w:r>
              <w:t xml:space="preserve">0.568</w:t>
            </w:r>
          </w:p>
        </w:tc>
        <w:tc>
          <w:tcPr/>
          <w:p>
            <w:pPr>
              <w:pStyle w:val="Compact"/>
              <w:jc w:val="right"/>
            </w:pPr>
            <w:r>
              <w:t xml:space="preserve">0.947</w:t>
            </w:r>
          </w:p>
        </w:tc>
        <w:tc>
          <w:tcPr/>
          <w:p>
            <w:pPr>
              <w:pStyle w:val="Compact"/>
              <w:jc w:val="right"/>
            </w:pPr>
            <w:r>
              <w:t xml:space="preserve">0.344</w:t>
            </w:r>
          </w:p>
        </w:tc>
        <w:tc>
          <w:tcPr/>
          <w:p>
            <w:pPr>
              <w:pStyle w:val="Compact"/>
              <w:jc w:val="left"/>
            </w:pPr>
            <w:r>
              <w:t xml:space="preserve">0.344</w:t>
            </w:r>
          </w:p>
        </w:tc>
        <w:tc>
          <w:tcPr/>
          <w:p>
            <w:pPr>
              <w:pStyle w:val="Compact"/>
              <w:jc w:val="right"/>
            </w:pPr>
            <w:r>
              <w:t xml:space="preserve">1.712</w:t>
            </w:r>
          </w:p>
        </w:tc>
        <w:tc>
          <w:tcPr/>
          <w:p>
            <w:pPr>
              <w:pStyle w:val="Compact"/>
              <w:jc w:val="right"/>
            </w:pPr>
            <w:r>
              <w:t xml:space="preserve">0.562</w:t>
            </w:r>
          </w:p>
        </w:tc>
        <w:tc>
          <w:tcPr/>
          <w:p>
            <w:pPr>
              <w:pStyle w:val="Compact"/>
              <w:jc w:val="right"/>
            </w:pPr>
            <w:r>
              <w:t xml:space="preserve">5.210</w:t>
            </w:r>
          </w:p>
        </w:tc>
      </w:tr>
      <w:tr>
        <w:tc>
          <w:tcPr/>
          <w:p>
            <w:pPr>
              <w:pStyle w:val="Compact"/>
              <w:jc w:val="left"/>
            </w:pPr>
            <w:r>
              <w:t xml:space="preserve">Otolaryngologist density (per SD)</w:t>
            </w:r>
          </w:p>
        </w:tc>
        <w:tc>
          <w:tcPr/>
          <w:p>
            <w:pPr>
              <w:pStyle w:val="Compact"/>
              <w:jc w:val="right"/>
            </w:pPr>
            <w:r>
              <w:t xml:space="preserve">-0.042</w:t>
            </w:r>
          </w:p>
        </w:tc>
        <w:tc>
          <w:tcPr/>
          <w:p>
            <w:pPr>
              <w:pStyle w:val="Compact"/>
              <w:jc w:val="right"/>
            </w:pPr>
            <w:r>
              <w:t xml:space="preserve">0.084</w:t>
            </w:r>
          </w:p>
        </w:tc>
        <w:tc>
          <w:tcPr/>
          <w:p>
            <w:pPr>
              <w:pStyle w:val="Compact"/>
              <w:jc w:val="right"/>
            </w:pPr>
            <w:r>
              <w:t xml:space="preserve">-0.500</w:t>
            </w:r>
          </w:p>
        </w:tc>
        <w:tc>
          <w:tcPr/>
          <w:p>
            <w:pPr>
              <w:pStyle w:val="Compact"/>
              <w:jc w:val="right"/>
            </w:pPr>
            <w:r>
              <w:t xml:space="preserve">0.617</w:t>
            </w:r>
          </w:p>
        </w:tc>
        <w:tc>
          <w:tcPr/>
          <w:p>
            <w:pPr>
              <w:pStyle w:val="Compact"/>
              <w:jc w:val="left"/>
            </w:pPr>
            <w:r>
              <w:t xml:space="preserve">0.617</w:t>
            </w:r>
          </w:p>
        </w:tc>
        <w:tc>
          <w:tcPr/>
          <w:p>
            <w:pPr>
              <w:pStyle w:val="Compact"/>
              <w:jc w:val="right"/>
            </w:pPr>
            <w:r>
              <w:t xml:space="preserve">0.959</w:t>
            </w:r>
          </w:p>
        </w:tc>
        <w:tc>
          <w:tcPr/>
          <w:p>
            <w:pPr>
              <w:pStyle w:val="Compact"/>
              <w:jc w:val="right"/>
            </w:pPr>
            <w:r>
              <w:t xml:space="preserve">0.813</w:t>
            </w:r>
          </w:p>
        </w:tc>
        <w:tc>
          <w:tcPr/>
          <w:p>
            <w:pPr>
              <w:pStyle w:val="Compact"/>
              <w:jc w:val="right"/>
            </w:pPr>
            <w:r>
              <w:t xml:space="preserve">1.131</w:t>
            </w:r>
          </w:p>
        </w:tc>
      </w:tr>
      <w:tr>
        <w:tc>
          <w:tcPr/>
          <w:p>
            <w:pPr>
              <w:pStyle w:val="Compact"/>
              <w:jc w:val="left"/>
            </w:pPr>
            <w:r>
              <w:t xml:space="preserve">Medicaid fee index (per SD)</w:t>
            </w:r>
          </w:p>
        </w:tc>
        <w:tc>
          <w:tcPr/>
          <w:p>
            <w:pPr>
              <w:pStyle w:val="Compact"/>
              <w:jc w:val="right"/>
            </w:pPr>
            <w:r>
              <w:t xml:space="preserve">-0.109</w:t>
            </w:r>
          </w:p>
        </w:tc>
        <w:tc>
          <w:tcPr/>
          <w:p>
            <w:pPr>
              <w:pStyle w:val="Compact"/>
              <w:jc w:val="right"/>
            </w:pPr>
            <w:r>
              <w:t xml:space="preserve">0.083</w:t>
            </w:r>
          </w:p>
        </w:tc>
        <w:tc>
          <w:tcPr/>
          <w:p>
            <w:pPr>
              <w:pStyle w:val="Compact"/>
              <w:jc w:val="right"/>
            </w:pPr>
            <w:r>
              <w:t xml:space="preserve">-1.308</w:t>
            </w:r>
          </w:p>
        </w:tc>
        <w:tc>
          <w:tcPr/>
          <w:p>
            <w:pPr>
              <w:pStyle w:val="Compact"/>
              <w:jc w:val="right"/>
            </w:pPr>
            <w:r>
              <w:t xml:space="preserve">0.191</w:t>
            </w:r>
          </w:p>
        </w:tc>
        <w:tc>
          <w:tcPr/>
          <w:p>
            <w:pPr>
              <w:pStyle w:val="Compact"/>
              <w:jc w:val="left"/>
            </w:pPr>
            <w:r>
              <w:t xml:space="preserve">0.191</w:t>
            </w:r>
          </w:p>
        </w:tc>
        <w:tc>
          <w:tcPr/>
          <w:p>
            <w:pPr>
              <w:pStyle w:val="Compact"/>
              <w:jc w:val="right"/>
            </w:pPr>
            <w:r>
              <w:t xml:space="preserve">0.897</w:t>
            </w:r>
          </w:p>
        </w:tc>
        <w:tc>
          <w:tcPr/>
          <w:p>
            <w:pPr>
              <w:pStyle w:val="Compact"/>
              <w:jc w:val="right"/>
            </w:pPr>
            <w:r>
              <w:t xml:space="preserve">0.762</w:t>
            </w:r>
          </w:p>
        </w:tc>
        <w:tc>
          <w:tcPr/>
          <w:p>
            <w:pPr>
              <w:pStyle w:val="Compact"/>
              <w:jc w:val="right"/>
            </w:pPr>
            <w:r>
              <w:t xml:space="preserve">1.056</w:t>
            </w:r>
          </w:p>
        </w:tc>
      </w:tr>
      <w:tr>
        <w:tc>
          <w:tcPr/>
          <w:p>
            <w:pPr>
              <w:pStyle w:val="Compact"/>
              <w:jc w:val="left"/>
            </w:pPr>
            <w:r>
              <w:t xml:space="preserve">Social Vulnerability Index (per SD)</w:t>
            </w:r>
          </w:p>
        </w:tc>
        <w:tc>
          <w:tcPr/>
          <w:p>
            <w:pPr>
              <w:pStyle w:val="Compact"/>
              <w:jc w:val="right"/>
            </w:pPr>
            <w:r>
              <w:t xml:space="preserve">-0.071</w:t>
            </w:r>
          </w:p>
        </w:tc>
        <w:tc>
          <w:tcPr/>
          <w:p>
            <w:pPr>
              <w:pStyle w:val="Compact"/>
              <w:jc w:val="right"/>
            </w:pPr>
            <w:r>
              <w:t xml:space="preserve">0.089</w:t>
            </w:r>
          </w:p>
        </w:tc>
        <w:tc>
          <w:tcPr/>
          <w:p>
            <w:pPr>
              <w:pStyle w:val="Compact"/>
              <w:jc w:val="right"/>
            </w:pPr>
            <w:r>
              <w:t xml:space="preserve">-0.797</w:t>
            </w:r>
          </w:p>
        </w:tc>
        <w:tc>
          <w:tcPr/>
          <w:p>
            <w:pPr>
              <w:pStyle w:val="Compact"/>
              <w:jc w:val="right"/>
            </w:pPr>
            <w:r>
              <w:t xml:space="preserve">0.425</w:t>
            </w:r>
          </w:p>
        </w:tc>
        <w:tc>
          <w:tcPr/>
          <w:p>
            <w:pPr>
              <w:pStyle w:val="Compact"/>
              <w:jc w:val="left"/>
            </w:pPr>
            <w:r>
              <w:t xml:space="preserve">0.425</w:t>
            </w:r>
          </w:p>
        </w:tc>
        <w:tc>
          <w:tcPr/>
          <w:p>
            <w:pPr>
              <w:pStyle w:val="Compact"/>
              <w:jc w:val="right"/>
            </w:pPr>
            <w:r>
              <w:t xml:space="preserve">0.931</w:t>
            </w:r>
          </w:p>
        </w:tc>
        <w:tc>
          <w:tcPr/>
          <w:p>
            <w:pPr>
              <w:pStyle w:val="Compact"/>
              <w:jc w:val="right"/>
            </w:pPr>
            <w:r>
              <w:t xml:space="preserve">0.782</w:t>
            </w:r>
          </w:p>
        </w:tc>
        <w:tc>
          <w:tcPr/>
          <w:p>
            <w:pPr>
              <w:pStyle w:val="Compact"/>
              <w:jc w:val="right"/>
            </w:pPr>
            <w:r>
              <w:t xml:space="preserve">1.110</w:t>
            </w:r>
          </w:p>
        </w:tc>
      </w:tr>
      <w:tr>
        <w:tc>
          <w:tcPr/>
          <w:p>
            <w:pPr>
              <w:pStyle w:val="Compact"/>
              <w:jc w:val="left"/>
            </w:pPr>
            <w:r>
              <w:t xml:space="preserve">Dual-eligible share (per SD)</w:t>
            </w:r>
          </w:p>
        </w:tc>
        <w:tc>
          <w:tcPr/>
          <w:p>
            <w:pPr>
              <w:pStyle w:val="Compact"/>
              <w:jc w:val="right"/>
            </w:pPr>
            <w:r>
              <w:t xml:space="preserve">-0.022</w:t>
            </w:r>
          </w:p>
        </w:tc>
        <w:tc>
          <w:tcPr/>
          <w:p>
            <w:pPr>
              <w:pStyle w:val="Compact"/>
              <w:jc w:val="right"/>
            </w:pPr>
            <w:r>
              <w:t xml:space="preserve">0.093</w:t>
            </w:r>
          </w:p>
        </w:tc>
        <w:tc>
          <w:tcPr/>
          <w:p>
            <w:pPr>
              <w:pStyle w:val="Compact"/>
              <w:jc w:val="right"/>
            </w:pPr>
            <w:r>
              <w:t xml:space="preserve">-0.233</w:t>
            </w:r>
          </w:p>
        </w:tc>
        <w:tc>
          <w:tcPr/>
          <w:p>
            <w:pPr>
              <w:pStyle w:val="Compact"/>
              <w:jc w:val="right"/>
            </w:pPr>
            <w:r>
              <w:t xml:space="preserve">0.816</w:t>
            </w:r>
          </w:p>
        </w:tc>
        <w:tc>
          <w:tcPr/>
          <w:p>
            <w:pPr>
              <w:pStyle w:val="Compact"/>
              <w:jc w:val="left"/>
            </w:pPr>
            <w:r>
              <w:t xml:space="preserve">0.816</w:t>
            </w:r>
          </w:p>
        </w:tc>
        <w:tc>
          <w:tcPr/>
          <w:p>
            <w:pPr>
              <w:pStyle w:val="Compact"/>
              <w:jc w:val="right"/>
            </w:pPr>
            <w:r>
              <w:t xml:space="preserve">0.979</w:t>
            </w:r>
          </w:p>
        </w:tc>
        <w:tc>
          <w:tcPr/>
          <w:p>
            <w:pPr>
              <w:pStyle w:val="Compact"/>
              <w:jc w:val="right"/>
            </w:pPr>
            <w:r>
              <w:t xml:space="preserve">0.815</w:t>
            </w:r>
          </w:p>
        </w:tc>
        <w:tc>
          <w:tcPr/>
          <w:p>
            <w:pPr>
              <w:pStyle w:val="Compact"/>
              <w:jc w:val="right"/>
            </w:pPr>
            <w:r>
              <w:t xml:space="preserve">1.175</w:t>
            </w:r>
          </w:p>
        </w:tc>
      </w:tr>
      <w:tr>
        <w:tc>
          <w:tcPr/>
          <w:p>
            <w:pPr>
              <w:pStyle w:val="Compact"/>
              <w:jc w:val="left"/>
            </w:pPr>
            <w:r>
              <w:t xml:space="preserve">Rural (vs urban)</w:t>
            </w:r>
          </w:p>
        </w:tc>
        <w:tc>
          <w:tcPr/>
          <w:p>
            <w:pPr>
              <w:pStyle w:val="Compact"/>
              <w:jc w:val="right"/>
            </w:pPr>
            <w:r>
              <w:t xml:space="preserve">0.039</w:t>
            </w:r>
          </w:p>
        </w:tc>
        <w:tc>
          <w:tcPr/>
          <w:p>
            <w:pPr>
              <w:pStyle w:val="Compact"/>
              <w:jc w:val="right"/>
            </w:pPr>
            <w:r>
              <w:t xml:space="preserve">0.183</w:t>
            </w:r>
          </w:p>
        </w:tc>
        <w:tc>
          <w:tcPr/>
          <w:p>
            <w:pPr>
              <w:pStyle w:val="Compact"/>
              <w:jc w:val="right"/>
            </w:pPr>
            <w:r>
              <w:t xml:space="preserve">0.214</w:t>
            </w:r>
          </w:p>
        </w:tc>
        <w:tc>
          <w:tcPr/>
          <w:p>
            <w:pPr>
              <w:pStyle w:val="Compact"/>
              <w:jc w:val="right"/>
            </w:pPr>
            <w:r>
              <w:t xml:space="preserve">0.830</w:t>
            </w:r>
          </w:p>
        </w:tc>
        <w:tc>
          <w:tcPr/>
          <w:p>
            <w:pPr>
              <w:pStyle w:val="Compact"/>
              <w:jc w:val="left"/>
            </w:pPr>
            <w:r>
              <w:t xml:space="preserve">0.830</w:t>
            </w:r>
          </w:p>
        </w:tc>
        <w:tc>
          <w:tcPr/>
          <w:p>
            <w:pPr>
              <w:pStyle w:val="Compact"/>
              <w:jc w:val="right"/>
            </w:pPr>
            <w:r>
              <w:t xml:space="preserve">1.040</w:t>
            </w:r>
          </w:p>
        </w:tc>
        <w:tc>
          <w:tcPr/>
          <w:p>
            <w:pPr>
              <w:pStyle w:val="Compact"/>
              <w:jc w:val="right"/>
            </w:pPr>
            <w:r>
              <w:t xml:space="preserve">0.726</w:t>
            </w:r>
          </w:p>
        </w:tc>
        <w:tc>
          <w:tcPr/>
          <w:p>
            <w:pPr>
              <w:pStyle w:val="Compact"/>
              <w:jc w:val="right"/>
            </w:pPr>
            <w:r>
              <w:t xml:space="preserve">1.490</w:t>
            </w:r>
          </w:p>
        </w:tc>
      </w:tr>
      <w:tr>
        <w:tc>
          <w:tcPr/>
          <w:p>
            <w:pPr>
              <w:pStyle w:val="Compact"/>
              <w:jc w:val="left"/>
            </w:pPr>
            <w:r>
              <w:t xml:space="preserve">Caller: Deol</w:t>
            </w:r>
          </w:p>
        </w:tc>
        <w:tc>
          <w:tcPr/>
          <w:p>
            <w:pPr>
              <w:pStyle w:val="Compact"/>
              <w:jc w:val="right"/>
            </w:pPr>
            <w:r>
              <w:t xml:space="preserve">0.812</w:t>
            </w:r>
          </w:p>
        </w:tc>
        <w:tc>
          <w:tcPr/>
          <w:p>
            <w:pPr>
              <w:pStyle w:val="Compact"/>
              <w:jc w:val="right"/>
            </w:pPr>
            <w:r>
              <w:t xml:space="preserve">0.255</w:t>
            </w:r>
          </w:p>
        </w:tc>
        <w:tc>
          <w:tcPr/>
          <w:p>
            <w:pPr>
              <w:pStyle w:val="Compact"/>
              <w:jc w:val="right"/>
            </w:pPr>
            <w:r>
              <w:t xml:space="preserve">3.190</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2.253</w:t>
            </w:r>
          </w:p>
        </w:tc>
        <w:tc>
          <w:tcPr/>
          <w:p>
            <w:pPr>
              <w:pStyle w:val="Compact"/>
              <w:jc w:val="right"/>
            </w:pPr>
            <w:r>
              <w:t xml:space="preserve">1.368</w:t>
            </w:r>
          </w:p>
        </w:tc>
        <w:tc>
          <w:tcPr/>
          <w:p>
            <w:pPr>
              <w:pStyle w:val="Compact"/>
              <w:jc w:val="right"/>
            </w:pPr>
            <w:r>
              <w:t xml:space="preserve">3.711</w:t>
            </w:r>
          </w:p>
        </w:tc>
      </w:tr>
      <w:tr>
        <w:tc>
          <w:tcPr/>
          <w:p>
            <w:pPr>
              <w:pStyle w:val="Compact"/>
              <w:jc w:val="left"/>
            </w:pPr>
            <w:r>
              <w:t xml:space="preserve">Caller: Falk</w:t>
            </w:r>
          </w:p>
        </w:tc>
        <w:tc>
          <w:tcPr/>
          <w:p>
            <w:pPr>
              <w:pStyle w:val="Compact"/>
              <w:jc w:val="right"/>
            </w:pPr>
            <w:r>
              <w:t xml:space="preserve">0.632</w:t>
            </w:r>
          </w:p>
        </w:tc>
        <w:tc>
          <w:tcPr/>
          <w:p>
            <w:pPr>
              <w:pStyle w:val="Compact"/>
              <w:jc w:val="right"/>
            </w:pPr>
            <w:r>
              <w:t xml:space="preserve">0.289</w:t>
            </w:r>
          </w:p>
        </w:tc>
        <w:tc>
          <w:tcPr/>
          <w:p>
            <w:pPr>
              <w:pStyle w:val="Compact"/>
              <w:jc w:val="right"/>
            </w:pPr>
            <w:r>
              <w:t xml:space="preserve">2.190</w:t>
            </w:r>
          </w:p>
        </w:tc>
        <w:tc>
          <w:tcPr/>
          <w:p>
            <w:pPr>
              <w:pStyle w:val="Compact"/>
              <w:jc w:val="right"/>
            </w:pPr>
            <w:r>
              <w:t xml:space="preserve">0.029</w:t>
            </w:r>
          </w:p>
        </w:tc>
        <w:tc>
          <w:tcPr/>
          <w:p>
            <w:pPr>
              <w:pStyle w:val="Compact"/>
              <w:jc w:val="left"/>
            </w:pPr>
            <w:r>
              <w:t xml:space="preserve">0.029</w:t>
            </w:r>
          </w:p>
        </w:tc>
        <w:tc>
          <w:tcPr/>
          <w:p>
            <w:pPr>
              <w:pStyle w:val="Compact"/>
              <w:jc w:val="right"/>
            </w:pPr>
            <w:r>
              <w:t xml:space="preserve">1.882</w:t>
            </w:r>
          </w:p>
        </w:tc>
        <w:tc>
          <w:tcPr/>
          <w:p>
            <w:pPr>
              <w:pStyle w:val="Compact"/>
              <w:jc w:val="right"/>
            </w:pPr>
            <w:r>
              <w:t xml:space="preserve">1.069</w:t>
            </w:r>
          </w:p>
        </w:tc>
        <w:tc>
          <w:tcPr/>
          <w:p>
            <w:pPr>
              <w:pStyle w:val="Compact"/>
              <w:jc w:val="right"/>
            </w:pPr>
            <w:r>
              <w:t xml:space="preserve">3.314</w:t>
            </w:r>
          </w:p>
        </w:tc>
      </w:tr>
      <w:tr>
        <w:tc>
          <w:tcPr/>
          <w:p>
            <w:pPr>
              <w:pStyle w:val="Compact"/>
              <w:jc w:val="left"/>
            </w:pPr>
            <w:r>
              <w:t xml:space="preserve">Caller: Gregg</w:t>
            </w:r>
          </w:p>
        </w:tc>
        <w:tc>
          <w:tcPr/>
          <w:p>
            <w:pPr>
              <w:pStyle w:val="Compact"/>
              <w:jc w:val="right"/>
            </w:pPr>
            <w:r>
              <w:t xml:space="preserve">0.634</w:t>
            </w:r>
          </w:p>
        </w:tc>
        <w:tc>
          <w:tcPr/>
          <w:p>
            <w:pPr>
              <w:pStyle w:val="Compact"/>
              <w:jc w:val="right"/>
            </w:pPr>
            <w:r>
              <w:t xml:space="preserve">0.255</w:t>
            </w:r>
          </w:p>
        </w:tc>
        <w:tc>
          <w:tcPr/>
          <w:p>
            <w:pPr>
              <w:pStyle w:val="Compact"/>
              <w:jc w:val="right"/>
            </w:pPr>
            <w:r>
              <w:t xml:space="preserve">2.487</w:t>
            </w:r>
          </w:p>
        </w:tc>
        <w:tc>
          <w:tcPr/>
          <w:p>
            <w:pPr>
              <w:pStyle w:val="Compact"/>
              <w:jc w:val="right"/>
            </w:pPr>
            <w:r>
              <w:t xml:space="preserve">0.013</w:t>
            </w:r>
          </w:p>
        </w:tc>
        <w:tc>
          <w:tcPr/>
          <w:p>
            <w:pPr>
              <w:pStyle w:val="Compact"/>
              <w:jc w:val="left"/>
            </w:pPr>
            <w:r>
              <w:t xml:space="preserve">0.013</w:t>
            </w:r>
          </w:p>
        </w:tc>
        <w:tc>
          <w:tcPr/>
          <w:p>
            <w:pPr>
              <w:pStyle w:val="Compact"/>
              <w:jc w:val="right"/>
            </w:pPr>
            <w:r>
              <w:t xml:space="preserve">1.886</w:t>
            </w:r>
          </w:p>
        </w:tc>
        <w:tc>
          <w:tcPr/>
          <w:p>
            <w:pPr>
              <w:pStyle w:val="Compact"/>
              <w:jc w:val="right"/>
            </w:pPr>
            <w:r>
              <w:t xml:space="preserve">1.144</w:t>
            </w:r>
          </w:p>
        </w:tc>
        <w:tc>
          <w:tcPr/>
          <w:p>
            <w:pPr>
              <w:pStyle w:val="Compact"/>
              <w:jc w:val="right"/>
            </w:pPr>
            <w:r>
              <w:t xml:space="preserve">3.109</w:t>
            </w:r>
          </w:p>
        </w:tc>
      </w:tr>
      <w:tr>
        <w:tc>
          <w:tcPr/>
          <w:p>
            <w:pPr>
              <w:pStyle w:val="Compact"/>
              <w:jc w:val="left"/>
            </w:pPr>
            <w:r>
              <w:t xml:space="preserve">Caller: Kim</w:t>
            </w:r>
          </w:p>
        </w:tc>
        <w:tc>
          <w:tcPr/>
          <w:p>
            <w:pPr>
              <w:pStyle w:val="Compact"/>
              <w:jc w:val="right"/>
            </w:pPr>
            <w:r>
              <w:t xml:space="preserve">0.725</w:t>
            </w:r>
          </w:p>
        </w:tc>
        <w:tc>
          <w:tcPr/>
          <w:p>
            <w:pPr>
              <w:pStyle w:val="Compact"/>
              <w:jc w:val="right"/>
            </w:pPr>
            <w:r>
              <w:t xml:space="preserve">0.256</w:t>
            </w:r>
          </w:p>
        </w:tc>
        <w:tc>
          <w:tcPr/>
          <w:p>
            <w:pPr>
              <w:pStyle w:val="Compact"/>
              <w:jc w:val="right"/>
            </w:pPr>
            <w:r>
              <w:t xml:space="preserve">2.830</w:t>
            </w:r>
          </w:p>
        </w:tc>
        <w:tc>
          <w:tcPr/>
          <w:p>
            <w:pPr>
              <w:pStyle w:val="Compact"/>
              <w:jc w:val="right"/>
            </w:pPr>
            <w:r>
              <w:t xml:space="preserve">0.005</w:t>
            </w:r>
          </w:p>
        </w:tc>
        <w:tc>
          <w:tcPr/>
          <w:p>
            <w:pPr>
              <w:pStyle w:val="Compact"/>
              <w:jc w:val="left"/>
            </w:pPr>
            <w:r>
              <w:t xml:space="preserve">0.005</w:t>
            </w:r>
          </w:p>
        </w:tc>
        <w:tc>
          <w:tcPr/>
          <w:p>
            <w:pPr>
              <w:pStyle w:val="Compact"/>
              <w:jc w:val="right"/>
            </w:pPr>
            <w:r>
              <w:t xml:space="preserve">2.065</w:t>
            </w:r>
          </w:p>
        </w:tc>
        <w:tc>
          <w:tcPr/>
          <w:p>
            <w:pPr>
              <w:pStyle w:val="Compact"/>
              <w:jc w:val="right"/>
            </w:pPr>
            <w:r>
              <w:t xml:space="preserve">1.250</w:t>
            </w:r>
          </w:p>
        </w:tc>
        <w:tc>
          <w:tcPr/>
          <w:p>
            <w:pPr>
              <w:pStyle w:val="Compact"/>
              <w:jc w:val="right"/>
            </w:pPr>
            <w:r>
              <w:t xml:space="preserve">3.412</w:t>
            </w:r>
          </w:p>
        </w:tc>
      </w:tr>
      <w:tr>
        <w:tc>
          <w:tcPr/>
          <w:p>
            <w:pPr>
              <w:pStyle w:val="Compact"/>
              <w:jc w:val="left"/>
            </w:pPr>
            <w:r>
              <w:t xml:space="preserve">Caller: Other</w:t>
            </w:r>
          </w:p>
        </w:tc>
        <w:tc>
          <w:tcPr/>
          <w:p>
            <w:pPr>
              <w:pStyle w:val="Compact"/>
              <w:jc w:val="right"/>
            </w:pPr>
            <w:r>
              <w:t xml:space="preserve">0.271</w:t>
            </w:r>
          </w:p>
        </w:tc>
        <w:tc>
          <w:tcPr/>
          <w:p>
            <w:pPr>
              <w:pStyle w:val="Compact"/>
              <w:jc w:val="right"/>
            </w:pPr>
            <w:r>
              <w:t xml:space="preserve">0.595</w:t>
            </w:r>
          </w:p>
        </w:tc>
        <w:tc>
          <w:tcPr/>
          <w:p>
            <w:pPr>
              <w:pStyle w:val="Compact"/>
              <w:jc w:val="right"/>
            </w:pPr>
            <w:r>
              <w:t xml:space="preserve">0.456</w:t>
            </w:r>
          </w:p>
        </w:tc>
        <w:tc>
          <w:tcPr/>
          <w:p>
            <w:pPr>
              <w:pStyle w:val="Compact"/>
              <w:jc w:val="right"/>
            </w:pPr>
            <w:r>
              <w:t xml:space="preserve">0.648</w:t>
            </w:r>
          </w:p>
        </w:tc>
        <w:tc>
          <w:tcPr/>
          <w:p>
            <w:pPr>
              <w:pStyle w:val="Compact"/>
              <w:jc w:val="left"/>
            </w:pPr>
            <w:r>
              <w:t xml:space="preserve">0.648</w:t>
            </w:r>
          </w:p>
        </w:tc>
        <w:tc>
          <w:tcPr/>
          <w:p>
            <w:pPr>
              <w:pStyle w:val="Compact"/>
              <w:jc w:val="right"/>
            </w:pPr>
            <w:r>
              <w:t xml:space="preserve">1.312</w:t>
            </w:r>
          </w:p>
        </w:tc>
        <w:tc>
          <w:tcPr/>
          <w:p>
            <w:pPr>
              <w:pStyle w:val="Compact"/>
              <w:jc w:val="right"/>
            </w:pPr>
            <w:r>
              <w:t xml:space="preserve">0.409</w:t>
            </w:r>
          </w:p>
        </w:tc>
        <w:tc>
          <w:tcPr/>
          <w:p>
            <w:pPr>
              <w:pStyle w:val="Compact"/>
              <w:jc w:val="right"/>
            </w:pPr>
            <w:r>
              <w:t xml:space="preserve">4.211</w:t>
            </w:r>
          </w:p>
        </w:tc>
      </w:tr>
      <w:tr>
        <w:tc>
          <w:tcPr/>
          <w:p>
            <w:pPr>
              <w:pStyle w:val="Compact"/>
              <w:jc w:val="left"/>
            </w:pPr>
            <w:r>
              <w:t xml:space="preserve">Caller: Walsh</w:t>
            </w:r>
          </w:p>
        </w:tc>
        <w:tc>
          <w:tcPr/>
          <w:p>
            <w:pPr>
              <w:pStyle w:val="Compact"/>
              <w:jc w:val="right"/>
            </w:pPr>
            <w:r>
              <w:t xml:space="preserve">0.842</w:t>
            </w:r>
          </w:p>
        </w:tc>
        <w:tc>
          <w:tcPr/>
          <w:p>
            <w:pPr>
              <w:pStyle w:val="Compact"/>
              <w:jc w:val="right"/>
            </w:pPr>
            <w:r>
              <w:t xml:space="preserve">0.252</w:t>
            </w:r>
          </w:p>
        </w:tc>
        <w:tc>
          <w:tcPr/>
          <w:p>
            <w:pPr>
              <w:pStyle w:val="Compact"/>
              <w:jc w:val="right"/>
            </w:pPr>
            <w:r>
              <w:t xml:space="preserve">3.344</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2.320</w:t>
            </w:r>
          </w:p>
        </w:tc>
        <w:tc>
          <w:tcPr/>
          <w:p>
            <w:pPr>
              <w:pStyle w:val="Compact"/>
              <w:jc w:val="right"/>
            </w:pPr>
            <w:r>
              <w:t xml:space="preserve">1.417</w:t>
            </w:r>
          </w:p>
        </w:tc>
        <w:tc>
          <w:tcPr/>
          <w:p>
            <w:pPr>
              <w:pStyle w:val="Compact"/>
              <w:jc w:val="right"/>
            </w:pPr>
            <w:r>
              <w:t xml:space="preserve">3.800</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1.06 (0.74-1.52)</w:t>
            </w:r>
          </w:p>
        </w:tc>
        <w:tc>
          <w:tcPr/>
          <w:p>
            <w:pPr>
              <w:pStyle w:val="Compact"/>
              <w:jc w:val="right"/>
            </w:pPr>
            <w:r>
              <w:t xml:space="preserve">0.743</w:t>
            </w:r>
          </w:p>
        </w:tc>
      </w:tr>
      <w:tr>
        <w:tc>
          <w:tcPr/>
          <w:p>
            <w:pPr>
              <w:pStyle w:val="Compact"/>
              <w:jc w:val="left"/>
            </w:pPr>
            <w:r>
              <w:t xml:space="preserve">Head and neck oncology</w:t>
            </w:r>
          </w:p>
        </w:tc>
        <w:tc>
          <w:tcPr/>
          <w:p>
            <w:pPr>
              <w:pStyle w:val="Compact"/>
              <w:jc w:val="left"/>
            </w:pPr>
            <w:r>
              <w:t xml:space="preserve">1.29 (0.74-2.26)</w:t>
            </w:r>
          </w:p>
        </w:tc>
        <w:tc>
          <w:tcPr/>
          <w:p>
            <w:pPr>
              <w:pStyle w:val="Compact"/>
              <w:jc w:val="right"/>
            </w:pPr>
            <w:r>
              <w:t xml:space="preserve">0.369</w:t>
            </w:r>
          </w:p>
        </w:tc>
      </w:tr>
      <w:tr>
        <w:tc>
          <w:tcPr/>
          <w:p>
            <w:pPr>
              <w:pStyle w:val="Compact"/>
              <w:jc w:val="left"/>
            </w:pPr>
            <w:r>
              <w:t xml:space="preserve">Laryngology</w:t>
            </w:r>
          </w:p>
        </w:tc>
        <w:tc>
          <w:tcPr/>
          <w:p>
            <w:pPr>
              <w:pStyle w:val="Compact"/>
              <w:jc w:val="left"/>
            </w:pPr>
            <w:r>
              <w:t xml:space="preserve">2.24 (1.13-4.41)</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(0.72-2.41)</w:t>
            </w:r>
          </w:p>
        </w:tc>
        <w:tc>
          <w:tcPr/>
          <w:p>
            <w:pPr>
              <w:pStyle w:val="Compact"/>
              <w:jc w:val="right"/>
            </w:pPr>
            <w:r>
              <w:t xml:space="preserve">0.377</w:t>
            </w:r>
          </w:p>
        </w:tc>
      </w:tr>
      <w:tr>
        <w:tc>
          <w:tcPr/>
          <w:p>
            <w:pPr>
              <w:pStyle w:val="Compact"/>
              <w:jc w:val="left"/>
            </w:pPr>
            <w:r>
              <w:t xml:space="preserve">Pediatric otolaryngology</w:t>
            </w:r>
          </w:p>
        </w:tc>
        <w:tc>
          <w:tcPr/>
          <w:p>
            <w:pPr>
              <w:pStyle w:val="Compact"/>
              <w:jc w:val="left"/>
            </w:pPr>
            <w:r>
              <w:t xml:space="preserve">1.62 (1.11-2.38)</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1.56 (0.90-2.68)</w:t>
            </w:r>
          </w:p>
        </w:tc>
        <w:tc>
          <w:tcPr/>
          <w:p>
            <w:pPr>
              <w:pStyle w:val="Compact"/>
              <w:jc w:val="right"/>
            </w:pPr>
            <w:r>
              <w:t xml:space="preserve">0.110</w:t>
            </w:r>
          </w:p>
        </w:tc>
      </w:tr>
      <w:tr>
        <w:tc>
          <w:tcPr/>
          <w:p>
            <w:pPr>
              <w:pStyle w:val="Compact"/>
              <w:jc w:val="left"/>
            </w:pPr>
            <w:r>
              <w:t xml:space="preserve">Sleep medicine</w:t>
            </w:r>
          </w:p>
        </w:tc>
        <w:tc>
          <w:tcPr/>
          <w:p>
            <w:pPr>
              <w:pStyle w:val="Compact"/>
              <w:jc w:val="left"/>
            </w:pPr>
            <w:r>
              <w:t xml:space="preserve">1.21 (0.64-2.30)</w:t>
            </w:r>
          </w:p>
        </w:tc>
        <w:tc>
          <w:tcPr/>
          <w:p>
            <w:pPr>
              <w:pStyle w:val="Compact"/>
              <w:jc w:val="right"/>
            </w:pPr>
            <w:r>
              <w:t xml:space="preserve">0.551</w:t>
            </w:r>
          </w:p>
        </w:tc>
      </w:tr>
      <w:tr>
        <w:tc>
          <w:tcPr/>
          <w:p>
            <w:pPr>
              <w:pStyle w:val="Compact"/>
              <w:jc w:val="left"/>
            </w:pPr>
            <w:r>
              <w:t xml:space="preserve">Otolaryngologist density (per SD)</w:t>
            </w:r>
          </w:p>
        </w:tc>
        <w:tc>
          <w:tcPr/>
          <w:p>
            <w:pPr>
              <w:pStyle w:val="Compact"/>
              <w:jc w:val="left"/>
            </w:pPr>
            <w:r>
              <w:t xml:space="preserve">0.94 (0.82-1.08)</w:t>
            </w:r>
          </w:p>
        </w:tc>
        <w:tc>
          <w:tcPr/>
          <w:p>
            <w:pPr>
              <w:pStyle w:val="Compact"/>
              <w:jc w:val="right"/>
            </w:pPr>
            <w:r>
              <w:t xml:space="preserve">0.391</w:t>
            </w:r>
          </w:p>
        </w:tc>
      </w:tr>
      <w:tr>
        <w:tc>
          <w:tcPr/>
          <w:p>
            <w:pPr>
              <w:pStyle w:val="Compact"/>
              <w:jc w:val="left"/>
            </w:pPr>
            <w:r>
              <w:t xml:space="preserve">Medicaid fee index (per SD)</w:t>
            </w:r>
          </w:p>
        </w:tc>
        <w:tc>
          <w:tcPr/>
          <w:p>
            <w:pPr>
              <w:pStyle w:val="Compact"/>
              <w:jc w:val="left"/>
            </w:pPr>
            <w:r>
              <w:t xml:space="preserve">0.94 (0.83-1.06)</w:t>
            </w:r>
          </w:p>
        </w:tc>
        <w:tc>
          <w:tcPr/>
          <w:p>
            <w:pPr>
              <w:pStyle w:val="Compact"/>
              <w:jc w:val="right"/>
            </w:pPr>
            <w:r>
              <w:t xml:space="preserve">0.318</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0.489</w:t>
            </w:r>
          </w:p>
        </w:tc>
      </w:tr>
      <w:tr>
        <w:tc>
          <w:tcPr/>
          <w:p>
            <w:pPr>
              <w:pStyle w:val="Compact"/>
              <w:jc w:val="left"/>
            </w:pPr>
            <w:r>
              <w:t xml:space="preserve">Dual-eligible share (per SD)</w:t>
            </w:r>
          </w:p>
        </w:tc>
        <w:tc>
          <w:tcPr/>
          <w:p>
            <w:pPr>
              <w:pStyle w:val="Compact"/>
              <w:jc w:val="left"/>
            </w:pPr>
            <w:r>
              <w:t xml:space="preserve">0.99 (0.87-1.12)</w:t>
            </w:r>
          </w:p>
        </w:tc>
        <w:tc>
          <w:tcPr/>
          <w:p>
            <w:pPr>
              <w:pStyle w:val="Compact"/>
              <w:jc w:val="right"/>
            </w:pPr>
            <w:r>
              <w:t xml:space="preserve">0.832</w:t>
            </w:r>
          </w:p>
        </w:tc>
      </w:tr>
      <w:tr>
        <w:tc>
          <w:tcPr/>
          <w:p>
            <w:pPr>
              <w:pStyle w:val="Compact"/>
              <w:jc w:val="left"/>
            </w:pPr>
            <w:r>
              <w:t xml:space="preserve">Rural (vs urban)</w:t>
            </w:r>
          </w:p>
        </w:tc>
        <w:tc>
          <w:tcPr/>
          <w:p>
            <w:pPr>
              <w:pStyle w:val="Compact"/>
              <w:jc w:val="left"/>
            </w:pPr>
            <w:r>
              <w:t xml:space="preserve">1.19 (0.92-1.53)</w:t>
            </w:r>
          </w:p>
        </w:tc>
        <w:tc>
          <w:tcPr/>
          <w:p>
            <w:pPr>
              <w:pStyle w:val="Compact"/>
              <w:jc w:val="right"/>
            </w:pPr>
            <w:r>
              <w:t xml:space="preserve">0.191</w:t>
            </w:r>
          </w:p>
        </w:tc>
      </w:tr>
      <w:tr>
        <w:tc>
          <w:tcPr/>
          <w:p>
            <w:pPr>
              <w:pStyle w:val="Compact"/>
              <w:jc w:val="left"/>
            </w:pPr>
            <w:r>
              <w:t xml:space="preserve">Caller: Deol</w:t>
            </w:r>
          </w:p>
        </w:tc>
        <w:tc>
          <w:tcPr/>
          <w:p>
            <w:pPr>
              <w:pStyle w:val="Compact"/>
              <w:jc w:val="left"/>
            </w:pPr>
            <w:r>
              <w:t xml:space="preserve">0.83 (0.60-1.14)</w:t>
            </w:r>
          </w:p>
        </w:tc>
        <w:tc>
          <w:tcPr/>
          <w:p>
            <w:pPr>
              <w:pStyle w:val="Compact"/>
              <w:jc w:val="right"/>
            </w:pPr>
            <w:r>
              <w:t xml:space="preserve">0.258</w:t>
            </w:r>
          </w:p>
        </w:tc>
      </w:tr>
      <w:tr>
        <w:tc>
          <w:tcPr/>
          <w:p>
            <w:pPr>
              <w:pStyle w:val="Compact"/>
              <w:jc w:val="left"/>
            </w:pPr>
            <w:r>
              <w:t xml:space="preserve">Caller: Falk</w:t>
            </w:r>
          </w:p>
        </w:tc>
        <w:tc>
          <w:tcPr/>
          <w:p>
            <w:pPr>
              <w:pStyle w:val="Compact"/>
              <w:jc w:val="left"/>
            </w:pPr>
            <w:r>
              <w:t xml:space="preserve">0.64 (0.43-0.93)</w:t>
            </w:r>
          </w:p>
        </w:tc>
        <w:tc>
          <w:tcPr/>
          <w:p>
            <w:pPr>
              <w:pStyle w:val="Compact"/>
              <w:jc w:val="right"/>
            </w:pPr>
            <w:r>
              <w:t xml:space="preserve">0.020</w:t>
            </w:r>
          </w:p>
        </w:tc>
      </w:tr>
      <w:tr>
        <w:tc>
          <w:tcPr/>
          <w:p>
            <w:pPr>
              <w:pStyle w:val="Compact"/>
              <w:jc w:val="left"/>
            </w:pPr>
            <w:r>
              <w:t xml:space="preserve">Caller: Gregg</w:t>
            </w:r>
          </w:p>
        </w:tc>
        <w:tc>
          <w:tcPr/>
          <w:p>
            <w:pPr>
              <w:pStyle w:val="Compact"/>
              <w:jc w:val="left"/>
            </w:pPr>
            <w:r>
              <w:t xml:space="preserve">0.90 (0.65-1.25)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(0.70-1.37)</w:t>
            </w:r>
          </w:p>
        </w:tc>
        <w:tc>
          <w:tcPr/>
          <w:p>
            <w:pPr>
              <w:pStyle w:val="Compact"/>
              <w:jc w:val="right"/>
            </w:pPr>
            <w:r>
              <w:t xml:space="preserve">0.896</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0.436</w:t>
            </w:r>
          </w:p>
        </w:tc>
      </w:tr>
      <w:tr>
        <w:tc>
          <w:tcPr/>
          <w:p>
            <w:pPr>
              <w:pStyle w:val="Compact"/>
              <w:jc w:val="left"/>
            </w:pPr>
            <w:r>
              <w:t xml:space="preserve">Caller: Walsh</w:t>
            </w:r>
          </w:p>
        </w:tc>
        <w:tc>
          <w:tcPr/>
          <w:p>
            <w:pPr>
              <w:pStyle w:val="Compact"/>
              <w:jc w:val="left"/>
            </w:pPr>
            <w:r>
              <w:t xml:space="preserve">0.89 (0.64-1.23)</w:t>
            </w:r>
          </w:p>
        </w:tc>
        <w:tc>
          <w:tcPr/>
          <w:p>
            <w:pPr>
              <w:pStyle w:val="Compact"/>
              <w:jc w:val="right"/>
            </w:pPr>
            <w:r>
              <w:t xml:space="preserve">0.465</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286</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209</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12.0</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16.5</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96</w:t>
            </w:r>
          </w:p>
        </w:tc>
      </w:tr>
      <w:tr>
        <w:tc>
          <w:tcPr/>
          <w:p>
            <w:pPr>
              <w:pStyle w:val="Compact"/>
              <w:jc w:val="left"/>
            </w:pPr>
            <w:r>
              <w:t xml:space="preserve">Mountain/Southwest</w:t>
            </w:r>
          </w:p>
        </w:tc>
        <w:tc>
          <w:tcPr/>
          <w:p>
            <w:pPr>
              <w:pStyle w:val="Compact"/>
              <w:jc w:val="right"/>
            </w:pPr>
            <w:r>
              <w:t xml:space="preserve">14.0</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29.5</w:t>
            </w:r>
          </w:p>
        </w:tc>
        <w:tc>
          <w:tcPr/>
          <w:p>
            <w:pPr>
              <w:pStyle w:val="Compact"/>
              <w:jc w:val="right"/>
            </w:pPr>
            <w:r>
              <w:t xml:space="preserve">14</w:t>
            </w:r>
          </w:p>
        </w:tc>
        <w:tc>
          <w:tcPr/>
          <w:p>
            <w:pPr>
              <w:pStyle w:val="Compact"/>
              <w:jc w:val="right"/>
            </w:pPr>
            <w:r>
              <w:t xml:space="preserve">51</w:t>
            </w:r>
          </w:p>
        </w:tc>
        <w:tc>
          <w:tcPr/>
          <w:p>
            <w:pPr>
              <w:pStyle w:val="Compact"/>
              <w:jc w:val="right"/>
            </w:pPr>
            <w:r>
              <w:t xml:space="preserve">26</w:t>
            </w:r>
          </w:p>
        </w:tc>
      </w:tr>
      <w:tr>
        <w:tc>
          <w:tcPr/>
          <w:p>
            <w:pPr>
              <w:pStyle w:val="Compact"/>
              <w:jc w:val="left"/>
            </w:pPr>
            <w:r>
              <w:t xml:space="preserve">Pacific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30</w:t>
            </w:r>
          </w:p>
        </w:tc>
        <w:tc>
          <w:tcPr/>
          <w:p>
            <w:pPr>
              <w:pStyle w:val="Compact"/>
              <w:jc w:val="right"/>
            </w:pPr>
            <w:r>
              <w:t xml:space="preserve">48</w:t>
            </w:r>
          </w:p>
        </w:tc>
      </w:tr>
      <w:tr>
        <w:tc>
          <w:tcPr/>
          <w:p>
            <w:pPr>
              <w:pStyle w:val="Compact"/>
              <w:jc w:val="left"/>
            </w:pPr>
            <w:r>
              <w:t xml:space="preserve">Southeast</w:t>
            </w:r>
          </w:p>
        </w:tc>
        <w:tc>
          <w:tcPr/>
          <w:p>
            <w:pPr>
              <w:pStyle w:val="Compact"/>
              <w:jc w:val="right"/>
            </w:pPr>
            <w:r>
              <w:t xml:space="preserve">9.0</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0.542</w:t>
            </w:r>
          </w:p>
        </w:tc>
        <w:tc>
          <w:tcPr/>
          <w:p>
            <w:pPr>
              <w:pStyle w:val="Compact"/>
              <w:jc w:val="right"/>
            </w:pPr>
            <w:r>
              <w:t xml:space="preserve">0.403</w:t>
            </w:r>
          </w:p>
        </w:tc>
        <w:tc>
          <w:tcPr/>
          <w:p>
            <w:pPr>
              <w:pStyle w:val="Compact"/>
              <w:jc w:val="right"/>
            </w:pPr>
            <w:r>
              <w:t xml:space="preserve">0.674</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13.723</w:t>
            </w:r>
          </w:p>
        </w:tc>
        <w:tc>
          <w:tcPr/>
          <w:p>
            <w:pPr>
              <w:pStyle w:val="Compact"/>
              <w:jc w:val="right"/>
            </w:pPr>
            <w:r>
              <w:t xml:space="preserve">1.253</w:t>
            </w:r>
          </w:p>
        </w:tc>
        <w:tc>
          <w:tcPr/>
          <w:p>
            <w:pPr>
              <w:pStyle w:val="Compact"/>
              <w:jc w:val="right"/>
            </w:pPr>
            <w:r>
              <w:t xml:space="preserve">0.937</w:t>
            </w:r>
          </w:p>
        </w:tc>
        <w:tc>
          <w:tcPr/>
          <w:p>
            <w:pPr>
              <w:pStyle w:val="Compact"/>
              <w:jc w:val="right"/>
            </w:pPr>
            <w:r>
              <w:t xml:space="preserve">1.676</w:t>
            </w:r>
          </w:p>
        </w:tc>
        <w:tc>
          <w:tcPr/>
          <w:p>
            <w:pPr>
              <w:pStyle w:val="Compact"/>
              <w:jc w:val="right"/>
            </w:pPr>
            <w:r>
              <w:t xml:space="preserve">0.099</w:t>
            </w:r>
          </w:p>
        </w:tc>
        <w:tc>
          <w:tcPr/>
          <w:p>
            <w:pPr>
              <w:pStyle w:val="Compact"/>
              <w:jc w:val="left"/>
            </w:pPr>
            <w:r>
              <w:t xml:space="preserve">p = 0.099</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100</w:t>
            </w:r>
          </w:p>
        </w:tc>
        <w:tc>
          <w:tcPr/>
          <w:p>
            <w:pPr>
              <w:pStyle w:val="Compact"/>
              <w:jc w:val="right"/>
            </w:pPr>
            <w:r>
              <w:t xml:space="preserve">0.649</w:t>
            </w:r>
          </w:p>
        </w:tc>
        <w:tc>
          <w:tcPr/>
          <w:p>
            <w:pPr>
              <w:pStyle w:val="Compact"/>
              <w:jc w:val="right"/>
            </w:pPr>
            <w:r>
              <w:t xml:space="preserve">0.571</w:t>
            </w:r>
          </w:p>
        </w:tc>
        <w:tc>
          <w:tcPr/>
          <w:p>
            <w:pPr>
              <w:pStyle w:val="Compact"/>
              <w:jc w:val="right"/>
            </w:pPr>
            <w:r>
              <w:t xml:space="preserve">0.720</w:t>
            </w:r>
          </w:p>
        </w:tc>
        <w:tc>
          <w:tcPr/>
          <w:p>
            <w:pPr>
              <w:pStyle w:val="Compact"/>
              <w:jc w:val="right"/>
            </w:pPr>
            <w:r>
              <w:t xml:space="preserve">10.768</w:t>
            </w:r>
          </w:p>
        </w:tc>
        <w:tc>
          <w:tcPr/>
          <w:p>
            <w:pPr>
              <w:pStyle w:val="Compact"/>
              <w:jc w:val="right"/>
            </w:pPr>
            <w:r>
              <w:t xml:space="preserve">1.199</w:t>
            </w:r>
          </w:p>
        </w:tc>
        <w:tc>
          <w:tcPr/>
          <w:p>
            <w:pPr>
              <w:pStyle w:val="Compact"/>
              <w:jc w:val="right"/>
            </w:pPr>
            <w:r>
              <w:t xml:space="preserve">0.902</w:t>
            </w:r>
          </w:p>
        </w:tc>
        <w:tc>
          <w:tcPr/>
          <w:p>
            <w:pPr>
              <w:pStyle w:val="Compact"/>
              <w:jc w:val="right"/>
            </w:pPr>
            <w:r>
              <w:t xml:space="preserve">1.594</w:t>
            </w:r>
          </w:p>
        </w:tc>
        <w:tc>
          <w:tcPr/>
          <w:p>
            <w:pPr>
              <w:pStyle w:val="Compact"/>
              <w:jc w:val="right"/>
            </w:pPr>
            <w:r>
              <w:t xml:space="preserve">0.179</w:t>
            </w:r>
          </w:p>
        </w:tc>
        <w:tc>
          <w:tcPr/>
          <w:p>
            <w:pPr>
              <w:pStyle w:val="Compact"/>
              <w:jc w:val="left"/>
            </w:pPr>
            <w:r>
              <w:t xml:space="preserve">p = 0.179</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8.624</w:t>
            </w:r>
          </w:p>
        </w:tc>
        <w:tc>
          <w:tcPr/>
          <w:p>
            <w:pPr>
              <w:pStyle w:val="Compact"/>
              <w:jc w:val="right"/>
            </w:pPr>
            <w:r>
              <w:t xml:space="preserve">1.159</w:t>
            </w:r>
          </w:p>
        </w:tc>
        <w:tc>
          <w:tcPr/>
          <w:p>
            <w:pPr>
              <w:pStyle w:val="Compact"/>
              <w:jc w:val="right"/>
            </w:pPr>
            <w:r>
              <w:t xml:space="preserve">0.866</w:t>
            </w:r>
          </w:p>
        </w:tc>
        <w:tc>
          <w:tcPr/>
          <w:p>
            <w:pPr>
              <w:pStyle w:val="Compact"/>
              <w:jc w:val="right"/>
            </w:pPr>
            <w:r>
              <w:t xml:space="preserve">1.553</w:t>
            </w:r>
          </w:p>
        </w:tc>
        <w:tc>
          <w:tcPr/>
          <w:p>
            <w:pPr>
              <w:pStyle w:val="Compact"/>
              <w:jc w:val="right"/>
            </w:pPr>
            <w:r>
              <w:t xml:space="preserve">0.297</w:t>
            </w:r>
          </w:p>
        </w:tc>
        <w:tc>
          <w:tcPr/>
          <w:p>
            <w:pPr>
              <w:pStyle w:val="Compact"/>
              <w:jc w:val="left"/>
            </w:pPr>
            <w:r>
              <w:t xml:space="preserve">p = 0.297</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39</w:t>
            </w:r>
          </w:p>
        </w:tc>
        <w:tc>
          <w:tcPr/>
          <w:p>
            <w:pPr>
              <w:pStyle w:val="Compact"/>
              <w:jc w:val="right"/>
            </w:pPr>
            <w:r>
              <w:t xml:space="preserve">0.582</w:t>
            </w:r>
          </w:p>
        </w:tc>
        <w:tc>
          <w:tcPr/>
          <w:p>
            <w:pPr>
              <w:pStyle w:val="Compact"/>
              <w:jc w:val="right"/>
            </w:pPr>
            <w:r>
              <w:t xml:space="preserve">0.463</w:t>
            </w:r>
          </w:p>
        </w:tc>
        <w:tc>
          <w:tcPr/>
          <w:p>
            <w:pPr>
              <w:pStyle w:val="Compact"/>
              <w:jc w:val="right"/>
            </w:pPr>
            <w:r>
              <w:t xml:space="preserve">0.693</w:t>
            </w:r>
          </w:p>
        </w:tc>
        <w:tc>
          <w:tcPr/>
          <w:p>
            <w:pPr>
              <w:pStyle w:val="Compact"/>
              <w:jc w:val="right"/>
            </w:pPr>
            <w:r>
              <w:t xml:space="preserve">4.042</w:t>
            </w:r>
          </w:p>
        </w:tc>
        <w:tc>
          <w:tcPr/>
          <w:p>
            <w:pPr>
              <w:pStyle w:val="Compact"/>
              <w:jc w:val="right"/>
            </w:pPr>
            <w:r>
              <w:t xml:space="preserve">1.075</w:t>
            </w:r>
          </w:p>
        </w:tc>
        <w:tc>
          <w:tcPr/>
          <w:p>
            <w:pPr>
              <w:pStyle w:val="Compact"/>
              <w:jc w:val="right"/>
            </w:pPr>
            <w:r>
              <w:t xml:space="preserve">0.773</w:t>
            </w:r>
          </w:p>
        </w:tc>
        <w:tc>
          <w:tcPr/>
          <w:p>
            <w:pPr>
              <w:pStyle w:val="Compact"/>
              <w:jc w:val="right"/>
            </w:pPr>
            <w:r>
              <w:t xml:space="preserve">1.495</w:t>
            </w:r>
          </w:p>
        </w:tc>
        <w:tc>
          <w:tcPr/>
          <w:p>
            <w:pPr>
              <w:pStyle w:val="Compact"/>
              <w:jc w:val="right"/>
            </w:pPr>
            <w:r>
              <w:t xml:space="preserve">0.666</w:t>
            </w:r>
          </w:p>
        </w:tc>
        <w:tc>
          <w:tcPr/>
          <w:p>
            <w:pPr>
              <w:pStyle w:val="Compact"/>
              <w:jc w:val="left"/>
            </w:pPr>
            <w:r>
              <w:t xml:space="preserve">p = 0.666</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2.652</w:t>
            </w:r>
          </w:p>
        </w:tc>
        <w:tc>
          <w:tcPr/>
          <w:p>
            <w:pPr>
              <w:pStyle w:val="Compact"/>
              <w:jc w:val="right"/>
            </w:pPr>
            <w:r>
              <w:t xml:space="preserve">1.049</w:t>
            </w:r>
          </w:p>
        </w:tc>
        <w:tc>
          <w:tcPr/>
          <w:p>
            <w:pPr>
              <w:pStyle w:val="Compact"/>
              <w:jc w:val="right"/>
            </w:pPr>
            <w:r>
              <w:t xml:space="preserve">0.763</w:t>
            </w:r>
          </w:p>
        </w:tc>
        <w:tc>
          <w:tcPr/>
          <w:p>
            <w:pPr>
              <w:pStyle w:val="Compact"/>
              <w:jc w:val="right"/>
            </w:pPr>
            <w:r>
              <w:t xml:space="preserve">1.441</w:t>
            </w:r>
          </w:p>
        </w:tc>
        <w:tc>
          <w:tcPr/>
          <w:p>
            <w:pPr>
              <w:pStyle w:val="Compact"/>
              <w:jc w:val="right"/>
            </w:pPr>
            <w:r>
              <w:t xml:space="preserve">0.766</w:t>
            </w:r>
          </w:p>
        </w:tc>
        <w:tc>
          <w:tcPr/>
          <w:p>
            <w:pPr>
              <w:pStyle w:val="Compact"/>
              <w:jc w:val="left"/>
            </w:pPr>
            <w:r>
              <w:t xml:space="preserve">p = 0.766</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45</w:t>
            </w:r>
          </w:p>
        </w:tc>
        <w:tc>
          <w:tcPr/>
          <w:p>
            <w:pPr>
              <w:pStyle w:val="Compact"/>
              <w:jc w:val="right"/>
            </w:pPr>
            <w:r>
              <w:t xml:space="preserve">0.495</w:t>
            </w:r>
          </w:p>
        </w:tc>
        <w:tc>
          <w:tcPr/>
          <w:p>
            <w:pPr>
              <w:pStyle w:val="Compact"/>
              <w:jc w:val="right"/>
            </w:pPr>
            <w:r>
              <w:t xml:space="preserve">0.394</w:t>
            </w:r>
          </w:p>
        </w:tc>
        <w:tc>
          <w:tcPr/>
          <w:p>
            <w:pPr>
              <w:pStyle w:val="Compact"/>
              <w:jc w:val="right"/>
            </w:pPr>
            <w:r>
              <w:t xml:space="preserve">0.595</w:t>
            </w:r>
          </w:p>
        </w:tc>
        <w:tc>
          <w:tcPr/>
          <w:p>
            <w:pPr>
              <w:pStyle w:val="Compact"/>
              <w:jc w:val="right"/>
            </w:pPr>
            <w:r>
              <w:t xml:space="preserve">-4.716</w:t>
            </w:r>
          </w:p>
        </w:tc>
        <w:tc>
          <w:tcPr/>
          <w:p>
            <w:pPr>
              <w:pStyle w:val="Compact"/>
              <w:jc w:val="right"/>
            </w:pPr>
            <w:r>
              <w:t xml:space="preserve">0.913</w:t>
            </w:r>
          </w:p>
        </w:tc>
        <w:tc>
          <w:tcPr/>
          <w:p>
            <w:pPr>
              <w:pStyle w:val="Compact"/>
              <w:jc w:val="right"/>
            </w:pPr>
            <w:r>
              <w:t xml:space="preserve">0.654</w:t>
            </w:r>
          </w:p>
        </w:tc>
        <w:tc>
          <w:tcPr/>
          <w:p>
            <w:pPr>
              <w:pStyle w:val="Compact"/>
              <w:jc w:val="right"/>
            </w:pPr>
            <w:r>
              <w:t xml:space="preserve">1.274</w:t>
            </w:r>
          </w:p>
        </w:tc>
        <w:tc>
          <w:tcPr/>
          <w:p>
            <w:pPr>
              <w:pStyle w:val="Compact"/>
              <w:jc w:val="right"/>
            </w:pPr>
            <w:r>
              <w:t xml:space="preserve">0.597</w:t>
            </w:r>
          </w:p>
        </w:tc>
        <w:tc>
          <w:tcPr/>
          <w:p>
            <w:pPr>
              <w:pStyle w:val="Compact"/>
              <w:jc w:val="left"/>
            </w:pPr>
            <w:r>
              <w:t xml:space="preserve">p = 0.597</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-7.500</w:t>
            </w:r>
          </w:p>
        </w:tc>
        <w:tc>
          <w:tcPr/>
          <w:p>
            <w:pPr>
              <w:pStyle w:val="Compact"/>
              <w:jc w:val="right"/>
            </w:pPr>
            <w:r>
              <w:t xml:space="preserve">0.862</w:t>
            </w:r>
          </w:p>
        </w:tc>
        <w:tc>
          <w:tcPr/>
          <w:p>
            <w:pPr>
              <w:pStyle w:val="Compact"/>
              <w:jc w:val="right"/>
            </w:pPr>
            <w:r>
              <w:t xml:space="preserve">0.574</w:t>
            </w:r>
          </w:p>
        </w:tc>
        <w:tc>
          <w:tcPr/>
          <w:p>
            <w:pPr>
              <w:pStyle w:val="Compact"/>
              <w:jc w:val="right"/>
            </w:pPr>
            <w:r>
              <w:t xml:space="preserve">1.294</w:t>
            </w:r>
          </w:p>
        </w:tc>
        <w:tc>
          <w:tcPr/>
          <w:p>
            <w:pPr>
              <w:pStyle w:val="Compact"/>
              <w:jc w:val="right"/>
            </w:pPr>
            <w:r>
              <w:t xml:space="preserve">0.470</w:t>
            </w:r>
          </w:p>
        </w:tc>
        <w:tc>
          <w:tcPr/>
          <w:p>
            <w:pPr>
              <w:pStyle w:val="Compact"/>
              <w:jc w:val="left"/>
            </w:pPr>
            <w:r>
              <w:t xml:space="preserve">p = 0.470</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1.00 (0.59-1.69)</w:t>
            </w:r>
          </w:p>
        </w:tc>
        <w:tc>
          <w:tcPr/>
          <w:p>
            <w:pPr>
              <w:pStyle w:val="Compact"/>
            </w:pPr>
          </w:p>
        </w:tc>
      </w:tr>
      <w:tr>
        <w:tc>
          <w:tcPr/>
          <w:p>
            <w:pPr>
              <w:pStyle w:val="Compact"/>
              <w:jc w:val="left"/>
            </w:pPr>
            <w:r>
              <w:t xml:space="preserve">p=0.995</w:t>
            </w:r>
          </w:p>
        </w:tc>
        <w:tc>
          <w:tcPr/>
          <w:p>
            <w:pPr>
              <w:pStyle w:val="Compact"/>
              <w:jc w:val="left"/>
            </w:pPr>
            <w:r>
              <w:t xml:space="preserve">1.06 (0.74-1.52)</w:t>
            </w:r>
          </w:p>
        </w:tc>
        <w:tc>
          <w:tcPr/>
          <w:p>
            <w:pPr>
              <w:pStyle w:val="Compact"/>
            </w:pPr>
          </w:p>
        </w:tc>
      </w:tr>
      <w:tr>
        <w:tc>
          <w:tcPr/>
          <w:p>
            <w:pPr>
              <w:pStyle w:val="Compact"/>
              <w:jc w:val="left"/>
            </w:pPr>
            <w:r>
              <w:t xml:space="preserve">p=0.743</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0.82 (0.36-1.90)</w:t>
            </w:r>
          </w:p>
        </w:tc>
        <w:tc>
          <w:tcPr/>
          <w:p>
            <w:pPr>
              <w:pStyle w:val="Compact"/>
            </w:pPr>
          </w:p>
        </w:tc>
      </w:tr>
      <w:tr>
        <w:tc>
          <w:tcPr/>
          <w:p>
            <w:pPr>
              <w:pStyle w:val="Compact"/>
              <w:jc w:val="left"/>
            </w:pPr>
            <w:r>
              <w:t xml:space="preserve">p=0.650</w:t>
            </w:r>
          </w:p>
        </w:tc>
        <w:tc>
          <w:tcPr/>
          <w:p>
            <w:pPr>
              <w:pStyle w:val="Compact"/>
              <w:jc w:val="left"/>
            </w:pPr>
            <w:r>
              <w:t xml:space="preserve">1.29 (0.74-2.26)</w:t>
            </w:r>
          </w:p>
        </w:tc>
        <w:tc>
          <w:tcPr/>
          <w:p>
            <w:pPr>
              <w:pStyle w:val="Compact"/>
            </w:pPr>
          </w:p>
        </w:tc>
      </w:tr>
      <w:tr>
        <w:tc>
          <w:tcPr/>
          <w:p>
            <w:pPr>
              <w:pStyle w:val="Compact"/>
              <w:jc w:val="left"/>
            </w:pPr>
            <w:r>
              <w:t xml:space="preserve">p=0.369</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1.80 (0.51-6.32)</w:t>
            </w:r>
          </w:p>
        </w:tc>
        <w:tc>
          <w:tcPr/>
          <w:p>
            <w:pPr>
              <w:pStyle w:val="Compact"/>
            </w:pPr>
          </w:p>
        </w:tc>
      </w:tr>
      <w:tr>
        <w:tc>
          <w:tcPr/>
          <w:p>
            <w:pPr>
              <w:pStyle w:val="Compact"/>
              <w:jc w:val="left"/>
            </w:pPr>
            <w:r>
              <w:t xml:space="preserve">p=0.357</w:t>
            </w:r>
          </w:p>
        </w:tc>
        <w:tc>
          <w:tcPr/>
          <w:p>
            <w:pPr>
              <w:pStyle w:val="Compact"/>
              <w:jc w:val="left"/>
            </w:pPr>
            <w:r>
              <w:t xml:space="preserve">2.24 (1.13-4.41)</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0.58 (0.27-1.25)</w:t>
            </w:r>
          </w:p>
        </w:tc>
        <w:tc>
          <w:tcPr/>
          <w:p>
            <w:pPr>
              <w:pStyle w:val="Compact"/>
            </w:pPr>
          </w:p>
        </w:tc>
      </w:tr>
      <w:tr>
        <w:tc>
          <w:tcPr/>
          <w:p>
            <w:pPr>
              <w:pStyle w:val="Compact"/>
              <w:jc w:val="left"/>
            </w:pPr>
            <w:r>
              <w:t xml:space="preserve">p=0.167</w:t>
            </w:r>
          </w:p>
        </w:tc>
        <w:tc>
          <w:tcPr/>
          <w:p>
            <w:pPr>
              <w:pStyle w:val="Compact"/>
              <w:jc w:val="left"/>
            </w:pPr>
            <w:r>
              <w:t xml:space="preserve">1.31 (0.72-2.41)</w:t>
            </w:r>
          </w:p>
        </w:tc>
        <w:tc>
          <w:tcPr/>
          <w:p>
            <w:pPr>
              <w:pStyle w:val="Compact"/>
            </w:pPr>
          </w:p>
        </w:tc>
      </w:tr>
      <w:tr>
        <w:tc>
          <w:tcPr/>
          <w:p>
            <w:pPr>
              <w:pStyle w:val="Compact"/>
              <w:jc w:val="left"/>
            </w:pPr>
            <w:r>
              <w:t xml:space="preserve">p=0.377</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2.29 (1.09-4.80)</w:t>
            </w:r>
          </w:p>
        </w:tc>
        <w:tc>
          <w:tcPr/>
          <w:p>
            <w:pPr>
              <w:pStyle w:val="Compact"/>
            </w:pPr>
          </w:p>
        </w:tc>
      </w:tr>
      <w:tr>
        <w:tc>
          <w:tcPr/>
          <w:p>
            <w:pPr>
              <w:pStyle w:val="Compact"/>
              <w:jc w:val="left"/>
            </w:pPr>
            <w:r>
              <w:t xml:space="preserve">p=0.028</w:t>
            </w:r>
          </w:p>
        </w:tc>
        <w:tc>
          <w:tcPr/>
          <w:p>
            <w:pPr>
              <w:pStyle w:val="Compact"/>
              <w:jc w:val="left"/>
            </w:pPr>
            <w:r>
              <w:t xml:space="preserve">1.62 (1.11-2.38)</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2.21 (0.75-6.50)</w:t>
            </w:r>
          </w:p>
        </w:tc>
        <w:tc>
          <w:tcPr/>
          <w:p>
            <w:pPr>
              <w:pStyle w:val="Compact"/>
            </w:pPr>
          </w:p>
        </w:tc>
      </w:tr>
      <w:tr>
        <w:tc>
          <w:tcPr/>
          <w:p>
            <w:pPr>
              <w:pStyle w:val="Compact"/>
              <w:jc w:val="left"/>
            </w:pPr>
            <w:r>
              <w:t xml:space="preserve">p=0.151</w:t>
            </w:r>
          </w:p>
        </w:tc>
        <w:tc>
          <w:tcPr/>
          <w:p>
            <w:pPr>
              <w:pStyle w:val="Compact"/>
              <w:jc w:val="left"/>
            </w:pPr>
            <w:r>
              <w:t xml:space="preserve">1.56 (0.90-2.68)</w:t>
            </w:r>
          </w:p>
        </w:tc>
        <w:tc>
          <w:tcPr/>
          <w:p>
            <w:pPr>
              <w:pStyle w:val="Compact"/>
            </w:pPr>
          </w:p>
        </w:tc>
      </w:tr>
      <w:tr>
        <w:tc>
          <w:tcPr/>
          <w:p>
            <w:pPr>
              <w:pStyle w:val="Compact"/>
              <w:jc w:val="left"/>
            </w:pPr>
            <w:r>
              <w:t xml:space="preserve">p=0.110</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1.71 (0.56-5.21)</w:t>
            </w:r>
          </w:p>
        </w:tc>
        <w:tc>
          <w:tcPr/>
          <w:p>
            <w:pPr>
              <w:pStyle w:val="Compact"/>
            </w:pPr>
          </w:p>
        </w:tc>
      </w:tr>
      <w:tr>
        <w:tc>
          <w:tcPr/>
          <w:p>
            <w:pPr>
              <w:pStyle w:val="Compact"/>
              <w:jc w:val="left"/>
            </w:pPr>
            <w:r>
              <w:t xml:space="preserve">p=0.344</w:t>
            </w:r>
          </w:p>
        </w:tc>
        <w:tc>
          <w:tcPr/>
          <w:p>
            <w:pPr>
              <w:pStyle w:val="Compact"/>
              <w:jc w:val="left"/>
            </w:pPr>
            <w:r>
              <w:t xml:space="preserve">1.21 (0.64-2.30)</w:t>
            </w:r>
          </w:p>
        </w:tc>
        <w:tc>
          <w:tcPr/>
          <w:p>
            <w:pPr>
              <w:pStyle w:val="Compact"/>
            </w:pPr>
          </w:p>
        </w:tc>
      </w:tr>
      <w:tr>
        <w:tc>
          <w:tcPr/>
          <w:p>
            <w:pPr>
              <w:pStyle w:val="Compact"/>
              <w:jc w:val="left"/>
            </w:pPr>
            <w:r>
              <w:t xml:space="preserve">p=0.551</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0.96 (0.81-1.13)</w:t>
            </w:r>
          </w:p>
        </w:tc>
        <w:tc>
          <w:tcPr/>
          <w:p>
            <w:pPr>
              <w:pStyle w:val="Compact"/>
            </w:pPr>
          </w:p>
        </w:tc>
      </w:tr>
      <w:tr>
        <w:tc>
          <w:tcPr/>
          <w:p>
            <w:pPr>
              <w:pStyle w:val="Compact"/>
              <w:jc w:val="left"/>
            </w:pPr>
            <w:r>
              <w:t xml:space="preserve">p=0.617</w:t>
            </w:r>
          </w:p>
        </w:tc>
        <w:tc>
          <w:tcPr/>
          <w:p>
            <w:pPr>
              <w:pStyle w:val="Compact"/>
              <w:jc w:val="left"/>
            </w:pPr>
            <w:r>
              <w:t xml:space="preserve">0.94 (0.82-1.08)</w:t>
            </w:r>
          </w:p>
        </w:tc>
        <w:tc>
          <w:tcPr/>
          <w:p>
            <w:pPr>
              <w:pStyle w:val="Compact"/>
            </w:pPr>
          </w:p>
        </w:tc>
      </w:tr>
      <w:tr>
        <w:tc>
          <w:tcPr/>
          <w:p>
            <w:pPr>
              <w:pStyle w:val="Compact"/>
              <w:jc w:val="left"/>
            </w:pPr>
            <w:r>
              <w:t xml:space="preserve">p=0.391</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0.90 (0.76-1.06)</w:t>
            </w:r>
          </w:p>
        </w:tc>
        <w:tc>
          <w:tcPr/>
          <w:p>
            <w:pPr>
              <w:pStyle w:val="Compact"/>
            </w:pPr>
          </w:p>
        </w:tc>
      </w:tr>
      <w:tr>
        <w:tc>
          <w:tcPr/>
          <w:p>
            <w:pPr>
              <w:pStyle w:val="Compact"/>
              <w:jc w:val="left"/>
            </w:pPr>
            <w:r>
              <w:t xml:space="preserve">p=0.191</w:t>
            </w:r>
          </w:p>
        </w:tc>
        <w:tc>
          <w:tcPr/>
          <w:p>
            <w:pPr>
              <w:pStyle w:val="Compact"/>
              <w:jc w:val="left"/>
            </w:pPr>
            <w:r>
              <w:t xml:space="preserve">0.94 (0.83-1.06)</w:t>
            </w:r>
          </w:p>
        </w:tc>
        <w:tc>
          <w:tcPr/>
          <w:p>
            <w:pPr>
              <w:pStyle w:val="Compact"/>
            </w:pPr>
          </w:p>
        </w:tc>
      </w:tr>
      <w:tr>
        <w:tc>
          <w:tcPr/>
          <w:p>
            <w:pPr>
              <w:pStyle w:val="Compact"/>
              <w:jc w:val="left"/>
            </w:pPr>
            <w:r>
              <w:t xml:space="preserve">p=0.318</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0.93 (0.78-1.11)</w:t>
            </w:r>
          </w:p>
        </w:tc>
        <w:tc>
          <w:tcPr/>
          <w:p>
            <w:pPr>
              <w:pStyle w:val="Compact"/>
            </w:pPr>
          </w:p>
        </w:tc>
      </w:tr>
      <w:tr>
        <w:tc>
          <w:tcPr/>
          <w:p>
            <w:pPr>
              <w:pStyle w:val="Compact"/>
              <w:jc w:val="left"/>
            </w:pPr>
            <w:r>
              <w:t xml:space="preserve">p=0.425</w:t>
            </w:r>
          </w:p>
        </w:tc>
        <w:tc>
          <w:tcPr/>
          <w:p>
            <w:pPr>
              <w:pStyle w:val="Compact"/>
              <w:jc w:val="left"/>
            </w:pPr>
            <w:r>
              <w:t xml:space="preserve">0.96 (0.85-1.08)</w:t>
            </w:r>
          </w:p>
        </w:tc>
        <w:tc>
          <w:tcPr/>
          <w:p>
            <w:pPr>
              <w:pStyle w:val="Compact"/>
            </w:pPr>
          </w:p>
        </w:tc>
      </w:tr>
      <w:tr>
        <w:tc>
          <w:tcPr/>
          <w:p>
            <w:pPr>
              <w:pStyle w:val="Compact"/>
              <w:jc w:val="left"/>
            </w:pPr>
            <w:r>
              <w:t xml:space="preserve">p=0.489</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0.98 (0.82-1.17)</w:t>
            </w:r>
          </w:p>
        </w:tc>
        <w:tc>
          <w:tcPr/>
          <w:p>
            <w:pPr>
              <w:pStyle w:val="Compact"/>
            </w:pPr>
          </w:p>
        </w:tc>
      </w:tr>
      <w:tr>
        <w:tc>
          <w:tcPr/>
          <w:p>
            <w:pPr>
              <w:pStyle w:val="Compact"/>
              <w:jc w:val="left"/>
            </w:pPr>
            <w:r>
              <w:t xml:space="preserve">p=0.816</w:t>
            </w:r>
          </w:p>
        </w:tc>
        <w:tc>
          <w:tcPr/>
          <w:p>
            <w:pPr>
              <w:pStyle w:val="Compact"/>
              <w:jc w:val="left"/>
            </w:pPr>
            <w:r>
              <w:t xml:space="preserve">0.99 (0.87-1.12)</w:t>
            </w:r>
          </w:p>
        </w:tc>
        <w:tc>
          <w:tcPr/>
          <w:p>
            <w:pPr>
              <w:pStyle w:val="Compact"/>
            </w:pPr>
          </w:p>
        </w:tc>
      </w:tr>
      <w:tr>
        <w:tc>
          <w:tcPr/>
          <w:p>
            <w:pPr>
              <w:pStyle w:val="Compact"/>
              <w:jc w:val="left"/>
            </w:pPr>
            <w:r>
              <w:t xml:space="preserve">p=0.832</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1.04 (0.73-1.49)</w:t>
            </w:r>
          </w:p>
        </w:tc>
        <w:tc>
          <w:tcPr/>
          <w:p>
            <w:pPr>
              <w:pStyle w:val="Compact"/>
            </w:pPr>
          </w:p>
        </w:tc>
      </w:tr>
      <w:tr>
        <w:tc>
          <w:tcPr/>
          <w:p>
            <w:pPr>
              <w:pStyle w:val="Compact"/>
              <w:jc w:val="left"/>
            </w:pPr>
            <w:r>
              <w:t xml:space="preserve">p=0.830</w:t>
            </w:r>
          </w:p>
        </w:tc>
        <w:tc>
          <w:tcPr/>
          <w:p>
            <w:pPr>
              <w:pStyle w:val="Compact"/>
              <w:jc w:val="left"/>
            </w:pPr>
            <w:r>
              <w:t xml:space="preserve">1.19 (0.92-1.53)</w:t>
            </w:r>
          </w:p>
        </w:tc>
        <w:tc>
          <w:tcPr/>
          <w:p>
            <w:pPr>
              <w:pStyle w:val="Compact"/>
            </w:pPr>
          </w:p>
        </w:tc>
      </w:tr>
      <w:tr>
        <w:tc>
          <w:tcPr/>
          <w:p>
            <w:pPr>
              <w:pStyle w:val="Compact"/>
              <w:jc w:val="left"/>
            </w:pPr>
            <w:r>
              <w:t xml:space="preserve">p=0.191</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2.25 (1.37-3.71)</w:t>
            </w:r>
          </w:p>
        </w:tc>
        <w:tc>
          <w:tcPr/>
          <w:p>
            <w:pPr>
              <w:pStyle w:val="Compact"/>
            </w:pPr>
          </w:p>
        </w:tc>
      </w:tr>
      <w:tr>
        <w:tc>
          <w:tcPr/>
          <w:p>
            <w:pPr>
              <w:pStyle w:val="Compact"/>
              <w:jc w:val="left"/>
            </w:pPr>
            <w:r>
              <w:t xml:space="preserve">p=0.001</w:t>
            </w:r>
          </w:p>
        </w:tc>
        <w:tc>
          <w:tcPr/>
          <w:p>
            <w:pPr>
              <w:pStyle w:val="Compact"/>
              <w:jc w:val="left"/>
            </w:pPr>
            <w:r>
              <w:t xml:space="preserve">0.83 (0.60-1.14)</w:t>
            </w:r>
          </w:p>
        </w:tc>
        <w:tc>
          <w:tcPr/>
          <w:p>
            <w:pPr>
              <w:pStyle w:val="Compact"/>
            </w:pPr>
          </w:p>
        </w:tc>
      </w:tr>
      <w:tr>
        <w:tc>
          <w:tcPr/>
          <w:p>
            <w:pPr>
              <w:pStyle w:val="Compact"/>
              <w:jc w:val="left"/>
            </w:pPr>
            <w:r>
              <w:t xml:space="preserve">p=0.258</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1.88 (1.07-3.31)</w:t>
            </w:r>
          </w:p>
        </w:tc>
        <w:tc>
          <w:tcPr/>
          <w:p>
            <w:pPr>
              <w:pStyle w:val="Compact"/>
            </w:pPr>
          </w:p>
        </w:tc>
      </w:tr>
      <w:tr>
        <w:tc>
          <w:tcPr/>
          <w:p>
            <w:pPr>
              <w:pStyle w:val="Compact"/>
              <w:jc w:val="left"/>
            </w:pPr>
            <w:r>
              <w:t xml:space="preserve">p=0.029</w:t>
            </w:r>
          </w:p>
        </w:tc>
        <w:tc>
          <w:tcPr/>
          <w:p>
            <w:pPr>
              <w:pStyle w:val="Compact"/>
              <w:jc w:val="left"/>
            </w:pPr>
            <w:r>
              <w:t xml:space="preserve">0.64 (0.43-0.93)</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(1.14-3.11)</w:t>
            </w:r>
          </w:p>
        </w:tc>
        <w:tc>
          <w:tcPr/>
          <w:p>
            <w:pPr>
              <w:pStyle w:val="Compact"/>
            </w:pPr>
          </w:p>
        </w:tc>
      </w:tr>
      <w:tr>
        <w:tc>
          <w:tcPr/>
          <w:p>
            <w:pPr>
              <w:pStyle w:val="Compact"/>
              <w:jc w:val="left"/>
            </w:pPr>
            <w:r>
              <w:t xml:space="preserve">p=0.013</w:t>
            </w:r>
          </w:p>
        </w:tc>
        <w:tc>
          <w:tcPr/>
          <w:p>
            <w:pPr>
              <w:pStyle w:val="Compact"/>
              <w:jc w:val="left"/>
            </w:pPr>
            <w:r>
              <w:t xml:space="preserve">0.90 (0.65-1.25)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2.06 (1.25-3.41)</w:t>
            </w:r>
          </w:p>
        </w:tc>
        <w:tc>
          <w:tcPr/>
          <w:p>
            <w:pPr>
              <w:pStyle w:val="Compact"/>
            </w:pPr>
          </w:p>
        </w:tc>
      </w:tr>
      <w:tr>
        <w:tc>
          <w:tcPr/>
          <w:p>
            <w:pPr>
              <w:pStyle w:val="Compact"/>
              <w:jc w:val="left"/>
            </w:pPr>
            <w:r>
              <w:t xml:space="preserve">p=0.005</w:t>
            </w:r>
          </w:p>
        </w:tc>
        <w:tc>
          <w:tcPr/>
          <w:p>
            <w:pPr>
              <w:pStyle w:val="Compact"/>
              <w:jc w:val="left"/>
            </w:pPr>
            <w:r>
              <w:t xml:space="preserve">0.98 (0.70-1.37)</w:t>
            </w:r>
          </w:p>
        </w:tc>
        <w:tc>
          <w:tcPr/>
          <w:p>
            <w:pPr>
              <w:pStyle w:val="Compact"/>
            </w:pPr>
          </w:p>
        </w:tc>
      </w:tr>
      <w:tr>
        <w:tc>
          <w:tcPr/>
          <w:p>
            <w:pPr>
              <w:pStyle w:val="Compact"/>
              <w:jc w:val="left"/>
            </w:pPr>
            <w:r>
              <w:t xml:space="preserve">p=0.896</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1.31 (0.41-4.21)</w:t>
            </w:r>
          </w:p>
        </w:tc>
        <w:tc>
          <w:tcPr/>
          <w:p>
            <w:pPr>
              <w:pStyle w:val="Compact"/>
            </w:pPr>
          </w:p>
        </w:tc>
      </w:tr>
      <w:tr>
        <w:tc>
          <w:tcPr/>
          <w:p>
            <w:pPr>
              <w:pStyle w:val="Compact"/>
              <w:jc w:val="left"/>
            </w:pPr>
            <w:r>
              <w:t xml:space="preserve">p=0.648</w:t>
            </w:r>
          </w:p>
        </w:tc>
        <w:tc>
          <w:tcPr/>
          <w:p>
            <w:pPr>
              <w:pStyle w:val="Compact"/>
              <w:jc w:val="left"/>
            </w:pPr>
            <w:r>
              <w:t xml:space="preserve">0.66 (0.23-1.87)</w:t>
            </w:r>
          </w:p>
        </w:tc>
        <w:tc>
          <w:tcPr/>
          <w:p>
            <w:pPr>
              <w:pStyle w:val="Compact"/>
            </w:pPr>
          </w:p>
        </w:tc>
      </w:tr>
      <w:tr>
        <w:tc>
          <w:tcPr/>
          <w:p>
            <w:pPr>
              <w:pStyle w:val="Compact"/>
              <w:jc w:val="left"/>
            </w:pPr>
            <w:r>
              <w:t xml:space="preserve">p=0.436</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2.32 (1.42-3.80)</w:t>
            </w:r>
          </w:p>
        </w:tc>
        <w:tc>
          <w:tcPr/>
          <w:p>
            <w:pPr>
              <w:pStyle w:val="Compact"/>
            </w:pPr>
          </w:p>
        </w:tc>
      </w:tr>
      <w:tr>
        <w:tc>
          <w:tcPr/>
          <w:p>
            <w:pPr>
              <w:pStyle w:val="Compact"/>
              <w:jc w:val="left"/>
            </w:pPr>
            <w:r>
              <w:t xml:space="preserve">p=&lt; 0.001</w:t>
            </w:r>
          </w:p>
        </w:tc>
        <w:tc>
          <w:tcPr/>
          <w:p>
            <w:pPr>
              <w:pStyle w:val="Compact"/>
              <w:jc w:val="left"/>
            </w:pPr>
            <w:r>
              <w:t xml:space="preserve">0.89 (0.64-1.23)</w:t>
            </w:r>
          </w:p>
        </w:tc>
        <w:tc>
          <w:tcPr/>
          <w:p>
            <w:pPr>
              <w:pStyle w:val="Compact"/>
            </w:pPr>
          </w:p>
        </w:tc>
      </w:tr>
      <w:tr>
        <w:tc>
          <w:tcPr/>
          <w:p>
            <w:pPr>
              <w:pStyle w:val="Compact"/>
              <w:jc w:val="left"/>
            </w:pPr>
            <w:r>
              <w:t xml:space="preserve">p=0.465</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AIC</w:t>
            </w:r>
          </w:p>
        </w:tc>
        <w:tc>
          <w:tcPr/>
          <w:p>
            <w:pPr>
              <w:pStyle w:val="Compact"/>
              <w:jc w:val="left"/>
            </w:pPr>
            <w:r>
              <w:t xml:space="preserve">991.4</w:t>
            </w:r>
          </w:p>
        </w:tc>
        <w:tc>
          <w:tcPr/>
          <w:p>
            <w:pPr>
              <w:pStyle w:val="Compact"/>
              <w:jc w:val="left"/>
            </w:pPr>
            <w:r>
              <w:t xml:space="preserve">3514.6</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964"/>
        <w:gridCol w:w="1077"/>
        <w:gridCol w:w="1900"/>
        <w:gridCol w:w="570"/>
        <w:gridCol w:w="633"/>
        <w:gridCol w:w="380"/>
        <w:gridCol w:w="570"/>
        <w:gridCol w:w="823"/>
      </w:tblGrid>
      <w:tr>
        <w:trPr>
          <w:tblHeader w:val="on"/>
        </w:trPr>
        <w:tc>
          <w:tcPr/>
          <w:p>
            <w:pPr>
              <w:pStyle w:val="Compact"/>
              <w:jc w:val="left"/>
            </w:pPr>
            <w:r>
              <w:t xml:space="preserve">spec</w:t>
            </w:r>
          </w:p>
        </w:tc>
        <w:tc>
          <w:tcPr/>
          <w:p>
            <w:pPr>
              <w:pStyle w:val="Compact"/>
              <w:jc w:val="left"/>
            </w:pPr>
            <w:r>
              <w:t xml:space="preserve">part</w:t>
            </w:r>
          </w:p>
        </w:tc>
        <w:tc>
          <w:tcPr/>
          <w:p>
            <w:pPr>
              <w:pStyle w:val="Compact"/>
              <w:jc w:val="left"/>
            </w:pPr>
            <w:r>
              <w:t xml:space="preserve">term</w:t>
            </w:r>
          </w:p>
        </w:tc>
        <w:tc>
          <w:tcPr/>
          <w:p>
            <w:pPr>
              <w:pStyle w:val="Compact"/>
              <w:jc w:val="right"/>
            </w:pPr>
            <w:r>
              <w:t xml:space="preserve">estimate</w:t>
            </w:r>
          </w:p>
        </w:tc>
        <w:tc>
          <w:tcPr/>
          <w:p>
            <w:pPr>
              <w:pStyle w:val="Compact"/>
              <w:jc w:val="left"/>
            </w:pPr>
            <w:r>
              <w:t xml:space="preserve">ci</w:t>
            </w:r>
          </w:p>
        </w:tc>
        <w:tc>
          <w:tcPr/>
          <w:p>
            <w:pPr>
              <w:pStyle w:val="Compact"/>
              <w:jc w:val="right"/>
            </w:pPr>
            <w:r>
              <w:t xml:space="preserve">p</w:t>
            </w:r>
          </w:p>
        </w:tc>
        <w:tc>
          <w:tcPr/>
          <w:p>
            <w:pPr>
              <w:pStyle w:val="Compact"/>
              <w:jc w:val="right"/>
            </w:pPr>
            <w:r>
              <w:t xml:space="preserve">n_access</w:t>
            </w:r>
          </w:p>
        </w:tc>
        <w:tc>
          <w:tcPr/>
          <w:p>
            <w:pPr>
              <w:pStyle w:val="Compact"/>
              <w:jc w:val="right"/>
            </w:pPr>
            <w:r>
              <w:t xml:space="preserve">n_timeliness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1.80</w:t>
            </w:r>
          </w:p>
        </w:tc>
        <w:tc>
          <w:tcPr/>
          <w:p>
            <w:pPr>
              <w:pStyle w:val="Compact"/>
              <w:jc w:val="left"/>
            </w:pPr>
            <w:r>
              <w:t xml:space="preserve">0.51-6.32</w:t>
            </w:r>
          </w:p>
        </w:tc>
        <w:tc>
          <w:tcPr/>
          <w:p>
            <w:pPr>
              <w:pStyle w:val="Compact"/>
              <w:jc w:val="right"/>
            </w:pPr>
            <w:r>
              <w:t xml:space="preserve">0.357</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2.29</w:t>
            </w:r>
          </w:p>
        </w:tc>
        <w:tc>
          <w:tcPr/>
          <w:p>
            <w:pPr>
              <w:pStyle w:val="Compact"/>
              <w:jc w:val="left"/>
            </w:pPr>
            <w:r>
              <w:t xml:space="preserve">1.09-4.80</w:t>
            </w:r>
          </w:p>
        </w:tc>
        <w:tc>
          <w:tcPr/>
          <w:p>
            <w:pPr>
              <w:pStyle w:val="Compact"/>
              <w:jc w:val="right"/>
            </w:pPr>
            <w:r>
              <w:t xml:space="preserve">0.028</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1.04</w:t>
            </w:r>
          </w:p>
        </w:tc>
        <w:tc>
          <w:tcPr/>
          <w:p>
            <w:pPr>
              <w:pStyle w:val="Compact"/>
              <w:jc w:val="left"/>
            </w:pPr>
            <w:r>
              <w:t xml:space="preserve">0.73-1.49</w:t>
            </w:r>
          </w:p>
        </w:tc>
        <w:tc>
          <w:tcPr/>
          <w:p>
            <w:pPr>
              <w:pStyle w:val="Compact"/>
              <w:jc w:val="right"/>
            </w:pPr>
            <w:r>
              <w:t xml:space="preserve">0.830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2.24</w:t>
            </w:r>
          </w:p>
        </w:tc>
        <w:tc>
          <w:tcPr/>
          <w:p>
            <w:pPr>
              <w:pStyle w:val="Compact"/>
              <w:jc w:val="left"/>
            </w:pPr>
            <w:r>
              <w:t xml:space="preserve">1.13-4.41</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1.62</w:t>
            </w:r>
          </w:p>
        </w:tc>
        <w:tc>
          <w:tcPr/>
          <w:p>
            <w:pPr>
              <w:pStyle w:val="Compact"/>
              <w:jc w:val="left"/>
            </w:pPr>
            <w:r>
              <w:t xml:space="preserve">1.11-2.38</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1.19</w:t>
            </w:r>
          </w:p>
        </w:tc>
        <w:tc>
          <w:tcPr/>
          <w:p>
            <w:pPr>
              <w:pStyle w:val="Compact"/>
              <w:jc w:val="left"/>
            </w:pPr>
            <w:r>
              <w:t xml:space="preserve">0.92-1.53</w:t>
            </w:r>
          </w:p>
        </w:tc>
        <w:tc>
          <w:tcPr/>
          <w:p>
            <w:pPr>
              <w:pStyle w:val="Compact"/>
              <w:jc w:val="right"/>
            </w:pPr>
            <w:r>
              <w:t xml:space="preserve">0.191</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1.81</w:t>
            </w:r>
          </w:p>
        </w:tc>
        <w:tc>
          <w:tcPr/>
          <w:p>
            <w:pPr>
              <w:pStyle w:val="Compact"/>
              <w:jc w:val="left"/>
            </w:pPr>
            <w:r>
              <w:t xml:space="preserve">0.52-6.34</w:t>
            </w:r>
          </w:p>
        </w:tc>
        <w:tc>
          <w:tcPr/>
          <w:p>
            <w:pPr>
              <w:pStyle w:val="Compact"/>
              <w:jc w:val="right"/>
            </w:pPr>
            <w:r>
              <w:t xml:space="preserve">0.355</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2.28</w:t>
            </w:r>
          </w:p>
        </w:tc>
        <w:tc>
          <w:tcPr/>
          <w:p>
            <w:pPr>
              <w:pStyle w:val="Compact"/>
              <w:jc w:val="left"/>
            </w:pPr>
            <w:r>
              <w:t xml:space="preserve">1.09-4.79</w:t>
            </w:r>
          </w:p>
        </w:tc>
        <w:tc>
          <w:tcPr/>
          <w:p>
            <w:pPr>
              <w:pStyle w:val="Compact"/>
              <w:jc w:val="right"/>
            </w:pPr>
            <w:r>
              <w:t xml:space="preserve">0.029</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1.06</w:t>
            </w:r>
          </w:p>
        </w:tc>
        <w:tc>
          <w:tcPr/>
          <w:p>
            <w:pPr>
              <w:pStyle w:val="Compact"/>
              <w:jc w:val="left"/>
            </w:pPr>
            <w:r>
              <w:t xml:space="preserve">0.73-1.54</w:t>
            </w:r>
          </w:p>
        </w:tc>
        <w:tc>
          <w:tcPr/>
          <w:p>
            <w:pPr>
              <w:pStyle w:val="Compact"/>
              <w:jc w:val="right"/>
            </w:pPr>
            <w:r>
              <w:t xml:space="preserve">0.754</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0.822</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2.23</w:t>
            </w:r>
          </w:p>
        </w:tc>
        <w:tc>
          <w:tcPr/>
          <w:p>
            <w:pPr>
              <w:pStyle w:val="Compact"/>
              <w:jc w:val="left"/>
            </w:pPr>
            <w:r>
              <w:t xml:space="preserve">1.13-4.40</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1.12-2.40</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1.16</w:t>
            </w:r>
          </w:p>
        </w:tc>
        <w:tc>
          <w:tcPr/>
          <w:p>
            <w:pPr>
              <w:pStyle w:val="Compact"/>
              <w:jc w:val="left"/>
            </w:pPr>
            <w:r>
              <w:t xml:space="preserve">0.89-1.51</w:t>
            </w:r>
          </w:p>
        </w:tc>
        <w:tc>
          <w:tcPr/>
          <w:p>
            <w:pPr>
              <w:pStyle w:val="Compact"/>
              <w:jc w:val="right"/>
            </w:pPr>
            <w:r>
              <w:t xml:space="preserve">0.276</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1.36</w:t>
            </w:r>
          </w:p>
        </w:tc>
        <w:tc>
          <w:tcPr/>
          <w:p>
            <w:pPr>
              <w:pStyle w:val="Compact"/>
              <w:jc w:val="left"/>
            </w:pPr>
            <w:r>
              <w:t xml:space="preserve">0.87-2.12</w:t>
            </w:r>
          </w:p>
        </w:tc>
        <w:tc>
          <w:tcPr/>
          <w:p>
            <w:pPr>
              <w:pStyle w:val="Compact"/>
              <w:jc w:val="right"/>
            </w:pPr>
            <w:r>
              <w:t xml:space="preserve">0.180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1.59</w:t>
            </w:r>
          </w:p>
        </w:tc>
        <w:tc>
          <w:tcPr/>
          <w:p>
            <w:pPr>
              <w:pStyle w:val="Compact"/>
              <w:jc w:val="left"/>
            </w:pPr>
            <w:r>
              <w:t xml:space="preserve">0.44-5.75</w:t>
            </w:r>
          </w:p>
        </w:tc>
        <w:tc>
          <w:tcPr/>
          <w:p>
            <w:pPr>
              <w:pStyle w:val="Compact"/>
              <w:jc w:val="right"/>
            </w:pPr>
            <w:r>
              <w:t xml:space="preserve">0.482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2.35</w:t>
            </w:r>
          </w:p>
        </w:tc>
        <w:tc>
          <w:tcPr/>
          <w:p>
            <w:pPr>
              <w:pStyle w:val="Compact"/>
              <w:jc w:val="left"/>
            </w:pPr>
            <w:r>
              <w:t xml:space="preserve">1.08-5.10</w:t>
            </w:r>
          </w:p>
        </w:tc>
        <w:tc>
          <w:tcPr/>
          <w:p>
            <w:pPr>
              <w:pStyle w:val="Compact"/>
              <w:jc w:val="right"/>
            </w:pPr>
            <w:r>
              <w:t xml:space="preserve">0.031</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1.03</w:t>
            </w:r>
          </w:p>
        </w:tc>
        <w:tc>
          <w:tcPr/>
          <w:p>
            <w:pPr>
              <w:pStyle w:val="Compact"/>
              <w:jc w:val="left"/>
            </w:pPr>
            <w:r>
              <w:t xml:space="preserve">0.71-1.49</w:t>
            </w:r>
          </w:p>
        </w:tc>
        <w:tc>
          <w:tcPr/>
          <w:p>
            <w:pPr>
              <w:pStyle w:val="Compact"/>
              <w:jc w:val="right"/>
            </w:pPr>
            <w:r>
              <w:t xml:space="preserve">0.872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2.49</w:t>
            </w:r>
          </w:p>
        </w:tc>
        <w:tc>
          <w:tcPr/>
          <w:p>
            <w:pPr>
              <w:pStyle w:val="Compact"/>
              <w:jc w:val="left"/>
            </w:pPr>
            <w:r>
              <w:t xml:space="preserve">1.22-5.10</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1.02-2.27</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1.16</w:t>
            </w:r>
          </w:p>
        </w:tc>
        <w:tc>
          <w:tcPr/>
          <w:p>
            <w:pPr>
              <w:pStyle w:val="Compact"/>
              <w:jc w:val="left"/>
            </w:pPr>
            <w:r>
              <w:t xml:space="preserve">0.89-1.51</w:t>
            </w:r>
          </w:p>
        </w:tc>
        <w:tc>
          <w:tcPr/>
          <w:p>
            <w:pPr>
              <w:pStyle w:val="Compact"/>
              <w:jc w:val="right"/>
            </w:pPr>
            <w:r>
              <w:t xml:space="preserve">0.275</w:t>
            </w:r>
          </w:p>
        </w:tc>
        <w:tc>
          <w:tcPr/>
          <w:p>
            <w:pPr>
              <w:pStyle w:val="Compact"/>
              <w:jc w:val="right"/>
            </w:pPr>
            <w:r>
              <w:t xml:space="preserve">701</w:t>
            </w:r>
          </w:p>
        </w:tc>
        <w:tc>
          <w:tcPr/>
          <w:p>
            <w:pPr>
              <w:pStyle w:val="Compact"/>
              <w:jc w:val="right"/>
            </w:pPr>
            <w:r>
              <w:t xml:space="preserve">409</w:t>
            </w:r>
          </w:p>
        </w:tc>
      </w:tr>
    </w:tbl>
    <w:p/>
    <w:p>
      <w:pPr>
        <w:pStyle w:val="TableCaption"/>
      </w:pPr>
      <w:r>
        <w:t xml:space="preserve">Table S10. Secondary access measures (access cascade),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cess cascade),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436</w:t>
            </w:r>
          </w:p>
        </w:tc>
        <w:tc>
          <w:tcPr/>
          <w:p>
            <w:pPr>
              <w:pStyle w:val="Compact"/>
              <w:jc w:val="right"/>
            </w:pPr>
            <w:r>
              <w:t xml:space="preserve">731</w:t>
            </w:r>
          </w:p>
        </w:tc>
        <w:tc>
          <w:tcPr/>
          <w:p>
            <w:pPr>
              <w:pStyle w:val="Compact"/>
              <w:jc w:val="right"/>
            </w:pPr>
            <w:r>
              <w:t xml:space="preserve">59.6</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436</w:t>
            </w:r>
          </w:p>
        </w:tc>
        <w:tc>
          <w:tcPr/>
          <w:p>
            <w:pPr>
              <w:pStyle w:val="Compact"/>
              <w:jc w:val="right"/>
            </w:pPr>
            <w:r>
              <w:t xml:space="preserve">84.9</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58</w:t>
            </w:r>
          </w:p>
        </w:tc>
        <w:tc>
          <w:tcPr/>
          <w:p>
            <w:pPr>
              <w:pStyle w:val="Compact"/>
              <w:jc w:val="right"/>
            </w:pPr>
            <w:r>
              <w:t xml:space="preserve">436</w:t>
            </w:r>
          </w:p>
        </w:tc>
        <w:tc>
          <w:tcPr/>
          <w:p>
            <w:pPr>
              <w:pStyle w:val="Compact"/>
              <w:jc w:val="right"/>
            </w:pPr>
            <w:r>
              <w:t xml:space="preserve">13.3</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436</w:t>
            </w:r>
          </w:p>
        </w:tc>
        <w:tc>
          <w:tcPr/>
          <w:p>
            <w:pPr>
              <w:pStyle w:val="Compact"/>
              <w:jc w:val="right"/>
            </w:pPr>
            <w:r>
              <w:t xml:space="preserve">2.1</w:t>
            </w:r>
          </w:p>
        </w:tc>
      </w:tr>
    </w:tbl>
    <w:bookmarkEnd w:id="46"/>
    <w:bookmarkStart w:id="68"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S7. New-patient access cascade.</w:t>
      </w:r>
    </w:p>
    <w:p>
      <w:pPr>
        <w:pStyle w:val="BodyText"/>
      </w:pPr>
      <w:r>
        <w:drawing>
          <wp:inline>
            <wp:extent cx="5334000" cy="2259105"/>
            <wp:effectExtent b="0" l="0" r="0" t="0"/>
            <wp:docPr descr="" title="" id="66" name="Picture"/>
            <a:graphic>
              <a:graphicData uri="http://schemas.openxmlformats.org/drawingml/2006/picture">
                <pic:pic>
                  <pic:nvPicPr>
                    <pic:cNvPr descr="model_output/supp/figS7_access_cascade.png" id="67" name="Picture"/>
                    <pic:cNvPicPr>
                      <a:picLocks noChangeArrowheads="1" noChangeAspect="1"/>
                    </pic:cNvPicPr>
                  </pic:nvPicPr>
                  <pic:blipFill>
                    <a:blip r:embed="rId65"/>
                    <a:stretch>
                      <a:fillRect/>
                    </a:stretch>
                  </pic:blipFill>
                  <pic:spPr bwMode="auto">
                    <a:xfrm>
                      <a:off x="0" y="0"/>
                      <a:ext cx="5334000" cy="2259105"/>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 A completed STROBE checklist is provided in</w:t>
      </w:r>
      <w:r>
        <w:rPr>
          <w:i/>
          <w:iCs/>
        </w:rPr>
        <w:t xml:space="preserve"> </w:t>
      </w:r>
      <w:r>
        <w:rPr>
          <w:rStyle w:val="VerbatimChar"/>
          <w:i/>
          <w:iCs/>
        </w:rPr>
        <w:t xml:space="preserve">manuscript/STROBE_checklist.md</w:t>
      </w:r>
      <w:r>
        <w:rPr>
          <w:i/>
          <w:iCs/>
        </w:rPr>
        <w:t xml:space="preserve">.</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presenting as a new patient (or a family member calling on a patient’s behalf) with a referral-based, subspecialty-matched chief complaint, and recorded responses in a structured data-capture form.</w:t>
      </w:r>
    </w:p>
    <w:p>
      <w:pPr>
        <w:pStyle w:val="BodyText"/>
      </w:pPr>
      <w:r>
        <w:rPr>
          <w:b/>
          <w:bCs/>
        </w:rPr>
        <w:t xml:space="preserve">Pre-call procedure.</w:t>
      </w:r>
      <w:r>
        <w:t xml:space="preserve"> </w:t>
      </w:r>
      <w:r>
        <w:t xml:space="preserve">Before each call, the caller searched the sampled physician’s name and state of practice online and identified the matching practice website (typically among the first results, in under one minute). From the website, the caller determined whether the physician was fellowship-trained and selected the correspondingly matched subspecialty script; if the physician was not fellowship-trained, or fellowship status was unclear, the general otolaryngology script was used. Board certification was verified using the American Board of Otolaryngology–Head and Neck Surgery certification tool (abohns.org/verify-certification); if the physician was not listed as certified, the caller asked whether the physician was board certified after an appointment was offered. Calls used the phone number listed on the practice website (to avoid inadvertently reaching a personal number listed in NPI/CMS/Academy records); when no website could be found, the caller used the NPI/CMS-listed number with the general script and noted the absence of a website. The practice city and 2020 RUCA code were recorded before the call (via the Rural Health Information Hub</w:t>
      </w:r>
      <w:r>
        <w:t xml:space="preserve"> </w:t>
      </w:r>
      <w:r>
        <w:t xml:space="preserve">“Am I Rural?”</w:t>
      </w:r>
      <w:r>
        <w:t xml:space="preserve"> </w:t>
      </w:r>
      <w:r>
        <w:t xml:space="preserve">tool), along with any additional practice cities and their RUCA codes.</w:t>
      </w:r>
    </w:p>
    <w:p>
      <w:pPr>
        <w:pStyle w:val="BodyText"/>
      </w:pPr>
      <w:r>
        <w:rPr>
          <w:b/>
          <w:bCs/>
        </w:rPr>
        <w:t xml:space="preserve">During the call.</w:t>
      </w:r>
      <w:r>
        <w:t xml:space="preserve"> </w:t>
      </w:r>
      <w:r>
        <w:t xml:space="preserve">The caller delivered the selected script (Table S9). If asked for identifying details, the caller gave a standardized identity—</w:t>
      </w:r>
      <w:r>
        <w:t xml:space="preserve">“John”</w:t>
      </w:r>
      <w:r>
        <w:t xml:space="preserve"> </w:t>
      </w:r>
      <w:r>
        <w:t xml:space="preserve">or</w:t>
      </w:r>
      <w:r>
        <w:t xml:space="preserve"> </w:t>
      </w:r>
      <w:r>
        <w:t xml:space="preserve">“Jessica Smith,”</w:t>
      </w:r>
      <w:r>
        <w:t xml:space="preserve"> </w:t>
      </w:r>
      <w:r>
        <w:t xml:space="preserve">date of birth June 1 of a script-appropriate year.</w:t>
      </w:r>
      <w:r>
        <w:t xml:space="preserve"> </w:t>
      </w:r>
      <w:r>
        <w:rPr>
          <w:b/>
          <w:bCs/>
        </w:rPr>
        <w:t xml:space="preserve">No appointment was ever booked:</w:t>
      </w:r>
      <w:r>
        <w:t xml:space="preserve"> </w:t>
      </w:r>
      <w:r>
        <w:t xml:space="preserve">when an appointment was offered, the caller requested the next-available date (</w:t>
      </w:r>
      <w:r>
        <w:t xml:space="preserve">“I want to make sure I can find an appointment that works with my schedule before moving forward with scheduling”</w:t>
      </w:r>
      <w:r>
        <w:t xml:space="preserve">) to compute the business-day wait, then stated they would check their schedule and call back. Structured response handling captured whether the physician sees the presented complaint (and, if not, what they do see), whether another provider could be seen for the concern and whether that provider was a physician or advanced practice provider and the time to that appointment, whether the physician was not accepting new patients, redirection to a different provider, and whether the physician was no longer practicing (retired vs moved).</w:t>
      </w:r>
      <w:r>
        <w:t xml:space="preserve"> </w:t>
      </w:r>
      <w:r>
        <w:rPr>
          <w:i/>
          <w:iCs/>
        </w:rPr>
        <w:t xml:space="preserve">[Not specified in the script draft: the number and timing of call attempts before an office was recorded as unreachable—to confirm from the protocol.]</w:t>
      </w:r>
    </w:p>
    <w:p>
      <w:pPr>
        <w:pStyle w:val="BodyText"/>
      </w:pPr>
      <w:r>
        <w:rPr>
          <w:b/>
          <w:bCs/>
        </w:rPr>
        <w:t xml:space="preserve">Table S9. Subspecialty-matched chief-complaint scripts (verbatim caller wording).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Subspecialty</w:t>
            </w:r>
          </w:p>
        </w:tc>
        <w:tc>
          <w:tcPr/>
          <w:p>
            <w:pPr>
              <w:pStyle w:val="Compact"/>
            </w:pPr>
            <w:r>
              <w:t xml:space="preserve">Clinical scenario</w:t>
            </w:r>
          </w:p>
        </w:tc>
        <w:tc>
          <w:tcPr/>
          <w:p>
            <w:pPr>
              <w:pStyle w:val="Compact"/>
            </w:pPr>
            <w:r>
              <w:t xml:space="preserve">Verbatim opening script</w:t>
            </w:r>
          </w:p>
        </w:tc>
      </w:tr>
      <w:tr>
        <w:tc>
          <w:tcPr/>
          <w:p>
            <w:pPr>
              <w:pStyle w:val="Compact"/>
            </w:pPr>
            <w:r>
              <w:t xml:space="preserve">General otolaryngology</w:t>
            </w:r>
          </w:p>
        </w:tc>
        <w:tc>
          <w:tcPr/>
          <w:p>
            <w:pPr>
              <w:pStyle w:val="Compact"/>
            </w:pPr>
            <w:r>
              <w:t xml:space="preserve">Nasal obstruction; suspected deviated septum after failed medical therapy</w:t>
            </w:r>
          </w:p>
        </w:tc>
        <w:tc>
          <w:tcPr/>
          <w:p>
            <w:pPr>
              <w:pStyle w:val="Compact"/>
            </w:pPr>
            <w:r>
              <w:t xml:space="preserve">“I was worked up by my primary care doctor for difficulty breathing through my nose. I have tried multiple nasal sprays but none of them have helped. My primary care doctor said they think I have a deviated septum and referred me to Dr. ___.”</w:t>
            </w:r>
          </w:p>
        </w:tc>
      </w:tr>
      <w:tr>
        <w:tc>
          <w:tcPr/>
          <w:p>
            <w:pPr>
              <w:pStyle w:val="Compact"/>
            </w:pPr>
            <w:r>
              <w:t xml:space="preserve">Pediatric otolaryngology</w:t>
            </w:r>
          </w:p>
        </w:tc>
        <w:tc>
          <w:tcPr/>
          <w:p>
            <w:pPr>
              <w:pStyle w:val="Compact"/>
            </w:pPr>
            <w:r>
              <w:t xml:space="preserve">12-year-old with recurrent tonsillitis and snoring; tonsillectomy discussion</w:t>
            </w:r>
          </w:p>
        </w:tc>
        <w:tc>
          <w:tcPr/>
          <w:p>
            <w:pPr>
              <w:pStyle w:val="Compact"/>
            </w:pPr>
            <w:r>
              <w:t xml:space="preserve">“My twelve-year-old son has been worked up for recurrent tonsillitis and snoring by our pediatrician. He has had seven episodes of tonsillitis in the last year. He is also now snoring loudly and seems very tired during the day. Our pediatrician referred us to Dr. ___ to discuss possible tonsillectomy.”</w:t>
            </w:r>
          </w:p>
        </w:tc>
      </w:tr>
      <w:tr>
        <w:tc>
          <w:tcPr/>
          <w:p>
            <w:pPr>
              <w:pStyle w:val="Compact"/>
            </w:pPr>
            <w:r>
              <w:t xml:space="preserve">Rhinology</w:t>
            </w:r>
          </w:p>
        </w:tc>
        <w:tc>
          <w:tcPr/>
          <w:p>
            <w:pPr>
              <w:pStyle w:val="Compact"/>
            </w:pPr>
            <w:r>
              <w:t xml:space="preserve">Recurrent chronic sinusitis after prior sinus surgery; revision considered</w:t>
            </w:r>
          </w:p>
        </w:tc>
        <w:tc>
          <w:tcPr/>
          <w:p>
            <w:pPr>
              <w:pStyle w:val="Compact"/>
            </w:pPr>
            <w:r>
              <w:t xml:space="preserve">“I have been evaluated and treated for chronic sinusitis by my primary care doctor and a general ENT. I have had one prior sinus surgery ten years ago, but my symptoms are back. I was referred to see Dr. ___ to discuss possible revision sinus surgery.”</w:t>
            </w:r>
          </w:p>
        </w:tc>
      </w:tr>
      <w:tr>
        <w:tc>
          <w:tcPr/>
          <w:p>
            <w:pPr>
              <w:pStyle w:val="Compact"/>
            </w:pPr>
            <w:r>
              <w:t xml:space="preserve">Otology/neurotology</w:t>
            </w:r>
          </w:p>
        </w:tc>
        <w:tc>
          <w:tcPr/>
          <w:p>
            <w:pPr>
              <w:pStyle w:val="Compact"/>
            </w:pPr>
            <w:r>
              <w:t xml:space="preserve">70-year-old parent with progressive hearing loss; cochlear-implant candidate</w:t>
            </w:r>
          </w:p>
        </w:tc>
        <w:tc>
          <w:tcPr/>
          <w:p>
            <w:pPr>
              <w:pStyle w:val="Compact"/>
            </w:pPr>
            <w:r>
              <w:t xml:space="preserve">“My 70-year-old mother has been worked up for hearing loss by our audiologist and a general ENT. She has had progressive hearing loss and is no longer getting benefit from hearing aids. After her most recent hearing test, she was referred to Dr. ___ to discuss possible cochlear implantation.”</w:t>
            </w:r>
          </w:p>
        </w:tc>
      </w:tr>
      <w:tr>
        <w:tc>
          <w:tcPr/>
          <w:p>
            <w:pPr>
              <w:pStyle w:val="Compact"/>
            </w:pPr>
            <w:r>
              <w:t xml:space="preserve">Laryngology</w:t>
            </w:r>
          </w:p>
        </w:tc>
        <w:tc>
          <w:tcPr/>
          <w:p>
            <w:pPr>
              <w:pStyle w:val="Compact"/>
            </w:pPr>
            <w:r>
              <w:t xml:space="preserve">70-year-old parent with dysphonia; paralyzed vocal cord after cardiac surgery</w:t>
            </w:r>
          </w:p>
        </w:tc>
        <w:tc>
          <w:tcPr/>
          <w:p>
            <w:pPr>
              <w:pStyle w:val="Compact"/>
            </w:pPr>
            <w:r>
              <w:t xml:space="preserve">“My 70-year-old father has been evaluated and treated for a hoarse voice by a general ENT and speech pathologist. He was told he has a paralyzed vocal cord after open heart surgery two years ago. He has completed a variety of treatments, but his voice has not improved. He is being referred to Dr. ___ to discuss possible surgical options for his voice.”</w:t>
            </w:r>
          </w:p>
        </w:tc>
      </w:tr>
      <w:tr>
        <w:tc>
          <w:tcPr/>
          <w:p>
            <w:pPr>
              <w:pStyle w:val="Compact"/>
            </w:pPr>
            <w:r>
              <w:t xml:space="preserve">Facial plastic surgery</w:t>
            </w:r>
          </w:p>
        </w:tc>
        <w:tc>
          <w:tcPr/>
          <w:p>
            <w:pPr>
              <w:pStyle w:val="Compact"/>
            </w:pPr>
            <w:r>
              <w:t xml:space="preserve">Post-traumatic nasal deformity and obstruction; rhinoplasty evaluation</w:t>
            </w:r>
          </w:p>
        </w:tc>
        <w:tc>
          <w:tcPr/>
          <w:p>
            <w:pPr>
              <w:pStyle w:val="Compact"/>
            </w:pPr>
            <w:r>
              <w:t xml:space="preserve">“I have been worked up for difficulty breathing through my nose and a change in the appearance of my nose after a car accident one year ago by my primary care doctor. I was referred to Dr. ___ to discuss possible surgical options to improve my breathing and shape of my nose.”</w:t>
            </w:r>
          </w:p>
        </w:tc>
      </w:tr>
      <w:tr>
        <w:tc>
          <w:tcPr/>
          <w:p>
            <w:pPr>
              <w:pStyle w:val="Compact"/>
            </w:pPr>
            <w:r>
              <w:t xml:space="preserve">Head and neck oncology</w:t>
            </w:r>
          </w:p>
        </w:tc>
        <w:tc>
          <w:tcPr/>
          <w:p>
            <w:pPr>
              <w:pStyle w:val="Compact"/>
            </w:pPr>
            <w:r>
              <w:t xml:space="preserve">Thyroid nodule with biopsy showing high malignancy risk; thyroidectomy discussion</w:t>
            </w:r>
          </w:p>
        </w:tc>
        <w:tc>
          <w:tcPr/>
          <w:p>
            <w:pPr>
              <w:pStyle w:val="Compact"/>
            </w:pPr>
            <w:r>
              <w:t xml:space="preserve">“I have been worked up for a thyroid nodule by my primary care provider. I had a biopsy done by an endocrinologist that showed a 70% chance of thyroid cancer. I was referred to Dr. ___ to discuss possible thyroidectomy.”</w:t>
            </w:r>
          </w:p>
        </w:tc>
      </w:tr>
      <w:tr>
        <w:tc>
          <w:tcPr/>
          <w:p>
            <w:pPr>
              <w:pStyle w:val="Compact"/>
            </w:pPr>
            <w:r>
              <w:t xml:space="preserve">Sleep medicine</w:t>
            </w:r>
          </w:p>
        </w:tc>
        <w:tc>
          <w:tcPr/>
          <w:p>
            <w:pPr>
              <w:pStyle w:val="Compact"/>
            </w:pPr>
            <w:r>
              <w:t xml:space="preserve">No dedicated script</w:t>
            </w:r>
          </w:p>
        </w:tc>
        <w:tc>
          <w:tcPr/>
          <w:p>
            <w:pPr>
              <w:pStyle w:val="Compact"/>
            </w:pPr>
            <w:r>
              <w:t xml:space="preserve">Because script selection followed fellowship training and no sleep-specific vignette existed, physicians classified as sleep medicine received the</w:t>
            </w:r>
            <w:r>
              <w:t xml:space="preserve"> </w:t>
            </w:r>
            <w:r>
              <w:rPr>
                <w:b/>
                <w:bCs/>
              </w:rPr>
              <w:t xml:space="preserve">general otolaryngology</w:t>
            </w:r>
            <w:r>
              <w:t xml:space="preserve"> </w:t>
            </w:r>
            <w:r>
              <w:t xml:space="preserve">script above.</w:t>
            </w:r>
          </w:p>
        </w:tc>
      </w:tr>
    </w:tbl>
    <w:p>
      <w:r>
        <w:br w:type="page"/>
      </w:r>
    </w:p>
    <w:bookmarkEnd w:id="69"/>
    <w:bookmarkEnd w:id="70"/>
    <w:bookmarkStart w:id="115" w:name="references"/>
    <w:p>
      <w:pPr>
        <w:pStyle w:val="Heading1"/>
      </w:pPr>
      <w:r>
        <w:t xml:space="preserve">References</w:t>
      </w:r>
    </w:p>
    <w:bookmarkStart w:id="114"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2011"/>
    <w:p>
      <w:pPr>
        <w:pStyle w:val="Bibliography"/>
      </w:pPr>
      <w:r>
        <w:t xml:space="preserve">5.</w:t>
      </w:r>
      <w:r>
        <w:t xml:space="preserve"> </w:t>
      </w:r>
      <w:r>
        <w:t xml:space="preserve">	</w:t>
      </w:r>
      <w:r>
        <w:t xml:space="preserve">Rhodes KV. Taking the mystery out of</w:t>
      </w:r>
      <w:r>
        <w:t xml:space="preserve"> </w:t>
      </w:r>
      <w:r>
        <w:t xml:space="preserve">“mystery shopper”</w:t>
      </w:r>
      <w:r>
        <w:t xml:space="preserve"> </w:t>
      </w:r>
      <w:r>
        <w:t xml:space="preserve">studies.</w:t>
      </w:r>
      <w:r>
        <w:t xml:space="preserve"> </w:t>
      </w:r>
      <w:r>
        <w:rPr>
          <w:i/>
          <w:iCs/>
        </w:rPr>
        <w:t xml:space="preserve">New England Journal of Medicine</w:t>
      </w:r>
      <w:r>
        <w:t xml:space="preserve">. 2011;365(6):484-486. doi:</w:t>
      </w:r>
      <w:hyperlink r:id="rId79">
        <w:r>
          <w:rPr>
            <w:rStyle w:val="Hyperlink"/>
          </w:rPr>
          <w:t xml:space="preserve">10.1056/NEJMp1107779</w:t>
        </w:r>
      </w:hyperlink>
    </w:p>
    <w:bookmarkEnd w:id="80"/>
    <w:bookmarkStart w:id="82" w:name="ref-blinkhorn2013"/>
    <w:p>
      <w:pPr>
        <w:pStyle w:val="Bibliography"/>
      </w:pPr>
      <w:r>
        <w:t xml:space="preserve">6.</w:t>
      </w:r>
      <w:r>
        <w:t xml:space="preserve"> </w:t>
      </w:r>
      <w:r>
        <w:t xml:space="preserve">	</w:t>
      </w:r>
      <w:r>
        <w:t xml:space="preserve">Blinkhorn L. Secret shoppers and conflicts of interest.</w:t>
      </w:r>
      <w:r>
        <w:t xml:space="preserve"> </w:t>
      </w:r>
      <w:r>
        <w:rPr>
          <w:i/>
          <w:iCs/>
        </w:rPr>
        <w:t xml:space="preserve">AMA Journal of Ethics (Virtual Mentor)</w:t>
      </w:r>
      <w:r>
        <w:t xml:space="preserve">. 2013;15(2):119-124. doi:</w:t>
      </w:r>
      <w:hyperlink r:id="rId81">
        <w:r>
          <w:rPr>
            <w:rStyle w:val="Hyperlink"/>
          </w:rPr>
          <w:t xml:space="preserve">10.1001/virtualmentor.2013.15.2.bndr1-1302</w:t>
        </w:r>
      </w:hyperlink>
    </w:p>
    <w:bookmarkEnd w:id="82"/>
    <w:bookmarkStart w:id="84" w:name="ref-rhodesmiller2012"/>
    <w:p>
      <w:pPr>
        <w:pStyle w:val="Bibliography"/>
      </w:pPr>
      <w:r>
        <w:t xml:space="preserve">7.</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83">
        <w:r>
          <w:rPr>
            <w:rStyle w:val="Hyperlink"/>
          </w:rPr>
          <w:t xml:space="preserve">10.1111/j.1468-0009.2012.00680.x</w:t>
        </w:r>
      </w:hyperlink>
    </w:p>
    <w:bookmarkEnd w:id="84"/>
    <w:bookmarkStart w:id="85" w:name="ref-moriarty2003"/>
    <w:p>
      <w:pPr>
        <w:pStyle w:val="Bibliography"/>
      </w:pPr>
      <w:r>
        <w:t xml:space="preserve">8.</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5"/>
    <w:bookmarkStart w:id="87" w:name="ref-hodson2025"/>
    <w:p>
      <w:pPr>
        <w:pStyle w:val="Bibliography"/>
      </w:pPr>
      <w:r>
        <w:t xml:space="preserve">9.</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6">
        <w:r>
          <w:rPr>
            <w:rStyle w:val="Hyperlink"/>
          </w:rPr>
          <w:t xml:space="preserve">10.1136/bmjopen-2025-100719</w:t>
        </w:r>
      </w:hyperlink>
    </w:p>
    <w:bookmarkEnd w:id="87"/>
    <w:bookmarkStart w:id="89" w:name="ref-lungfiel2023"/>
    <w:p>
      <w:pPr>
        <w:pStyle w:val="Bibliography"/>
      </w:pPr>
      <w:r>
        <w:t xml:space="preserve">10.</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8">
        <w:r>
          <w:rPr>
            <w:rStyle w:val="Hyperlink"/>
          </w:rPr>
          <w:t xml:space="preserve">10.1186/s40545-023-00565-w</w:t>
        </w:r>
      </w:hyperlink>
    </w:p>
    <w:bookmarkEnd w:id="89"/>
    <w:bookmarkStart w:id="91" w:name="ref-campbell2013"/>
    <w:p>
      <w:pPr>
        <w:pStyle w:val="Bibliography"/>
      </w:pPr>
      <w:r>
        <w:t xml:space="preserve">11.</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90">
        <w:r>
          <w:rPr>
            <w:rStyle w:val="Hyperlink"/>
          </w:rPr>
          <w:t xml:space="preserve">10.3399/bjgp13X664216</w:t>
        </w:r>
      </w:hyperlink>
    </w:p>
    <w:bookmarkEnd w:id="91"/>
    <w:bookmarkStart w:id="92" w:name="ref-kfffee"/>
    <w:p>
      <w:pPr>
        <w:pStyle w:val="Bibliography"/>
      </w:pPr>
      <w:r>
        <w:t xml:space="preserve">12.</w:t>
      </w:r>
      <w:r>
        <w:t xml:space="preserve"> </w:t>
      </w:r>
      <w:r>
        <w:t xml:space="preserve">	</w:t>
      </w:r>
      <w:r>
        <w:t xml:space="preserve">Kaiser Family Foundation. Medicaid-to-medicare fee index. Published online 2024.</w:t>
      </w:r>
    </w:p>
    <w:bookmarkEnd w:id="92"/>
    <w:bookmarkStart w:id="93" w:name="ref-cdcsvi"/>
    <w:p>
      <w:pPr>
        <w:pStyle w:val="Bibliography"/>
      </w:pPr>
      <w:r>
        <w:t xml:space="preserve">13.</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93"/>
    <w:bookmarkStart w:id="95" w:name="ref-emmeans"/>
    <w:p>
      <w:pPr>
        <w:pStyle w:val="Bibliography"/>
      </w:pPr>
      <w:r>
        <w:t xml:space="preserve">14.</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4">
        <w:r>
          <w:rPr>
            <w:rStyle w:val="Hyperlink"/>
          </w:rPr>
          <w:t xml:space="preserve">https://CRAN.R-project.org/package=emmeans</w:t>
        </w:r>
      </w:hyperlink>
    </w:p>
    <w:bookmarkEnd w:id="95"/>
    <w:bookmarkStart w:id="97" w:name="ref-rcoreteam"/>
    <w:p>
      <w:pPr>
        <w:pStyle w:val="Bibliography"/>
      </w:pPr>
      <w:r>
        <w:t xml:space="preserve">15.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6">
        <w:r>
          <w:rPr>
            <w:rStyle w:val="Hyperlink"/>
          </w:rPr>
          <w:t xml:space="preserve">https://www.R-project.org/</w:t>
        </w:r>
      </w:hyperlink>
    </w:p>
    <w:bookmarkEnd w:id="97"/>
    <w:bookmarkStart w:id="99" w:name="ref-glmmTMB"/>
    <w:p>
      <w:pPr>
        <w:pStyle w:val="Bibliography"/>
      </w:pPr>
      <w:r>
        <w:t xml:space="preserve">16.</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8">
        <w:r>
          <w:rPr>
            <w:rStyle w:val="Hyperlink"/>
          </w:rPr>
          <w:t xml:space="preserve">10.32614/RJ-2017-066</w:t>
        </w:r>
      </w:hyperlink>
    </w:p>
    <w:bookmarkEnd w:id="99"/>
    <w:bookmarkStart w:id="101" w:name="ref-strobe"/>
    <w:p>
      <w:pPr>
        <w:pStyle w:val="Bibliography"/>
      </w:pPr>
      <w:r>
        <w:t xml:space="preserve">17.</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100">
        <w:r>
          <w:rPr>
            <w:rStyle w:val="Hyperlink"/>
          </w:rPr>
          <w:t xml:space="preserve">10.7326/0003-4819-147-8-200710160-00010</w:t>
        </w:r>
      </w:hyperlink>
    </w:p>
    <w:bookmarkEnd w:id="101"/>
    <w:bookmarkStart w:id="103" w:name="ref-crisp2021"/>
    <w:p>
      <w:pPr>
        <w:pStyle w:val="Bibliography"/>
      </w:pPr>
      <w:r>
        <w:t xml:space="preserve">18.</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102">
        <w:r>
          <w:rPr>
            <w:rStyle w:val="Hyperlink"/>
          </w:rPr>
          <w:t xml:space="preserve">10.1093/ijpp/riaa002</w:t>
        </w:r>
      </w:hyperlink>
    </w:p>
    <w:bookmarkEnd w:id="103"/>
    <w:bookmarkStart w:id="105" w:name="ref-crisphe2024"/>
    <w:p>
      <w:pPr>
        <w:pStyle w:val="Bibliography"/>
      </w:pPr>
      <w:r>
        <w:t xml:space="preserve">19.</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4">
        <w:r>
          <w:rPr>
            <w:rStyle w:val="Hyperlink"/>
          </w:rPr>
          <w:t xml:space="preserve">10.1093/ijpp/riae019</w:t>
        </w:r>
      </w:hyperlink>
    </w:p>
    <w:bookmarkEnd w:id="105"/>
    <w:bookmarkStart w:id="107" w:name="ref-corbisiero2024"/>
    <w:p>
      <w:pPr>
        <w:pStyle w:val="Bibliography"/>
      </w:pPr>
      <w:r>
        <w:t xml:space="preserve">20.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6">
        <w:r>
          <w:rPr>
            <w:rStyle w:val="Hyperlink"/>
          </w:rPr>
          <w:t xml:space="preserve">10.1002/ohn.752</w:t>
        </w:r>
      </w:hyperlink>
    </w:p>
    <w:bookmarkEnd w:id="107"/>
    <w:bookmarkStart w:id="109" w:name="ref-saeedi2025"/>
    <w:p>
      <w:pPr>
        <w:pStyle w:val="Bibliography"/>
      </w:pPr>
      <w:r>
        <w:t xml:space="preserve">21.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8">
        <w:r>
          <w:rPr>
            <w:rStyle w:val="Hyperlink"/>
          </w:rPr>
          <w:t xml:space="preserve">10.7759/cureus.91744</w:t>
        </w:r>
      </w:hyperlink>
    </w:p>
    <w:bookmarkEnd w:id="109"/>
    <w:bookmarkStart w:id="111" w:name="ref-pollack2016"/>
    <w:p>
      <w:pPr>
        <w:pStyle w:val="Bibliography"/>
      </w:pPr>
      <w:r>
        <w:t xml:space="preserve">22.</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10">
        <w:r>
          <w:rPr>
            <w:rStyle w:val="Hyperlink"/>
          </w:rPr>
          <w:t xml:space="preserve">10.1371/journal.pone.0164411</w:t>
        </w:r>
      </w:hyperlink>
    </w:p>
    <w:bookmarkEnd w:id="111"/>
    <w:bookmarkStart w:id="113" w:name="ref-wilkinson2018"/>
    <w:p>
      <w:pPr>
        <w:pStyle w:val="Bibliography"/>
      </w:pPr>
      <w:r>
        <w:t xml:space="preserve">23.</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12">
        <w:r>
          <w:rPr>
            <w:rStyle w:val="Hyperlink"/>
          </w:rPr>
          <w:t xml:space="preserve">10.1016/j.jadohealth.2017.11.303</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Grace E. Falk; Eric J. Dobratz, MD; [RA co-authors — full names &amp; degrees to confirm: Chin, Deol, Gregg, Kim, Roesch, Walsh]; Tyler M. Muffly, MD; Cristina Cabrera-Muffly, MD</dc:creator>
  <cp:keywords/>
  <dcterms:created xsi:type="dcterms:W3CDTF">2026-07-18T19:16:52Z</dcterms:created>
  <dcterms:modified xsi:type="dcterms:W3CDTF">2026-07-18T19:16:52Z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