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46.png" ContentType="image/png"/>
  <Override PartName="/word/media/rId49.png" ContentType="image/png"/>
  <Override PartName="/word/media/rId52.png" ContentType="image/png"/>
  <Override PartName="/word/media/rId58.png" ContentType="image/png"/>
  <Override PartName="/word/media/rId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 and Subspecialty Determinants of Access to Otolaryngology Care: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 Geographic reach was assessed with drive-time isochrones (Valhalla routing) around each practice.</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2.26 (95% CI 1.08–4.75; p = 0.031)), and waits were longer for laryngology (IRR 2.25 (95% CI 1.13–4.46; p = 0.020)) and pediatric otolaryngology (IRR 1.54 (95% CI 1.04–2.28; p = 0.031)). No geographic covariate was associated with either outcome. Drive-time analysis showed 78% of continental U.S. land lies within a 180-minute drive of a sampled practice, leaving roughly one-fifth of the country beyond a 3-hour drive.</w:t>
      </w:r>
    </w:p>
    <w:p>
      <w:pPr>
        <w:pStyle w:val="BodyText"/>
      </w:pPr>
      <w:r>
        <w:rPr>
          <w:b/>
          <w:bCs/>
        </w:rPr>
        <w:t xml:space="preserve">Conclusions.</w:t>
      </w:r>
      <w:r>
        <w:t xml:space="preserve"> </w:t>
      </w:r>
      <w:r>
        <w:t xml:space="preserve">Access to otolaryngology care is shaped more by the requested subspecialty and by large under-served geographic areas than by local supply, insurance generosity, or social vulnerability.</w:t>
      </w:r>
    </w:p>
    <w:bookmarkEnd w:id="20"/>
    <w:bookmarkStart w:id="21" w:name="introduction"/>
    <w:p>
      <w:pPr>
        <w:pStyle w:val="Heading2"/>
      </w:pPr>
      <w:r>
        <w:t xml:space="preserve">Introduction</w:t>
      </w:r>
    </w:p>
    <w:p>
      <w:pPr>
        <w:pStyle w:val="FirstParagraph"/>
      </w:pPr>
      <w:r>
        <w:rPr>
          <w:i/>
          <w:iCs/>
        </w:rPr>
        <w:t xml:space="preserve">[Introduction to be written: burden of otolaryngologic disease, prior access literature, rationale for a national mystery-caller design, and the specific gap this study fills.]</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w:t>
        </w:r>
      </w:hyperlink>
      <w:r>
        <w:t xml:space="preserve">; the CDC/ATSDR Social Vulnerability Index (SVI, 2022, tract-level, population-weighted to the practice ZIP)</w:t>
      </w:r>
      <w:hyperlink w:anchor="ref-cdcsvi">
        <w:r>
          <w:rPr>
            <w:rStyle w:val="Hyperlink"/>
            <w:vertAlign w:val="superscript"/>
          </w:rPr>
          <w:t xml:space="preserve">2</w:t>
        </w:r>
      </w:hyperlink>
      <w:r>
        <w:t xml:space="preserve">; the county fraction of Medicare beneficiaries dual-eligible for Medicaid (CMS); metropolitan hospital-market concentration (Herfindahl–Hirschman Index [HHI], KFF 2024; available for metropolitan areas only); rurality (RUCA-based urban/suburban/rural); and the American Academy of Otolaryngology–Head and Neck Surgery (AAO-HNS) Board of Governors region.</w:t>
      </w:r>
    </w:p>
    <w:bookmarkEnd w:id="24"/>
    <w:bookmarkStart w:id="25" w:name="drive-time-isochrone-analysis"/>
    <w:p>
      <w:pPr>
        <w:pStyle w:val="Heading3"/>
      </w:pPr>
      <w:r>
        <w:t xml:space="preserve">Drive-time (isochrone) analysis</w:t>
      </w:r>
    </w:p>
    <w:p>
      <w:pPr>
        <w:pStyle w:val="FirstParagraph"/>
      </w:pPr>
      <w:r>
        <w:t xml:space="preserve">Geographic reach was assessed with drive-time isochrones. Each practice was geolocated to its ZIP-code centroid, and 30-, 60-, 120-, and 180-minute driving isochrones were computed with the Valhalla routing engine (automobile profile) served from a self-hosted instance</w:t>
      </w:r>
      <w:hyperlink w:anchor="ref-valhalla">
        <w:r>
          <w:rPr>
            <w:rStyle w:val="Hyperlink"/>
            <w:vertAlign w:val="superscript"/>
          </w:rPr>
          <w:t xml:space="preserve">3</w:t>
        </w:r>
      </w:hyperlink>
      <w:r>
        <w:t xml:space="preserve">. Isochrones from all practices were dissolved into a single coverage polygon per travel-time band, clipped to the continental United States, and the covered fraction of land area was computed in an equal-area projection.</w:t>
      </w:r>
    </w:p>
    <w:bookmarkEnd w:id="25"/>
    <w:bookmarkStart w:id="26"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6</w:t>
        </w:r>
      </w:hyperlink>
      <w:r>
        <w:t xml:space="preserve">,</w:t>
      </w:r>
      <w:r>
        <w:t xml:space="preserve"> </w:t>
      </w:r>
      <w:r>
        <w:rPr>
          <w:rStyle w:val="VerbatimChar"/>
        </w:rPr>
        <w:t xml:space="preserve">emmeans</w:t>
      </w:r>
      <w:hyperlink w:anchor="ref-emmeans">
        <w:r>
          <w:rPr>
            <w:rStyle w:val="Hyperlink"/>
            <w:vertAlign w:val="superscript"/>
          </w:rPr>
          <w:t xml:space="preserve">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7</w:t>
        </w:r>
      </w:hyperlink>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the analytic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66"/>
        <w:gridCol w:w="1976"/>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Value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 (complete calls, subspecialty known)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Facial Plastics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 (10.7%)</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General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501 (68.5%)</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 (3.7%)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 (1.8%)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 (4.4%)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 (2.6%)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 (2.2%)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 (7.8%)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Suburban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307 (42.0%)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367 (50.2%)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 (14.9%)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Mid-Atlantic/Southeast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67 (9.2%)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Middle Atlantic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 (12.4%)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(21.1%)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Mountain/Southwest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 (6.6%)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Pacific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 (12.0%)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 per 100k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4.65 (3.17-6.94)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 (0.64-0.83)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 (overall)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 (0.36-0.63)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fraction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(0.12-0.21)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Appointment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433 (59.2%)</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Business-day wait, if offered [median (IQR)]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 (5-30)</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2.26 (95% CI 1.08–4.75; p = 0.031)), while otology/neurotology trended lower (OR 0.49 (95% CI 0.23–1.07; p = 0.074)). No geographic covariate was associated with access: county ENT supply (OR 0.96 (95% CI 0.81–1.13; p = 0.603) per SD), the Medicaid fee index (OR 0.91 (95% CI 0.77–1.07; p = 0.250)), social vulnerability (OR 0.95 (95% CI 0.80–1.13; p = 0.583)), and dual-eligibility (OR 1.00 (95% CI 0.83–1.20; p = 0.975))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1.13–4.46; p = 0.020)) and pediatric otolaryngology (IRR 1.54 (95% CI 1.04–2.28; p = 0.031)).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(1.08–4.75)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(0.49–1.75)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0.823</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(0.71–1.50)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(0.72–1.50)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 (0.72–1.81)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 (0.81–1.42)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r>
    </w:tbl>
    <w:bookmarkEnd w:id="30"/>
    <w:bookmarkStart w:id="31" w:name="geographic-reach-drive-time-access"/>
    <w:p>
      <w:pPr>
        <w:pStyle w:val="Heading3"/>
      </w:pPr>
      <w:r>
        <w:t xml:space="preserve">Geographic reach (drive-time access)</w:t>
      </w:r>
    </w:p>
    <w:p>
      <w:pPr>
        <w:pStyle w:val="FirstParagraph"/>
      </w:pPr>
      <w:r>
        <w:t xml:space="preserve">Drive-time isochrones around the 555 distinct sampled practice locations show that access is limited less by local supply than by large under-served areas: 7.6%, 29.3%, 61.2%, and 78.3% of continental U.S. land area lies within a 30-, 60-, 120-, and 180-minute drive of a sampled practice, respectively (</w:t>
      </w:r>
      <w:r>
        <w:rPr>
          <w:b/>
          <w:bCs/>
        </w:rPr>
        <w:t xml:space="preserve">Figure 3</w:t>
      </w:r>
      <w:r>
        <w:t xml:space="preserve">). Roughly one-fifth of the country is more than a 3-hour drive from any sampled otolaryngologist, concentrated in the Mountain West, Great Plains, and desert Southwest.</w:t>
      </w:r>
    </w:p>
    <w:bookmarkEnd w:id="31"/>
    <w:bookmarkStart w:id="32"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2"/>
    <w:bookmarkEnd w:id="33"/>
    <w:bookmarkStart w:id="34" w:name="discussion"/>
    <w:p>
      <w:pPr>
        <w:pStyle w:val="Heading2"/>
      </w:pPr>
      <w:r>
        <w:t xml:space="preserve">Discussion</w:t>
      </w:r>
    </w:p>
    <w:p>
      <w:pPr>
        <w:pStyle w:val="FirstParagraph"/>
      </w:pPr>
      <w:r>
        <w:rPr>
          <w:i/>
          <w:iCs/>
        </w:rPr>
        <w:t xml:space="preserve">[Discussion to be written.]</w:t>
      </w:r>
      <w:r>
        <w:t xml:space="preserve"> </w:t>
      </w:r>
      <w:r>
        <w:t xml:space="preserve">Three findings anchor the interpretation. First,</w:t>
      </w:r>
      <w:r>
        <w:t xml:space="preserve"> </w:t>
      </w:r>
      <w:r>
        <w:rPr>
          <w:b/>
          <w:bCs/>
        </w:rPr>
        <w:t xml:space="preserve">who you ask for matters more than where you are</w:t>
      </w:r>
      <w:r>
        <w:t xml:space="preserve">: the requested subspecialty drove both the odds of an appointment and the wait, whereas local ENT supply, Medicaid generosity, social vulnerability, and dual-eligibility were uniformly null. Second,</w:t>
      </w:r>
      <w:r>
        <w:t xml:space="preserve"> </w:t>
      </w:r>
      <w:r>
        <w:rPr>
          <w:b/>
          <w:bCs/>
        </w:rPr>
        <w:t xml:space="preserve">pediatric and laryngology care are timeliness bottlenecks</w:t>
      </w:r>
      <w:r>
        <w:t xml:space="preserve"> </w:t>
      </w:r>
      <w:r>
        <w:t xml:space="preserve">even where access exists. Third, the apparent absence of a geographic</w:t>
      </w:r>
      <w:r>
        <w:t xml:space="preserve"> </w:t>
      </w:r>
      <w:r>
        <w:rPr>
          <w:i/>
          <w:iCs/>
        </w:rPr>
        <w:t xml:space="preserve">covariate</w:t>
      </w:r>
      <w:r>
        <w:t xml:space="preserve"> </w:t>
      </w:r>
      <w:r>
        <w:t xml:space="preserve">effect coexists with a stark geographic</w:t>
      </w:r>
      <w:r>
        <w:t xml:space="preserve"> </w:t>
      </w:r>
      <w:r>
        <w:rPr>
          <w:i/>
          <w:iCs/>
        </w:rPr>
        <w:t xml:space="preserve">coverage</w:t>
      </w:r>
      <w:r>
        <w:t xml:space="preserve"> </w:t>
      </w:r>
      <w:r>
        <w:t xml:space="preserve">gap — roughly a fifth of the U.S. land area is beyond a 3-hour drive of any sampled practice — indicating that the access problem is one of absolute absence in large regions rather than gradients in supply where practices exist. Limitations include modest power for the rural and geographic contrasts, a single call per physician, and ZIP-centroid geolocation for the drive-time analysis.</w:t>
      </w:r>
    </w:p>
    <w:bookmarkEnd w:id="34"/>
    <w:bookmarkStart w:id="44"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6" name="Picture"/>
            <a:graphic>
              <a:graphicData uri="http://schemas.openxmlformats.org/drawingml/2006/picture">
                <pic:pic>
                  <pic:nvPicPr>
                    <pic:cNvPr descr="model_output/strobe_flow_mysterycall.png" id="37" name="Picture"/>
                    <pic:cNvPicPr>
                      <a:picLocks noChangeArrowheads="1" noChangeAspect="1"/>
                    </pic:cNvPicPr>
                  </pic:nvPicPr>
                  <pic:blipFill>
                    <a:blip r:embed="rId35"/>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9" name="Picture"/>
            <a:graphic>
              <a:graphicData uri="http://schemas.openxmlformats.org/drawingml/2006/picture">
                <pic:pic>
                  <pic:nvPicPr>
                    <pic:cNvPr descr="model_output/forest_access_timelines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pPr>
        <w:pStyle w:val="BodyText"/>
      </w:pPr>
      <w:r>
        <w:rPr>
          <w:b/>
          <w:bCs/>
        </w:rPr>
        <w:t xml:space="preserve">Figure 3. National drive-time access to sampled ENT practices.</w:t>
      </w:r>
    </w:p>
    <w:p>
      <w:pPr>
        <w:pStyle w:val="CaptionedFigure"/>
      </w:pPr>
      <w:r>
        <w:drawing>
          <wp:inline>
            <wp:extent cx="5334000" cy="3911600"/>
            <wp:effectExtent b="0" l="0" r="0" t="0"/>
            <wp:docPr descr="Figure 3. Land area within a 30/60/120/180-minute drive of any sampled practice." title="" id="42" name="Picture"/>
            <a:graphic>
              <a:graphicData uri="http://schemas.openxmlformats.org/drawingml/2006/picture">
                <pic:pic>
                  <pic:nvPicPr>
                    <pic:cNvPr descr="model_output/isochrones/figS7_ent_drivetime_coverage.png" id="43" name="Picture"/>
                    <pic:cNvPicPr>
                      <a:picLocks noChangeArrowheads="1" noChangeAspect="1"/>
                    </pic:cNvPicPr>
                  </pic:nvPicPr>
                  <pic:blipFill>
                    <a:blip r:embed="rId41"/>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t xml:space="preserve">Figure 3. Land area within a 30/60/120/180-minute drive of any sampled practice.</w:t>
      </w:r>
    </w:p>
    <w:p>
      <w:r>
        <w:br w:type="page"/>
      </w:r>
    </w:p>
    <w:bookmarkEnd w:id="44"/>
    <w:bookmarkStart w:id="65" w:name="supplementary-material"/>
    <w:p>
      <w:pPr>
        <w:pStyle w:val="Heading1"/>
      </w:pPr>
      <w:r>
        <w:t xml:space="preserve">Supplementary Material</w:t>
      </w:r>
    </w:p>
    <w:bookmarkStart w:id="45"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-0.104</w:t>
            </w:r>
          </w:p>
        </w:tc>
        <w:tc>
          <w:tcPr/>
          <w:p>
            <w:pPr>
              <w:pStyle w:val="Compact"/>
              <w:jc w:val="right"/>
            </w:pPr>
            <w:r>
              <w:t xml:space="preserve">0.266</w:t>
            </w:r>
          </w:p>
        </w:tc>
        <w:tc>
          <w:tcPr/>
          <w:p>
            <w:pPr>
              <w:pStyle w:val="Compact"/>
              <w:jc w:val="right"/>
            </w:pPr>
            <w:r>
              <w:t xml:space="preserve">-0.391</w:t>
            </w:r>
          </w:p>
        </w:tc>
        <w:tc>
          <w:tcPr/>
          <w:p>
            <w:pPr>
              <w:pStyle w:val="Compact"/>
              <w:jc w:val="right"/>
            </w:pPr>
            <w:r>
              <w:t xml:space="preserve">0.696</w:t>
            </w:r>
          </w:p>
        </w:tc>
        <w:tc>
          <w:tcPr/>
          <w:p>
            <w:pPr>
              <w:pStyle w:val="Compact"/>
              <w:jc w:val="left"/>
            </w:pPr>
            <w:r>
              <w:t xml:space="preserve">0.696</w:t>
            </w:r>
          </w:p>
        </w:tc>
        <w:tc>
          <w:tcPr/>
          <w:p>
            <w:pPr>
              <w:pStyle w:val="Compact"/>
              <w:jc w:val="right"/>
            </w:pPr>
            <w:r>
              <w:t xml:space="preserve">0.901</w:t>
            </w:r>
          </w:p>
        </w:tc>
        <w:tc>
          <w:tcPr/>
          <w:p>
            <w:pPr>
              <w:pStyle w:val="Compact"/>
              <w:jc w:val="right"/>
            </w:pPr>
            <w:r>
              <w:t xml:space="preserve">0.535</w:t>
            </w:r>
          </w:p>
        </w:tc>
        <w:tc>
          <w:tcPr/>
          <w:p>
            <w:pPr>
              <w:pStyle w:val="Compact"/>
              <w:jc w:val="right"/>
            </w:pPr>
            <w:r>
              <w:t xml:space="preserve">1.518</w:t>
            </w:r>
          </w:p>
        </w:tc>
      </w:tr>
      <w:tr>
        <w:tc>
          <w:tcPr/>
          <w:p>
            <w:pPr>
              <w:pStyle w:val="Compact"/>
              <w:jc w:val="left"/>
            </w:pPr>
            <w:r>
              <w:t xml:space="preserve">ent_typeHead and Neck Cancer</w:t>
            </w:r>
          </w:p>
        </w:tc>
        <w:tc>
          <w:tcPr/>
          <w:p>
            <w:pPr>
              <w:pStyle w:val="Compact"/>
              <w:jc w:val="right"/>
            </w:pPr>
            <w:r>
              <w:t xml:space="preserve">-0.186</w:t>
            </w:r>
          </w:p>
        </w:tc>
        <w:tc>
          <w:tcPr/>
          <w:p>
            <w:pPr>
              <w:pStyle w:val="Compact"/>
              <w:jc w:val="right"/>
            </w:pPr>
            <w:r>
              <w:t xml:space="preserve">0.426</w:t>
            </w:r>
          </w:p>
        </w:tc>
        <w:tc>
          <w:tcPr/>
          <w:p>
            <w:pPr>
              <w:pStyle w:val="Compact"/>
              <w:jc w:val="right"/>
            </w:pPr>
            <w:r>
              <w:t xml:space="preserve">-0.438</w:t>
            </w:r>
          </w:p>
        </w:tc>
        <w:tc>
          <w:tcPr/>
          <w:p>
            <w:pPr>
              <w:pStyle w:val="Compact"/>
              <w:jc w:val="right"/>
            </w:pPr>
            <w:r>
              <w:t xml:space="preserve">0.661</w:t>
            </w:r>
          </w:p>
        </w:tc>
        <w:tc>
          <w:tcPr/>
          <w:p>
            <w:pPr>
              <w:pStyle w:val="Compact"/>
              <w:jc w:val="left"/>
            </w:pPr>
            <w:r>
              <w:t xml:space="preserve">0.661</w:t>
            </w:r>
          </w:p>
        </w:tc>
        <w:tc>
          <w:tcPr/>
          <w:p>
            <w:pPr>
              <w:pStyle w:val="Compact"/>
              <w:jc w:val="right"/>
            </w:pPr>
            <w:r>
              <w:t xml:space="preserve">0.830</w:t>
            </w:r>
          </w:p>
        </w:tc>
        <w:tc>
          <w:tcPr/>
          <w:p>
            <w:pPr>
              <w:pStyle w:val="Compact"/>
              <w:jc w:val="right"/>
            </w:pPr>
            <w:r>
              <w:t xml:space="preserve">0.360</w:t>
            </w:r>
          </w:p>
        </w:tc>
        <w:tc>
          <w:tcPr/>
          <w:p>
            <w:pPr>
              <w:pStyle w:val="Compact"/>
              <w:jc w:val="right"/>
            </w:pPr>
            <w:r>
              <w:t xml:space="preserve">1.912</w:t>
            </w:r>
          </w:p>
        </w:tc>
      </w:tr>
      <w:tr>
        <w:tc>
          <w:tcPr/>
          <w:p>
            <w:pPr>
              <w:pStyle w:val="Compact"/>
              <w:jc w:val="left"/>
            </w:pPr>
            <w:r>
              <w:t xml:space="preserve">ent_typeLaryngology</w:t>
            </w:r>
          </w:p>
        </w:tc>
        <w:tc>
          <w:tcPr/>
          <w:p>
            <w:pPr>
              <w:pStyle w:val="Compact"/>
              <w:jc w:val="right"/>
            </w:pPr>
            <w:r>
              <w:t xml:space="preserve">0.555</w:t>
            </w:r>
          </w:p>
        </w:tc>
        <w:tc>
          <w:tcPr/>
          <w:p>
            <w:pPr>
              <w:pStyle w:val="Compact"/>
              <w:jc w:val="right"/>
            </w:pPr>
            <w:r>
              <w:t xml:space="preserve">0.638</w:t>
            </w:r>
          </w:p>
        </w:tc>
        <w:tc>
          <w:tcPr/>
          <w:p>
            <w:pPr>
              <w:pStyle w:val="Compact"/>
              <w:jc w:val="right"/>
            </w:pPr>
            <w:r>
              <w:t xml:space="preserve">0.869</w:t>
            </w:r>
          </w:p>
        </w:tc>
        <w:tc>
          <w:tcPr/>
          <w:p>
            <w:pPr>
              <w:pStyle w:val="Compact"/>
              <w:jc w:val="right"/>
            </w:pPr>
            <w:r>
              <w:t xml:space="preserve">0.385</w:t>
            </w:r>
          </w:p>
        </w:tc>
        <w:tc>
          <w:tcPr/>
          <w:p>
            <w:pPr>
              <w:pStyle w:val="Compact"/>
              <w:jc w:val="left"/>
            </w:pPr>
            <w:r>
              <w:t xml:space="preserve">0.385</w:t>
            </w:r>
          </w:p>
        </w:tc>
        <w:tc>
          <w:tcPr/>
          <w:p>
            <w:pPr>
              <w:pStyle w:val="Compact"/>
              <w:jc w:val="right"/>
            </w:pPr>
            <w:r>
              <w:t xml:space="preserve">1.741</w:t>
            </w:r>
          </w:p>
        </w:tc>
        <w:tc>
          <w:tcPr/>
          <w:p>
            <w:pPr>
              <w:pStyle w:val="Compact"/>
              <w:jc w:val="right"/>
            </w:pPr>
            <w:r>
              <w:t xml:space="preserve">0.499</w:t>
            </w:r>
          </w:p>
        </w:tc>
        <w:tc>
          <w:tcPr/>
          <w:p>
            <w:pPr>
              <w:pStyle w:val="Compact"/>
              <w:jc w:val="right"/>
            </w:pPr>
            <w:r>
              <w:t xml:space="preserve">6.083</w:t>
            </w:r>
          </w:p>
        </w:tc>
      </w:tr>
      <w:tr>
        <w:tc>
          <w:tcPr/>
          <w:p>
            <w:pPr>
              <w:pStyle w:val="Compact"/>
              <w:jc w:val="left"/>
            </w:pPr>
            <w:r>
              <w:t xml:space="preserve">ent_typeOtology/neurotology</w:t>
            </w:r>
          </w:p>
        </w:tc>
        <w:tc>
          <w:tcPr/>
          <w:p>
            <w:pPr>
              <w:pStyle w:val="Compact"/>
              <w:jc w:val="right"/>
            </w:pPr>
            <w:r>
              <w:t xml:space="preserve">-0.704</w:t>
            </w:r>
          </w:p>
        </w:tc>
        <w:tc>
          <w:tcPr/>
          <w:p>
            <w:pPr>
              <w:pStyle w:val="Compact"/>
              <w:jc w:val="right"/>
            </w:pPr>
            <w:r>
              <w:t xml:space="preserve">0.395</w:t>
            </w:r>
          </w:p>
        </w:tc>
        <w:tc>
          <w:tcPr/>
          <w:p>
            <w:pPr>
              <w:pStyle w:val="Compact"/>
              <w:jc w:val="right"/>
            </w:pPr>
            <w:r>
              <w:t xml:space="preserve">-1.784</w:t>
            </w:r>
          </w:p>
        </w:tc>
        <w:tc>
          <w:tcPr/>
          <w:p>
            <w:pPr>
              <w:pStyle w:val="Compact"/>
              <w:jc w:val="right"/>
            </w:pPr>
            <w:r>
              <w:t xml:space="preserve">0.074</w:t>
            </w:r>
          </w:p>
        </w:tc>
        <w:tc>
          <w:tcPr/>
          <w:p>
            <w:pPr>
              <w:pStyle w:val="Compact"/>
              <w:jc w:val="left"/>
            </w:pPr>
            <w:r>
              <w:t xml:space="preserve">0.074</w:t>
            </w:r>
          </w:p>
        </w:tc>
        <w:tc>
          <w:tcPr/>
          <w:p>
            <w:pPr>
              <w:pStyle w:val="Compact"/>
              <w:jc w:val="right"/>
            </w:pPr>
            <w:r>
              <w:t xml:space="preserve">0.495</w:t>
            </w:r>
          </w:p>
        </w:tc>
        <w:tc>
          <w:tcPr/>
          <w:p>
            <w:pPr>
              <w:pStyle w:val="Compact"/>
              <w:jc w:val="right"/>
            </w:pPr>
            <w:r>
              <w:t xml:space="preserve">0.228</w:t>
            </w:r>
          </w:p>
        </w:tc>
        <w:tc>
          <w:tcPr/>
          <w:p>
            <w:pPr>
              <w:pStyle w:val="Compact"/>
              <w:jc w:val="right"/>
            </w:pPr>
            <w:r>
              <w:t xml:space="preserve">1.072</w:t>
            </w:r>
          </w:p>
        </w:tc>
      </w:tr>
      <w:tr>
        <w:tc>
          <w:tcPr/>
          <w:p>
            <w:pPr>
              <w:pStyle w:val="Compact"/>
              <w:jc w:val="left"/>
            </w:pPr>
            <w:r>
              <w:t xml:space="preserve">ent_typePediatrics</w:t>
            </w:r>
          </w:p>
        </w:tc>
        <w:tc>
          <w:tcPr/>
          <w:p>
            <w:pPr>
              <w:pStyle w:val="Compact"/>
              <w:jc w:val="right"/>
            </w:pPr>
            <w:r>
              <w:t xml:space="preserve">0.815</w:t>
            </w:r>
          </w:p>
        </w:tc>
        <w:tc>
          <w:tcPr/>
          <w:p>
            <w:pPr>
              <w:pStyle w:val="Compact"/>
              <w:jc w:val="right"/>
            </w:pPr>
            <w:r>
              <w:t xml:space="preserve">0.379</w:t>
            </w:r>
          </w:p>
        </w:tc>
        <w:tc>
          <w:tcPr/>
          <w:p>
            <w:pPr>
              <w:pStyle w:val="Compact"/>
              <w:jc w:val="right"/>
            </w:pPr>
            <w:r>
              <w:t xml:space="preserve">2.154</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2.260</w:t>
            </w:r>
          </w:p>
        </w:tc>
        <w:tc>
          <w:tcPr/>
          <w:p>
            <w:pPr>
              <w:pStyle w:val="Compact"/>
              <w:jc w:val="right"/>
            </w:pPr>
            <w:r>
              <w:t xml:space="preserve">1.076</w:t>
            </w:r>
          </w:p>
        </w:tc>
        <w:tc>
          <w:tcPr/>
          <w:p>
            <w:pPr>
              <w:pStyle w:val="Compact"/>
              <w:jc w:val="right"/>
            </w:pPr>
            <w:r>
              <w:t xml:space="preserve">4.746</w:t>
            </w:r>
          </w:p>
        </w:tc>
      </w:tr>
      <w:tr>
        <w:tc>
          <w:tcPr/>
          <w:p>
            <w:pPr>
              <w:pStyle w:val="Compact"/>
              <w:jc w:val="left"/>
            </w:pPr>
            <w:r>
              <w:t xml:space="preserve">ent_typeRhinology</w:t>
            </w:r>
          </w:p>
        </w:tc>
        <w:tc>
          <w:tcPr/>
          <w:p>
            <w:pPr>
              <w:pStyle w:val="Compact"/>
              <w:jc w:val="right"/>
            </w:pPr>
            <w:r>
              <w:t xml:space="preserve">0.745</w:t>
            </w:r>
          </w:p>
        </w:tc>
        <w:tc>
          <w:tcPr/>
          <w:p>
            <w:pPr>
              <w:pStyle w:val="Compact"/>
              <w:jc w:val="right"/>
            </w:pPr>
            <w:r>
              <w:t xml:space="preserve">0.549</w:t>
            </w:r>
          </w:p>
        </w:tc>
        <w:tc>
          <w:tcPr/>
          <w:p>
            <w:pPr>
              <w:pStyle w:val="Compact"/>
              <w:jc w:val="right"/>
            </w:pPr>
            <w:r>
              <w:t xml:space="preserve">1.358</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2.107</w:t>
            </w:r>
          </w:p>
        </w:tc>
        <w:tc>
          <w:tcPr/>
          <w:p>
            <w:pPr>
              <w:pStyle w:val="Compact"/>
              <w:jc w:val="right"/>
            </w:pPr>
            <w:r>
              <w:t xml:space="preserve">0.719</w:t>
            </w:r>
          </w:p>
        </w:tc>
        <w:tc>
          <w:tcPr/>
          <w:p>
            <w:pPr>
              <w:pStyle w:val="Compact"/>
              <w:jc w:val="right"/>
            </w:pPr>
            <w:r>
              <w:t xml:space="preserve">6.174</w:t>
            </w:r>
          </w:p>
        </w:tc>
      </w:tr>
      <w:tr>
        <w:tc>
          <w:tcPr/>
          <w:p>
            <w:pPr>
              <w:pStyle w:val="Compact"/>
              <w:jc w:val="left"/>
            </w:pPr>
            <w:r>
              <w:t xml:space="preserve">ent_typeSleep</w:t>
            </w:r>
          </w:p>
        </w:tc>
        <w:tc>
          <w:tcPr/>
          <w:p>
            <w:pPr>
              <w:pStyle w:val="Compact"/>
              <w:jc w:val="right"/>
            </w:pPr>
            <w:r>
              <w:t xml:space="preserve">0.506</w:t>
            </w:r>
          </w:p>
        </w:tc>
        <w:tc>
          <w:tcPr/>
          <w:p>
            <w:pPr>
              <w:pStyle w:val="Compact"/>
              <w:jc w:val="right"/>
            </w:pPr>
            <w:r>
              <w:t xml:space="preserve">0.566</w:t>
            </w:r>
          </w:p>
        </w:tc>
        <w:tc>
          <w:tcPr/>
          <w:p>
            <w:pPr>
              <w:pStyle w:val="Compact"/>
              <w:jc w:val="right"/>
            </w:pPr>
            <w:r>
              <w:t xml:space="preserve">0.895</w:t>
            </w:r>
          </w:p>
        </w:tc>
        <w:tc>
          <w:tcPr/>
          <w:p>
            <w:pPr>
              <w:pStyle w:val="Compact"/>
              <w:jc w:val="right"/>
            </w:pPr>
            <w:r>
              <w:t xml:space="preserve">0.371</w:t>
            </w:r>
          </w:p>
        </w:tc>
        <w:tc>
          <w:tcPr/>
          <w:p>
            <w:pPr>
              <w:pStyle w:val="Compact"/>
              <w:jc w:val="left"/>
            </w:pPr>
            <w:r>
              <w:t xml:space="preserve">0.371</w:t>
            </w:r>
          </w:p>
        </w:tc>
        <w:tc>
          <w:tcPr/>
          <w:p>
            <w:pPr>
              <w:pStyle w:val="Compact"/>
              <w:jc w:val="right"/>
            </w:pPr>
            <w:r>
              <w:t xml:space="preserve">1.659</w:t>
            </w:r>
          </w:p>
        </w:tc>
        <w:tc>
          <w:tcPr/>
          <w:p>
            <w:pPr>
              <w:pStyle w:val="Compact"/>
              <w:jc w:val="right"/>
            </w:pPr>
            <w:r>
              <w:t xml:space="preserve">0.547</w:t>
            </w:r>
          </w:p>
        </w:tc>
        <w:tc>
          <w:tcPr/>
          <w:p>
            <w:pPr>
              <w:pStyle w:val="Compact"/>
              <w:jc w:val="right"/>
            </w:pPr>
            <w:r>
              <w:t xml:space="preserve">5.027</w:t>
            </w:r>
          </w:p>
        </w:tc>
      </w:tr>
      <w:tr>
        <w:tc>
          <w:tcPr/>
          <w:p>
            <w:pPr>
              <w:pStyle w:val="Compact"/>
              <w:jc w:val="left"/>
            </w:pPr>
            <w:r>
              <w:t xml:space="preserve">ent_per_100k_z</w:t>
            </w:r>
          </w:p>
        </w:tc>
        <w:tc>
          <w:tcPr/>
          <w:p>
            <w:pPr>
              <w:pStyle w:val="Compact"/>
              <w:jc w:val="right"/>
            </w:pPr>
            <w:r>
              <w:t xml:space="preserve">-0.044</w:t>
            </w:r>
          </w:p>
        </w:tc>
        <w:tc>
          <w:tcPr/>
          <w:p>
            <w:pPr>
              <w:pStyle w:val="Compact"/>
              <w:jc w:val="right"/>
            </w:pPr>
            <w:r>
              <w:t xml:space="preserve">0.085</w:t>
            </w:r>
          </w:p>
        </w:tc>
        <w:tc>
          <w:tcPr/>
          <w:p>
            <w:pPr>
              <w:pStyle w:val="Compact"/>
              <w:jc w:val="right"/>
            </w:pPr>
            <w:r>
              <w:t xml:space="preserve">-0.520</w:t>
            </w:r>
          </w:p>
        </w:tc>
        <w:tc>
          <w:tcPr/>
          <w:p>
            <w:pPr>
              <w:pStyle w:val="Compact"/>
              <w:jc w:val="right"/>
            </w:pPr>
            <w:r>
              <w:t xml:space="preserve">0.603</w:t>
            </w:r>
          </w:p>
        </w:tc>
        <w:tc>
          <w:tcPr/>
          <w:p>
            <w:pPr>
              <w:pStyle w:val="Compact"/>
              <w:jc w:val="left"/>
            </w:pPr>
            <w:r>
              <w:t xml:space="preserve">0.603</w:t>
            </w:r>
          </w:p>
        </w:tc>
        <w:tc>
          <w:tcPr/>
          <w:p>
            <w:pPr>
              <w:pStyle w:val="Compact"/>
              <w:jc w:val="right"/>
            </w:pPr>
            <w:r>
              <w:t xml:space="preserve">0.957</w:t>
            </w:r>
          </w:p>
        </w:tc>
        <w:tc>
          <w:tcPr/>
          <w:p>
            <w:pPr>
              <w:pStyle w:val="Compact"/>
              <w:jc w:val="right"/>
            </w:pPr>
            <w:r>
              <w:t xml:space="preserve">0.811</w:t>
            </w:r>
          </w:p>
        </w:tc>
        <w:tc>
          <w:tcPr/>
          <w:p>
            <w:pPr>
              <w:pStyle w:val="Compact"/>
              <w:jc w:val="right"/>
            </w:pPr>
            <w:r>
              <w:t xml:space="preserve">1.129</w:t>
            </w:r>
          </w:p>
        </w:tc>
      </w:tr>
      <w:tr>
        <w:tc>
          <w:tcPr/>
          <w:p>
            <w:pPr>
              <w:pStyle w:val="Compact"/>
              <w:jc w:val="left"/>
            </w:pPr>
            <w:r>
              <w:t xml:space="preserve">medicaid_fee_index_z</w:t>
            </w:r>
          </w:p>
        </w:tc>
        <w:tc>
          <w:tcPr/>
          <w:p>
            <w:pPr>
              <w:pStyle w:val="Compact"/>
              <w:jc w:val="right"/>
            </w:pPr>
            <w:r>
              <w:t xml:space="preserve">-0.095</w:t>
            </w:r>
          </w:p>
        </w:tc>
        <w:tc>
          <w:tcPr/>
          <w:p>
            <w:pPr>
              <w:pStyle w:val="Compact"/>
              <w:jc w:val="right"/>
            </w:pPr>
            <w:r>
              <w:t xml:space="preserve">0.082</w:t>
            </w:r>
          </w:p>
        </w:tc>
        <w:tc>
          <w:tcPr/>
          <w:p>
            <w:pPr>
              <w:pStyle w:val="Compact"/>
              <w:jc w:val="right"/>
            </w:pPr>
            <w:r>
              <w:t xml:space="preserve">-1.150</w:t>
            </w:r>
          </w:p>
        </w:tc>
        <w:tc>
          <w:tcPr/>
          <w:p>
            <w:pPr>
              <w:pStyle w:val="Compact"/>
              <w:jc w:val="right"/>
            </w:pPr>
            <w:r>
              <w:t xml:space="preserve">0.250</w:t>
            </w:r>
          </w:p>
        </w:tc>
        <w:tc>
          <w:tcPr/>
          <w:p>
            <w:pPr>
              <w:pStyle w:val="Compact"/>
              <w:jc w:val="left"/>
            </w:pPr>
            <w:r>
              <w:t xml:space="preserve">0.250</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1.069</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-0.550</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-0.003</w:t>
            </w:r>
          </w:p>
        </w:tc>
        <w:tc>
          <w:tcPr/>
          <w:p>
            <w:pPr>
              <w:pStyle w:val="Compact"/>
              <w:jc w:val="right"/>
            </w:pPr>
            <w:r>
              <w:t xml:space="preserve">0.092</w:t>
            </w:r>
          </w:p>
        </w:tc>
        <w:tc>
          <w:tcPr/>
          <w:p>
            <w:pPr>
              <w:pStyle w:val="Compact"/>
              <w:jc w:val="right"/>
            </w:pPr>
            <w:r>
              <w:t xml:space="preserve">-0.031</w:t>
            </w:r>
          </w:p>
        </w:tc>
        <w:tc>
          <w:tcPr/>
          <w:p>
            <w:pPr>
              <w:pStyle w:val="Compact"/>
              <w:jc w:val="right"/>
            </w:pPr>
            <w:r>
              <w:t xml:space="preserve">0.975</w:t>
            </w:r>
          </w:p>
        </w:tc>
        <w:tc>
          <w:tcPr/>
          <w:p>
            <w:pPr>
              <w:pStyle w:val="Compact"/>
              <w:jc w:val="left"/>
            </w:pPr>
            <w:r>
              <w:t xml:space="preserve">0.975</w:t>
            </w:r>
          </w:p>
        </w:tc>
        <w:tc>
          <w:tcPr/>
          <w:p>
            <w:pPr>
              <w:pStyle w:val="Compact"/>
              <w:jc w:val="right"/>
            </w:pPr>
            <w:r>
              <w:t xml:space="preserve">0.997</w:t>
            </w:r>
          </w:p>
        </w:tc>
        <w:tc>
          <w:tcPr/>
          <w:p>
            <w:pPr>
              <w:pStyle w:val="Compact"/>
              <w:jc w:val="right"/>
            </w:pPr>
            <w:r>
              <w:t xml:space="preserve">0.832</w:t>
            </w:r>
          </w:p>
        </w:tc>
        <w:tc>
          <w:tcPr/>
          <w:p>
            <w:pPr>
              <w:pStyle w:val="Compact"/>
              <w:jc w:val="right"/>
            </w:pPr>
            <w:r>
              <w:t xml:space="preserve">1.195</w:t>
            </w:r>
          </w:p>
        </w:tc>
      </w:tr>
      <w:tr>
        <w:tc>
          <w:tcPr/>
          <w:p>
            <w:pPr>
              <w:pStyle w:val="Compact"/>
              <w:jc w:val="left"/>
            </w:pPr>
            <w:r>
              <w:t xml:space="preserve">ruralRural</w:t>
            </w:r>
          </w:p>
        </w:tc>
        <w:tc>
          <w:tcPr/>
          <w:p>
            <w:pPr>
              <w:pStyle w:val="Compact"/>
              <w:jc w:val="right"/>
            </w:pPr>
            <w:r>
              <w:t xml:space="preserve">-0.072</w:t>
            </w:r>
          </w:p>
        </w:tc>
        <w:tc>
          <w:tcPr/>
          <w:p>
            <w:pPr>
              <w:pStyle w:val="Compact"/>
              <w:jc w:val="right"/>
            </w:pPr>
            <w:r>
              <w:t xml:space="preserve">0.322</w:t>
            </w:r>
          </w:p>
        </w:tc>
        <w:tc>
          <w:tcPr/>
          <w:p>
            <w:pPr>
              <w:pStyle w:val="Compact"/>
              <w:jc w:val="right"/>
            </w:pPr>
            <w:r>
              <w:t xml:space="preserve">-0.224</w:t>
            </w:r>
          </w:p>
        </w:tc>
        <w:tc>
          <w:tcPr/>
          <w:p>
            <w:pPr>
              <w:pStyle w:val="Compact"/>
              <w:jc w:val="right"/>
            </w:pPr>
            <w:r>
              <w:t xml:space="preserve">0.823</w:t>
            </w:r>
          </w:p>
        </w:tc>
        <w:tc>
          <w:tcPr/>
          <w:p>
            <w:pPr>
              <w:pStyle w:val="Compact"/>
              <w:jc w:val="left"/>
            </w:pPr>
            <w:r>
              <w:t xml:space="preserve">0.823</w:t>
            </w:r>
          </w:p>
        </w:tc>
        <w:tc>
          <w:tcPr/>
          <w:p>
            <w:pPr>
              <w:pStyle w:val="Compact"/>
              <w:jc w:val="right"/>
            </w:pPr>
            <w:r>
              <w:t xml:space="preserve">0.930</w:t>
            </w:r>
          </w:p>
        </w:tc>
        <w:tc>
          <w:tcPr/>
          <w:p>
            <w:pPr>
              <w:pStyle w:val="Compact"/>
              <w:jc w:val="right"/>
            </w:pPr>
            <w:r>
              <w:t xml:space="preserve">0.495</w:t>
            </w:r>
          </w:p>
        </w:tc>
        <w:tc>
          <w:tcPr/>
          <w:p>
            <w:pPr>
              <w:pStyle w:val="Compact"/>
              <w:jc w:val="right"/>
            </w:pPr>
            <w:r>
              <w:t xml:space="preserve">1.750</w:t>
            </w:r>
          </w:p>
        </w:tc>
      </w:tr>
      <w:tr>
        <w:tc>
          <w:tcPr/>
          <w:p>
            <w:pPr>
              <w:pStyle w:val="Compact"/>
              <w:jc w:val="left"/>
            </w:pPr>
            <w:r>
              <w:t xml:space="preserve">ruralSuburban</w:t>
            </w:r>
          </w:p>
        </w:tc>
        <w:tc>
          <w:tcPr/>
          <w:p>
            <w:pPr>
              <w:pStyle w:val="Compact"/>
              <w:jc w:val="right"/>
            </w:pPr>
            <w:r>
              <w:t xml:space="preserve">0.034</w:t>
            </w:r>
          </w:p>
        </w:tc>
        <w:tc>
          <w:tcPr/>
          <w:p>
            <w:pPr>
              <w:pStyle w:val="Compact"/>
              <w:jc w:val="right"/>
            </w:pPr>
            <w:r>
              <w:t xml:space="preserve">0.189</w:t>
            </w:r>
          </w:p>
        </w:tc>
        <w:tc>
          <w:tcPr/>
          <w:p>
            <w:pPr>
              <w:pStyle w:val="Compact"/>
              <w:jc w:val="right"/>
            </w:pPr>
            <w:r>
              <w:t xml:space="preserve">0.180</w:t>
            </w:r>
          </w:p>
        </w:tc>
        <w:tc>
          <w:tcPr/>
          <w:p>
            <w:pPr>
              <w:pStyle w:val="Compact"/>
              <w:jc w:val="right"/>
            </w:pPr>
            <w:r>
              <w:t xml:space="preserve">0.857</w:t>
            </w:r>
          </w:p>
        </w:tc>
        <w:tc>
          <w:tcPr/>
          <w:p>
            <w:pPr>
              <w:pStyle w:val="Compact"/>
              <w:jc w:val="left"/>
            </w:pPr>
            <w:r>
              <w:t xml:space="preserve">0.857</w:t>
            </w:r>
          </w:p>
        </w:tc>
        <w:tc>
          <w:tcPr/>
          <w:p>
            <w:pPr>
              <w:pStyle w:val="Compact"/>
              <w:jc w:val="right"/>
            </w:pPr>
            <w:r>
              <w:t xml:space="preserve">1.034</w:t>
            </w:r>
          </w:p>
        </w:tc>
        <w:tc>
          <w:tcPr/>
          <w:p>
            <w:pPr>
              <w:pStyle w:val="Compact"/>
              <w:jc w:val="right"/>
            </w:pPr>
            <w:r>
              <w:t xml:space="preserve">0.715</w:t>
            </w:r>
          </w:p>
        </w:tc>
        <w:tc>
          <w:tcPr/>
          <w:p>
            <w:pPr>
              <w:pStyle w:val="Compact"/>
              <w:jc w:val="right"/>
            </w:pPr>
            <w:r>
              <w:t xml:space="preserve">1.497</w:t>
            </w:r>
          </w:p>
        </w:tc>
      </w:tr>
      <w:tr>
        <w:tc>
          <w:tcPr/>
          <w:p>
            <w:pPr>
              <w:pStyle w:val="Compact"/>
              <w:jc w:val="left"/>
            </w:pPr>
            <w:r>
              <w:t xml:space="preserve">caller_fDeol</w:t>
            </w:r>
          </w:p>
        </w:tc>
        <w:tc>
          <w:tcPr/>
          <w:p>
            <w:pPr>
              <w:pStyle w:val="Compact"/>
              <w:jc w:val="right"/>
            </w:pPr>
            <w:r>
              <w:t xml:space="preserve">0.851</w:t>
            </w:r>
          </w:p>
        </w:tc>
        <w:tc>
          <w:tcPr/>
          <w:p>
            <w:pPr>
              <w:pStyle w:val="Compact"/>
              <w:jc w:val="right"/>
            </w:pPr>
            <w:r>
              <w:t xml:space="preserve">0.255</w:t>
            </w:r>
          </w:p>
        </w:tc>
        <w:tc>
          <w:tcPr/>
          <w:p>
            <w:pPr>
              <w:pStyle w:val="Compact"/>
              <w:jc w:val="right"/>
            </w:pPr>
            <w:r>
              <w:t xml:space="preserve">3.341</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2.342</w:t>
            </w:r>
          </w:p>
        </w:tc>
        <w:tc>
          <w:tcPr/>
          <w:p>
            <w:pPr>
              <w:pStyle w:val="Compact"/>
              <w:jc w:val="right"/>
            </w:pPr>
            <w:r>
              <w:t xml:space="preserve">1.422</w:t>
            </w:r>
          </w:p>
        </w:tc>
        <w:tc>
          <w:tcPr/>
          <w:p>
            <w:pPr>
              <w:pStyle w:val="Compact"/>
              <w:jc w:val="right"/>
            </w:pPr>
            <w:r>
              <w:t xml:space="preserve">3.858</w:t>
            </w:r>
          </w:p>
        </w:tc>
      </w:tr>
      <w:tr>
        <w:tc>
          <w:tcPr/>
          <w:p>
            <w:pPr>
              <w:pStyle w:val="Compact"/>
              <w:jc w:val="left"/>
            </w:pPr>
            <w:r>
              <w:t xml:space="preserve">caller_fFalk</w:t>
            </w:r>
          </w:p>
        </w:tc>
        <w:tc>
          <w:tcPr/>
          <w:p>
            <w:pPr>
              <w:pStyle w:val="Compact"/>
              <w:jc w:val="right"/>
            </w:pPr>
            <w:r>
              <w:t xml:space="preserve">0.693</w:t>
            </w:r>
          </w:p>
        </w:tc>
        <w:tc>
          <w:tcPr/>
          <w:p>
            <w:pPr>
              <w:pStyle w:val="Compact"/>
              <w:jc w:val="right"/>
            </w:pPr>
            <w:r>
              <w:t xml:space="preserve">0.290</w:t>
            </w:r>
          </w:p>
        </w:tc>
        <w:tc>
          <w:tcPr/>
          <w:p>
            <w:pPr>
              <w:pStyle w:val="Compact"/>
              <w:jc w:val="right"/>
            </w:pPr>
            <w:r>
              <w:t xml:space="preserve">2.394</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2.000</w:t>
            </w:r>
          </w:p>
        </w:tc>
        <w:tc>
          <w:tcPr/>
          <w:p>
            <w:pPr>
              <w:pStyle w:val="Compact"/>
              <w:jc w:val="right"/>
            </w:pPr>
            <w:r>
              <w:t xml:space="preserve">1.134</w:t>
            </w:r>
          </w:p>
        </w:tc>
        <w:tc>
          <w:tcPr/>
          <w:p>
            <w:pPr>
              <w:pStyle w:val="Compact"/>
              <w:jc w:val="right"/>
            </w:pPr>
            <w:r>
              <w:t xml:space="preserve">3.527</w:t>
            </w:r>
          </w:p>
        </w:tc>
      </w:tr>
      <w:tr>
        <w:tc>
          <w:tcPr/>
          <w:p>
            <w:pPr>
              <w:pStyle w:val="Compact"/>
              <w:jc w:val="left"/>
            </w:pPr>
            <w:r>
              <w:t xml:space="preserve">caller_fGregg</w:t>
            </w:r>
          </w:p>
        </w:tc>
        <w:tc>
          <w:tcPr/>
          <w:p>
            <w:pPr>
              <w:pStyle w:val="Compact"/>
              <w:jc w:val="right"/>
            </w:pPr>
            <w:r>
              <w:t xml:space="preserve">0.640</w:t>
            </w:r>
          </w:p>
        </w:tc>
        <w:tc>
          <w:tcPr/>
          <w:p>
            <w:pPr>
              <w:pStyle w:val="Compact"/>
              <w:jc w:val="right"/>
            </w:pPr>
            <w:r>
              <w:t xml:space="preserve">0.254</w:t>
            </w:r>
          </w:p>
        </w:tc>
        <w:tc>
          <w:tcPr/>
          <w:p>
            <w:pPr>
              <w:pStyle w:val="Compact"/>
              <w:jc w:val="right"/>
            </w:pPr>
            <w:r>
              <w:t xml:space="preserve">2.516</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1.896</w:t>
            </w:r>
          </w:p>
        </w:tc>
        <w:tc>
          <w:tcPr/>
          <w:p>
            <w:pPr>
              <w:pStyle w:val="Compact"/>
              <w:jc w:val="right"/>
            </w:pPr>
            <w:r>
              <w:t xml:space="preserve">1.152</w:t>
            </w:r>
          </w:p>
        </w:tc>
        <w:tc>
          <w:tcPr/>
          <w:p>
            <w:pPr>
              <w:pStyle w:val="Compact"/>
              <w:jc w:val="right"/>
            </w:pPr>
            <w:r>
              <w:t xml:space="preserve">3.121</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0.254</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1.983</w:t>
            </w:r>
          </w:p>
        </w:tc>
        <w:tc>
          <w:tcPr/>
          <w:p>
            <w:pPr>
              <w:pStyle w:val="Compact"/>
              <w:jc w:val="right"/>
            </w:pPr>
            <w:r>
              <w:t xml:space="preserve">1.205</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0.634</w:t>
            </w:r>
          </w:p>
        </w:tc>
        <w:tc>
          <w:tcPr/>
          <w:p>
            <w:pPr>
              <w:pStyle w:val="Compact"/>
              <w:jc w:val="right"/>
            </w:pPr>
            <w:r>
              <w:t xml:space="preserve">-1.095</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0.499</w:t>
            </w:r>
          </w:p>
        </w:tc>
        <w:tc>
          <w:tcPr/>
          <w:p>
            <w:pPr>
              <w:pStyle w:val="Compact"/>
              <w:jc w:val="right"/>
            </w:pPr>
            <w:r>
              <w:t xml:space="preserve">0.144</w:t>
            </w:r>
          </w:p>
        </w:tc>
        <w:tc>
          <w:tcPr/>
          <w:p>
            <w:pPr>
              <w:pStyle w:val="Compact"/>
              <w:jc w:val="right"/>
            </w:pPr>
            <w:r>
              <w:t xml:space="preserve">1.732</w:t>
            </w:r>
          </w:p>
        </w:tc>
      </w:tr>
      <w:tr>
        <w:tc>
          <w:tcPr/>
          <w:p>
            <w:pPr>
              <w:pStyle w:val="Compact"/>
              <w:jc w:val="left"/>
            </w:pPr>
            <w:r>
              <w:t xml:space="preserve">caller_fWalsh</w:t>
            </w:r>
          </w:p>
        </w:tc>
        <w:tc>
          <w:tcPr/>
          <w:p>
            <w:pPr>
              <w:pStyle w:val="Compact"/>
              <w:jc w:val="right"/>
            </w:pPr>
            <w:r>
              <w:t xml:space="preserve">0.809</w:t>
            </w:r>
          </w:p>
        </w:tc>
        <w:tc>
          <w:tcPr/>
          <w:p>
            <w:pPr>
              <w:pStyle w:val="Compact"/>
              <w:jc w:val="right"/>
            </w:pPr>
            <w:r>
              <w:t xml:space="preserve">0.250</w:t>
            </w:r>
          </w:p>
        </w:tc>
        <w:tc>
          <w:tcPr/>
          <w:p>
            <w:pPr>
              <w:pStyle w:val="Compact"/>
              <w:jc w:val="right"/>
            </w:pPr>
            <w:r>
              <w:t xml:space="preserve">3.235</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2.247</w:t>
            </w:r>
          </w:p>
        </w:tc>
        <w:tc>
          <w:tcPr/>
          <w:p>
            <w:pPr>
              <w:pStyle w:val="Compact"/>
              <w:jc w:val="right"/>
            </w:pPr>
            <w:r>
              <w:t xml:space="preserve">1.376</w:t>
            </w:r>
          </w:p>
        </w:tc>
        <w:tc>
          <w:tcPr/>
          <w:p>
            <w:pPr>
              <w:pStyle w:val="Compact"/>
              <w:jc w:val="right"/>
            </w:pPr>
            <w:r>
              <w:t xml:space="preserve">3.669</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1.04 (0.72-1.50)</w:t>
            </w:r>
          </w:p>
        </w:tc>
        <w:tc>
          <w:tcPr/>
          <w:p>
            <w:pPr>
              <w:pStyle w:val="Compact"/>
              <w:jc w:val="right"/>
            </w:pPr>
            <w:r>
              <w:t xml:space="preserve">0.852</w:t>
            </w:r>
          </w:p>
        </w:tc>
      </w:tr>
      <w:tr>
        <w:tc>
          <w:tcPr/>
          <w:p>
            <w:pPr>
              <w:pStyle w:val="Compact"/>
              <w:jc w:val="left"/>
            </w:pPr>
            <w:r>
              <w:t xml:space="preserve">ent_typeHead and Neck Cancer</w:t>
            </w:r>
          </w:p>
        </w:tc>
        <w:tc>
          <w:tcPr/>
          <w:p>
            <w:pPr>
              <w:pStyle w:val="Compact"/>
              <w:jc w:val="left"/>
            </w:pPr>
            <w:r>
              <w:t xml:space="preserve">1.26 (0.72-2.23)</w:t>
            </w:r>
          </w:p>
        </w:tc>
        <w:tc>
          <w:tcPr/>
          <w:p>
            <w:pPr>
              <w:pStyle w:val="Compact"/>
              <w:jc w:val="right"/>
            </w:pPr>
            <w:r>
              <w:t xml:space="preserve">0.421</w:t>
            </w:r>
          </w:p>
        </w:tc>
      </w:tr>
      <w:tr>
        <w:tc>
          <w:tcPr/>
          <w:p>
            <w:pPr>
              <w:pStyle w:val="Compact"/>
              <w:jc w:val="left"/>
            </w:pPr>
            <w:r>
              <w:t xml:space="preserve">ent_typeLaryngology</w:t>
            </w:r>
          </w:p>
        </w:tc>
        <w:tc>
          <w:tcPr/>
          <w:p>
            <w:pPr>
              <w:pStyle w:val="Compact"/>
              <w:jc w:val="left"/>
            </w:pPr>
            <w:r>
              <w:t xml:space="preserve">2.25 (1.13-4.46)</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1.21 (0.64-2.26)</w:t>
            </w:r>
          </w:p>
        </w:tc>
        <w:tc>
          <w:tcPr/>
          <w:p>
            <w:pPr>
              <w:pStyle w:val="Compact"/>
              <w:jc w:val="right"/>
            </w:pPr>
            <w:r>
              <w:t xml:space="preserve">0.557</w:t>
            </w:r>
          </w:p>
        </w:tc>
      </w:tr>
      <w:tr>
        <w:tc>
          <w:tcPr/>
          <w:p>
            <w:pPr>
              <w:pStyle w:val="Compact"/>
              <w:jc w:val="left"/>
            </w:pPr>
            <w:r>
              <w:t xml:space="preserve">ent_typePediatrics</w:t>
            </w:r>
          </w:p>
        </w:tc>
        <w:tc>
          <w:tcPr/>
          <w:p>
            <w:pPr>
              <w:pStyle w:val="Compact"/>
              <w:jc w:val="left"/>
            </w:pPr>
            <w:r>
              <w:t xml:space="preserve">1.54 (1.04-2.28)</w:t>
            </w:r>
          </w:p>
        </w:tc>
        <w:tc>
          <w:tcPr/>
          <w:p>
            <w:pPr>
              <w:pStyle w:val="Compact"/>
              <w:jc w:val="right"/>
            </w:pPr>
            <w:r>
              <w:t xml:space="preserve">0.031</w:t>
            </w:r>
          </w:p>
        </w:tc>
      </w:tr>
      <w:tr>
        <w:tc>
          <w:tcPr/>
          <w:p>
            <w:pPr>
              <w:pStyle w:val="Compact"/>
              <w:jc w:val="left"/>
            </w:pPr>
            <w:r>
              <w:t xml:space="preserve">ent_typeRhinology</w:t>
            </w:r>
          </w:p>
        </w:tc>
        <w:tc>
          <w:tcPr/>
          <w:p>
            <w:pPr>
              <w:pStyle w:val="Compact"/>
              <w:jc w:val="left"/>
            </w:pPr>
            <w:r>
              <w:t xml:space="preserve">1.55 (0.89-2.68)</w:t>
            </w:r>
          </w:p>
        </w:tc>
        <w:tc>
          <w:tcPr/>
          <w:p>
            <w:pPr>
              <w:pStyle w:val="Compact"/>
              <w:jc w:val="right"/>
            </w:pPr>
            <w:r>
              <w:t xml:space="preserve">0.121</w:t>
            </w:r>
          </w:p>
        </w:tc>
      </w:tr>
      <w:tr>
        <w:tc>
          <w:tcPr/>
          <w:p>
            <w:pPr>
              <w:pStyle w:val="Compact"/>
              <w:jc w:val="left"/>
            </w:pPr>
            <w:r>
              <w:t xml:space="preserve">ent_typeSleep</w:t>
            </w:r>
          </w:p>
        </w:tc>
        <w:tc>
          <w:tcPr/>
          <w:p>
            <w:pPr>
              <w:pStyle w:val="Compact"/>
              <w:jc w:val="left"/>
            </w:pPr>
            <w:r>
              <w:t xml:space="preserve">1.17 (0.61-2.24)</w:t>
            </w:r>
          </w:p>
        </w:tc>
        <w:tc>
          <w:tcPr/>
          <w:p>
            <w:pPr>
              <w:pStyle w:val="Compact"/>
              <w:jc w:val="right"/>
            </w:pPr>
            <w:r>
              <w:t xml:space="preserve">0.646</w:t>
            </w:r>
          </w:p>
        </w:tc>
      </w:tr>
      <w:tr>
        <w:tc>
          <w:tcPr/>
          <w:p>
            <w:pPr>
              <w:pStyle w:val="Compact"/>
              <w:jc w:val="left"/>
            </w:pPr>
            <w:r>
              <w:t xml:space="preserve">ent_per_100k_z</w:t>
            </w:r>
          </w:p>
        </w:tc>
        <w:tc>
          <w:tcPr/>
          <w:p>
            <w:pPr>
              <w:pStyle w:val="Compact"/>
              <w:jc w:val="left"/>
            </w:pPr>
            <w:r>
              <w:t xml:space="preserve">0.95 (0.81-1.11)</w:t>
            </w:r>
          </w:p>
        </w:tc>
        <w:tc>
          <w:tcPr/>
          <w:p>
            <w:pPr>
              <w:pStyle w:val="Compact"/>
              <w:jc w:val="right"/>
            </w:pPr>
            <w:r>
              <w:t xml:space="preserve">0.499</w:t>
            </w:r>
          </w:p>
        </w:tc>
      </w:tr>
      <w:tr>
        <w:tc>
          <w:tcPr/>
          <w:p>
            <w:pPr>
              <w:pStyle w:val="Compact"/>
              <w:jc w:val="left"/>
            </w:pPr>
            <w:r>
              <w:t xml:space="preserve">medicaid_fee_index_z</w:t>
            </w:r>
          </w:p>
        </w:tc>
        <w:tc>
          <w:tcPr/>
          <w:p>
            <w:pPr>
              <w:pStyle w:val="Compact"/>
              <w:jc w:val="left"/>
            </w:pPr>
            <w:r>
              <w:t xml:space="preserve">0.96 (0.84-1.10)</w:t>
            </w:r>
          </w:p>
        </w:tc>
        <w:tc>
          <w:tcPr/>
          <w:p>
            <w:pPr>
              <w:pStyle w:val="Compact"/>
              <w:jc w:val="right"/>
            </w:pPr>
            <w:r>
              <w:t xml:space="preserve">0.545</w:t>
            </w:r>
          </w:p>
        </w:tc>
      </w:tr>
      <w:tr>
        <w:tc>
          <w:tcPr/>
          <w:p>
            <w:pPr>
              <w:pStyle w:val="Compact"/>
              <w:jc w:val="left"/>
            </w:pPr>
            <w:r>
              <w:t xml:space="preserve">svi_overall_z</w:t>
            </w:r>
          </w:p>
        </w:tc>
        <w:tc>
          <w:tcPr/>
          <w:p>
            <w:pPr>
              <w:pStyle w:val="Compact"/>
              <w:jc w:val="left"/>
            </w:pPr>
            <w:r>
              <w:t xml:space="preserve">0.95 (0.84-1.07)</w:t>
            </w:r>
          </w:p>
        </w:tc>
        <w:tc>
          <w:tcPr/>
          <w:p>
            <w:pPr>
              <w:pStyle w:val="Compact"/>
              <w:jc w:val="right"/>
            </w:pPr>
            <w:r>
              <w:t xml:space="preserve">0.423</w:t>
            </w:r>
          </w:p>
        </w:tc>
      </w:tr>
      <w:tr>
        <w:tc>
          <w:tcPr/>
          <w:p>
            <w:pPr>
              <w:pStyle w:val="Compact"/>
              <w:jc w:val="left"/>
            </w:pPr>
            <w:r>
              <w:t xml:space="preserve">dual_pct_z</w:t>
            </w:r>
          </w:p>
        </w:tc>
        <w:tc>
          <w:tcPr/>
          <w:p>
            <w:pPr>
              <w:pStyle w:val="Compact"/>
              <w:jc w:val="left"/>
            </w:pPr>
            <w:r>
              <w:t xml:space="preserve">0.98 (0.86-1.12)</w:t>
            </w:r>
          </w:p>
        </w:tc>
        <w:tc>
          <w:tcPr/>
          <w:p>
            <w:pPr>
              <w:pStyle w:val="Compact"/>
              <w:jc w:val="right"/>
            </w:pPr>
            <w:r>
              <w:t xml:space="preserve">0.801</w:t>
            </w:r>
          </w:p>
        </w:tc>
      </w:tr>
      <w:tr>
        <w:tc>
          <w:tcPr/>
          <w:p>
            <w:pPr>
              <w:pStyle w:val="Compact"/>
              <w:jc w:val="left"/>
            </w:pPr>
            <w:r>
              <w:t xml:space="preserve">ruralRural</w:t>
            </w:r>
          </w:p>
        </w:tc>
        <w:tc>
          <w:tcPr/>
          <w:p>
            <w:pPr>
              <w:pStyle w:val="Compact"/>
              <w:jc w:val="left"/>
            </w:pPr>
            <w:r>
              <w:t xml:space="preserve">1.14 (0.72-1.81)</w:t>
            </w:r>
          </w:p>
        </w:tc>
        <w:tc>
          <w:tcPr/>
          <w:p>
            <w:pPr>
              <w:pStyle w:val="Compact"/>
              <w:jc w:val="right"/>
            </w:pPr>
            <w:r>
              <w:t xml:space="preserve">0.579</w:t>
            </w:r>
          </w:p>
        </w:tc>
      </w:tr>
      <w:tr>
        <w:tc>
          <w:tcPr/>
          <w:p>
            <w:pPr>
              <w:pStyle w:val="Compact"/>
              <w:jc w:val="left"/>
            </w:pPr>
            <w:r>
              <w:t xml:space="preserve">ruralSuburban</w:t>
            </w:r>
          </w:p>
        </w:tc>
        <w:tc>
          <w:tcPr/>
          <w:p>
            <w:pPr>
              <w:pStyle w:val="Compact"/>
              <w:jc w:val="left"/>
            </w:pPr>
            <w:r>
              <w:t xml:space="preserve">1.08 (0.81-1.42)</w:t>
            </w:r>
          </w:p>
        </w:tc>
        <w:tc>
          <w:tcPr/>
          <w:p>
            <w:pPr>
              <w:pStyle w:val="Compact"/>
              <w:jc w:val="right"/>
            </w:pPr>
            <w:r>
              <w:t xml:space="preserve">0.606</w:t>
            </w:r>
          </w:p>
        </w:tc>
      </w:tr>
      <w:tr>
        <w:tc>
          <w:tcPr/>
          <w:p>
            <w:pPr>
              <w:pStyle w:val="Compact"/>
              <w:jc w:val="left"/>
            </w:pPr>
            <w:r>
              <w:t xml:space="preserve">caller_fDeol</w:t>
            </w:r>
          </w:p>
        </w:tc>
        <w:tc>
          <w:tcPr/>
          <w:p>
            <w:pPr>
              <w:pStyle w:val="Compact"/>
              <w:jc w:val="left"/>
            </w:pPr>
            <w:r>
              <w:t xml:space="preserve">0.82 (0.59-1.14)</w:t>
            </w:r>
          </w:p>
        </w:tc>
        <w:tc>
          <w:tcPr/>
          <w:p>
            <w:pPr>
              <w:pStyle w:val="Compact"/>
              <w:jc w:val="right"/>
            </w:pPr>
            <w:r>
              <w:t xml:space="preserve">0.235</w:t>
            </w:r>
          </w:p>
        </w:tc>
      </w:tr>
      <w:tr>
        <w:tc>
          <w:tcPr/>
          <w:p>
            <w:pPr>
              <w:pStyle w:val="Compact"/>
              <w:jc w:val="left"/>
            </w:pPr>
            <w:r>
              <w:t xml:space="preserve">caller_fFalk</w:t>
            </w:r>
          </w:p>
        </w:tc>
        <w:tc>
          <w:tcPr/>
          <w:p>
            <w:pPr>
              <w:pStyle w:val="Compact"/>
              <w:jc w:val="left"/>
            </w:pPr>
            <w:r>
              <w:t xml:space="preserve">0.61 (0.41-0.91)</w:t>
            </w:r>
          </w:p>
        </w:tc>
        <w:tc>
          <w:tcPr/>
          <w:p>
            <w:pPr>
              <w:pStyle w:val="Compact"/>
              <w:jc w:val="right"/>
            </w:pPr>
            <w:r>
              <w:t xml:space="preserve">0.015</w:t>
            </w:r>
          </w:p>
        </w:tc>
      </w:tr>
      <w:tr>
        <w:tc>
          <w:tcPr/>
          <w:p>
            <w:pPr>
              <w:pStyle w:val="Compact"/>
              <w:jc w:val="left"/>
            </w:pPr>
            <w:r>
              <w:t xml:space="preserve">caller_fGregg</w:t>
            </w:r>
          </w:p>
        </w:tc>
        <w:tc>
          <w:tcPr/>
          <w:p>
            <w:pPr>
              <w:pStyle w:val="Compact"/>
              <w:jc w:val="left"/>
            </w:pPr>
            <w:r>
              <w:t xml:space="preserve">1.00 (0.71-1.40)</w:t>
            </w:r>
          </w:p>
        </w:tc>
        <w:tc>
          <w:tcPr/>
          <w:p>
            <w:pPr>
              <w:pStyle w:val="Compact"/>
              <w:jc w:val="right"/>
            </w:pPr>
            <w:r>
              <w:t xml:space="preserve">0.978</w:t>
            </w:r>
          </w:p>
        </w:tc>
      </w:tr>
      <w:tr>
        <w:tc>
          <w:tcPr/>
          <w:p>
            <w:pPr>
              <w:pStyle w:val="Compact"/>
              <w:jc w:val="left"/>
            </w:pPr>
            <w:r>
              <w:t xml:space="preserve">caller_fKim</w:t>
            </w:r>
          </w:p>
        </w:tc>
        <w:tc>
          <w:tcPr/>
          <w:p>
            <w:pPr>
              <w:pStyle w:val="Compact"/>
              <w:jc w:val="left"/>
            </w:pPr>
            <w:r>
              <w:t xml:space="preserve">1.00 (0.71-1.42)</w:t>
            </w:r>
          </w:p>
        </w:tc>
        <w:tc>
          <w:tcPr/>
          <w:p>
            <w:pPr>
              <w:pStyle w:val="Compact"/>
              <w:jc w:val="right"/>
            </w:pPr>
            <w:r>
              <w:t xml:space="preserve">0.999</w:t>
            </w:r>
          </w:p>
        </w:tc>
      </w:tr>
      <w:tr>
        <w:tc>
          <w:tcPr/>
          <w:p>
            <w:pPr>
              <w:pStyle w:val="Compact"/>
              <w:jc w:val="left"/>
            </w:pPr>
            <w:r>
              <w:t xml:space="preserve">caller_fOther</w:t>
            </w:r>
          </w:p>
        </w:tc>
        <w:tc>
          <w:tcPr/>
          <w:p>
            <w:pPr>
              <w:pStyle w:val="Compact"/>
              <w:jc w:val="left"/>
            </w:pPr>
            <w:r>
              <w:t xml:space="preserve">0.73 (0.26-2.10)</w:t>
            </w:r>
          </w:p>
        </w:tc>
        <w:tc>
          <w:tcPr/>
          <w:p>
            <w:pPr>
              <w:pStyle w:val="Compact"/>
              <w:jc w:val="right"/>
            </w:pPr>
            <w:r>
              <w:t xml:space="preserve">0.565</w:t>
            </w:r>
          </w:p>
        </w:tc>
      </w:tr>
      <w:tr>
        <w:tc>
          <w:tcPr/>
          <w:p>
            <w:pPr>
              <w:pStyle w:val="Compact"/>
              <w:jc w:val="left"/>
            </w:pPr>
            <w:r>
              <w:t xml:space="preserve">caller_fWalsh</w:t>
            </w:r>
          </w:p>
        </w:tc>
        <w:tc>
          <w:tcPr/>
          <w:p>
            <w:pPr>
              <w:pStyle w:val="Compact"/>
              <w:jc w:val="left"/>
            </w:pPr>
            <w:r>
              <w:t xml:space="preserve">0.86 (0.62-1.20)</w:t>
            </w:r>
          </w:p>
        </w:tc>
        <w:tc>
          <w:tcPr/>
          <w:p>
            <w:pPr>
              <w:pStyle w:val="Compact"/>
              <w:jc w:val="right"/>
            </w:pPr>
            <w:r>
              <w:t xml:space="preserve">0.379</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290</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13.0</w:t>
            </w:r>
          </w:p>
        </w:tc>
        <w:tc>
          <w:tcPr/>
          <w:p>
            <w:pPr>
              <w:pStyle w:val="Compact"/>
              <w:jc w:val="right"/>
            </w:pPr>
            <w:r>
              <w:t xml:space="preserve">5</w:t>
            </w:r>
          </w:p>
        </w:tc>
        <w:tc>
          <w:tcPr/>
          <w:p>
            <w:pPr>
              <w:pStyle w:val="Compact"/>
              <w:jc w:val="right"/>
            </w:pPr>
            <w:r>
              <w:t xml:space="preserve">31</w:t>
            </w:r>
          </w:p>
        </w:tc>
        <w:tc>
          <w:tcPr/>
          <w:p>
            <w:pPr>
              <w:pStyle w:val="Compact"/>
              <w:jc w:val="right"/>
            </w:pPr>
            <w:r>
              <w:t xml:space="preserve">218</w:t>
            </w:r>
          </w:p>
        </w:tc>
      </w:tr>
      <w:tr>
        <w:tc>
          <w:tcPr/>
          <w:p>
            <w:pPr>
              <w:pStyle w:val="Compact"/>
              <w:jc w:val="left"/>
            </w:pPr>
            <w:r>
              <w:t xml:space="preserve">Rural</w:t>
            </w:r>
          </w:p>
        </w:tc>
        <w:tc>
          <w:tcPr/>
          <w:p>
            <w:pPr>
              <w:pStyle w:val="Compact"/>
              <w:jc w:val="right"/>
            </w:pPr>
            <w:r>
              <w:t xml:space="preserve">20.5</w:t>
            </w:r>
          </w:p>
        </w:tc>
        <w:tc>
          <w:tcPr/>
          <w:p>
            <w:pPr>
              <w:pStyle w:val="Compact"/>
              <w:jc w:val="right"/>
            </w:pPr>
            <w:r>
              <w:t xml:space="preserve">4</w:t>
            </w:r>
          </w:p>
        </w:tc>
        <w:tc>
          <w:tcPr/>
          <w:p>
            <w:pPr>
              <w:pStyle w:val="Compact"/>
              <w:jc w:val="right"/>
            </w:pPr>
            <w:r>
              <w:t xml:space="preserve">40</w:t>
            </w:r>
          </w:p>
        </w:tc>
        <w:tc>
          <w:tcPr/>
          <w:p>
            <w:pPr>
              <w:pStyle w:val="Compact"/>
              <w:jc w:val="right"/>
            </w:pPr>
            <w:r>
              <w:t xml:space="preserve">32</w:t>
            </w:r>
          </w:p>
        </w:tc>
      </w:tr>
      <w:tr>
        <w:tc>
          <w:tcPr/>
          <w:p>
            <w:pPr>
              <w:pStyle w:val="Compact"/>
              <w:jc w:val="left"/>
            </w:pPr>
            <w:r>
              <w:t xml:space="preserve">Suburban</w:t>
            </w:r>
          </w:p>
        </w:tc>
        <w:tc>
          <w:tcPr/>
          <w:p>
            <w:pPr>
              <w:pStyle w:val="Compact"/>
              <w:jc w:val="right"/>
            </w:pPr>
            <w:r>
              <w:t xml:space="preserve">14.0</w:t>
            </w:r>
          </w:p>
        </w:tc>
        <w:tc>
          <w:tcPr/>
          <w:p>
            <w:pPr>
              <w:pStyle w:val="Compact"/>
              <w:jc w:val="right"/>
            </w:pPr>
            <w:r>
              <w:t xml:space="preserve">6</w:t>
            </w:r>
          </w:p>
        </w:tc>
        <w:tc>
          <w:tcPr/>
          <w:p>
            <w:pPr>
              <w:pStyle w:val="Compact"/>
              <w:jc w:val="right"/>
            </w:pPr>
            <w:r>
              <w:t xml:space="preserve">26</w:t>
            </w:r>
          </w:p>
        </w:tc>
        <w:tc>
          <w:tcPr/>
          <w:p>
            <w:pPr>
              <w:pStyle w:val="Compact"/>
              <w:jc w:val="right"/>
            </w:pPr>
            <w:r>
              <w:t xml:space="preserve">180</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14.5</w:t>
            </w:r>
          </w:p>
        </w:tc>
        <w:tc>
          <w:tcPr/>
          <w:p>
            <w:pPr>
              <w:pStyle w:val="Compact"/>
              <w:jc w:val="right"/>
            </w:pPr>
            <w:r>
              <w:t xml:space="preserve">6</w:t>
            </w:r>
          </w:p>
        </w:tc>
        <w:tc>
          <w:tcPr/>
          <w:p>
            <w:pPr>
              <w:pStyle w:val="Compact"/>
              <w:jc w:val="right"/>
            </w:pPr>
            <w:r>
              <w:t xml:space="preserve">32</w:t>
            </w:r>
          </w:p>
        </w:tc>
        <w:tc>
          <w:tcPr/>
          <w:p>
            <w:pPr>
              <w:pStyle w:val="Compact"/>
              <w:jc w:val="right"/>
            </w:pPr>
            <w:r>
              <w:t xml:space="preserve">44</w:t>
            </w:r>
          </w:p>
        </w:tc>
      </w:tr>
      <w:tr>
        <w:tc>
          <w:tcPr/>
          <w:p>
            <w:pPr>
              <w:pStyle w:val="Compact"/>
              <w:jc w:val="left"/>
            </w:pPr>
            <w:r>
              <w:t xml:space="preserve">Midwest</w:t>
            </w:r>
          </w:p>
        </w:tc>
        <w:tc>
          <w:tcPr/>
          <w:p>
            <w:pPr>
              <w:pStyle w:val="Compact"/>
              <w:jc w:val="right"/>
            </w:pPr>
            <w:r>
              <w:t xml:space="preserve">16.0</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29.0</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p=0.696</w:t>
            </w:r>
          </w:p>
        </w:tc>
        <w:tc>
          <w:tcPr/>
          <w:p>
            <w:pPr>
              <w:pStyle w:val="Compact"/>
              <w:jc w:val="left"/>
            </w:pPr>
            <w:r>
              <w:t xml:space="preserve">1.04 (0.72-1.50)</w:t>
            </w:r>
          </w:p>
        </w:tc>
        <w:tc>
          <w:tcPr/>
          <w:p>
            <w:pPr>
              <w:pStyle w:val="Compact"/>
            </w:pPr>
          </w:p>
        </w:tc>
      </w:tr>
      <w:tr>
        <w:tc>
          <w:tcPr/>
          <w:p>
            <w:pPr>
              <w:pStyle w:val="Compact"/>
              <w:jc w:val="left"/>
            </w:pPr>
            <w:r>
              <w:t xml:space="preserve">p=0.852</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(0.36-1.91)</w:t>
            </w:r>
          </w:p>
        </w:tc>
        <w:tc>
          <w:tcPr/>
          <w:p>
            <w:pPr>
              <w:pStyle w:val="Compact"/>
            </w:pPr>
          </w:p>
        </w:tc>
      </w:tr>
      <w:tr>
        <w:tc>
          <w:tcPr/>
          <w:p>
            <w:pPr>
              <w:pStyle w:val="Compact"/>
              <w:jc w:val="left"/>
            </w:pPr>
            <w:r>
              <w:t xml:space="preserve">p=0.661</w:t>
            </w:r>
          </w:p>
        </w:tc>
        <w:tc>
          <w:tcPr/>
          <w:p>
            <w:pPr>
              <w:pStyle w:val="Compact"/>
              <w:jc w:val="left"/>
            </w:pPr>
            <w:r>
              <w:t xml:space="preserve">1.26 (0.72-2.23)</w:t>
            </w:r>
          </w:p>
        </w:tc>
        <w:tc>
          <w:tcPr/>
          <w:p>
            <w:pPr>
              <w:pStyle w:val="Compact"/>
            </w:pPr>
          </w:p>
        </w:tc>
      </w:tr>
      <w:tr>
        <w:tc>
          <w:tcPr/>
          <w:p>
            <w:pPr>
              <w:pStyle w:val="Compact"/>
              <w:jc w:val="left"/>
            </w:pPr>
            <w:r>
              <w:t xml:space="preserve">p=0.421</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(0.50-6.08)</w:t>
            </w:r>
          </w:p>
        </w:tc>
        <w:tc>
          <w:tcPr/>
          <w:p>
            <w:pPr>
              <w:pStyle w:val="Compact"/>
            </w:pPr>
          </w:p>
        </w:tc>
      </w:tr>
      <w:tr>
        <w:tc>
          <w:tcPr/>
          <w:p>
            <w:pPr>
              <w:pStyle w:val="Compact"/>
              <w:jc w:val="left"/>
            </w:pPr>
            <w:r>
              <w:t xml:space="preserve">p=0.385</w:t>
            </w:r>
          </w:p>
        </w:tc>
        <w:tc>
          <w:tcPr/>
          <w:p>
            <w:pPr>
              <w:pStyle w:val="Compact"/>
              <w:jc w:val="left"/>
            </w:pPr>
            <w:r>
              <w:t xml:space="preserve">2.25 (1.13-4.46)</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p=0.074</w:t>
            </w:r>
          </w:p>
        </w:tc>
        <w:tc>
          <w:tcPr/>
          <w:p>
            <w:pPr>
              <w:pStyle w:val="Compact"/>
              <w:jc w:val="left"/>
            </w:pPr>
            <w:r>
              <w:t xml:space="preserve">1.21 (0.64-2.26)</w:t>
            </w:r>
          </w:p>
        </w:tc>
        <w:tc>
          <w:tcPr/>
          <w:p>
            <w:pPr>
              <w:pStyle w:val="Compact"/>
            </w:pPr>
          </w:p>
        </w:tc>
      </w:tr>
      <w:tr>
        <w:tc>
          <w:tcPr/>
          <w:p>
            <w:pPr>
              <w:pStyle w:val="Compact"/>
              <w:jc w:val="left"/>
            </w:pPr>
            <w:r>
              <w:t xml:space="preserve">p=0.557</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2.26 (1.08-4.75)</w:t>
            </w:r>
          </w:p>
        </w:tc>
        <w:tc>
          <w:tcPr/>
          <w:p>
            <w:pPr>
              <w:pStyle w:val="Compact"/>
            </w:pPr>
          </w:p>
        </w:tc>
      </w:tr>
      <w:tr>
        <w:tc>
          <w:tcPr/>
          <w:p>
            <w:pPr>
              <w:pStyle w:val="Compact"/>
              <w:jc w:val="left"/>
            </w:pPr>
            <w:r>
              <w:t xml:space="preserve">p=0.031</w:t>
            </w:r>
          </w:p>
        </w:tc>
        <w:tc>
          <w:tcPr/>
          <w:p>
            <w:pPr>
              <w:pStyle w:val="Compact"/>
              <w:jc w:val="left"/>
            </w:pPr>
            <w:r>
              <w:t xml:space="preserve">1.54 (1.04-2.28)</w:t>
            </w:r>
          </w:p>
        </w:tc>
        <w:tc>
          <w:tcPr/>
          <w:p>
            <w:pPr>
              <w:pStyle w:val="Compact"/>
            </w:pPr>
          </w:p>
        </w:tc>
      </w:tr>
      <w:tr>
        <w:tc>
          <w:tcPr/>
          <w:p>
            <w:pPr>
              <w:pStyle w:val="Compact"/>
              <w:jc w:val="left"/>
            </w:pPr>
            <w:r>
              <w:t xml:space="preserve">p=0.031</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(0.72-6.17)</w:t>
            </w:r>
          </w:p>
        </w:tc>
        <w:tc>
          <w:tcPr/>
          <w:p>
            <w:pPr>
              <w:pStyle w:val="Compact"/>
            </w:pPr>
          </w:p>
        </w:tc>
      </w:tr>
      <w:tr>
        <w:tc>
          <w:tcPr/>
          <w:p>
            <w:pPr>
              <w:pStyle w:val="Compact"/>
              <w:jc w:val="left"/>
            </w:pPr>
            <w:r>
              <w:t xml:space="preserve">p=0.174</w:t>
            </w:r>
          </w:p>
        </w:tc>
        <w:tc>
          <w:tcPr/>
          <w:p>
            <w:pPr>
              <w:pStyle w:val="Compact"/>
              <w:jc w:val="left"/>
            </w:pPr>
            <w:r>
              <w:t xml:space="preserve">1.55 (0.89-2.68)</w:t>
            </w:r>
          </w:p>
        </w:tc>
        <w:tc>
          <w:tcPr/>
          <w:p>
            <w:pPr>
              <w:pStyle w:val="Compact"/>
            </w:pPr>
          </w:p>
        </w:tc>
      </w:tr>
      <w:tr>
        <w:tc>
          <w:tcPr/>
          <w:p>
            <w:pPr>
              <w:pStyle w:val="Compact"/>
              <w:jc w:val="left"/>
            </w:pPr>
            <w:r>
              <w:t xml:space="preserve">p=0.121</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(0.55-5.03)</w:t>
            </w:r>
          </w:p>
        </w:tc>
        <w:tc>
          <w:tcPr/>
          <w:p>
            <w:pPr>
              <w:pStyle w:val="Compact"/>
            </w:pPr>
          </w:p>
        </w:tc>
      </w:tr>
      <w:tr>
        <w:tc>
          <w:tcPr/>
          <w:p>
            <w:pPr>
              <w:pStyle w:val="Compact"/>
              <w:jc w:val="left"/>
            </w:pPr>
            <w:r>
              <w:t xml:space="preserve">p=0.371</w:t>
            </w:r>
          </w:p>
        </w:tc>
        <w:tc>
          <w:tcPr/>
          <w:p>
            <w:pPr>
              <w:pStyle w:val="Compact"/>
              <w:jc w:val="left"/>
            </w:pPr>
            <w:r>
              <w:t xml:space="preserve">1.17 (0.61-2.24)</w:t>
            </w:r>
          </w:p>
        </w:tc>
        <w:tc>
          <w:tcPr/>
          <w:p>
            <w:pPr>
              <w:pStyle w:val="Compact"/>
            </w:pPr>
          </w:p>
        </w:tc>
      </w:tr>
      <w:tr>
        <w:tc>
          <w:tcPr/>
          <w:p>
            <w:pPr>
              <w:pStyle w:val="Compact"/>
              <w:jc w:val="left"/>
            </w:pPr>
            <w:r>
              <w:t xml:space="preserve">p=0.646</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0.96 (0.81-1.13)</w:t>
            </w:r>
          </w:p>
        </w:tc>
        <w:tc>
          <w:tcPr/>
          <w:p>
            <w:pPr>
              <w:pStyle w:val="Compact"/>
            </w:pPr>
          </w:p>
        </w:tc>
      </w:tr>
      <w:tr>
        <w:tc>
          <w:tcPr/>
          <w:p>
            <w:pPr>
              <w:pStyle w:val="Compact"/>
              <w:jc w:val="left"/>
            </w:pPr>
            <w:r>
              <w:t xml:space="preserve">p=0.603</w:t>
            </w:r>
          </w:p>
        </w:tc>
        <w:tc>
          <w:tcPr/>
          <w:p>
            <w:pPr>
              <w:pStyle w:val="Compact"/>
              <w:jc w:val="left"/>
            </w:pPr>
            <w:r>
              <w:t xml:space="preserve">0.95 (0.81-1.11)</w:t>
            </w:r>
          </w:p>
        </w:tc>
        <w:tc>
          <w:tcPr/>
          <w:p>
            <w:pPr>
              <w:pStyle w:val="Compact"/>
            </w:pPr>
          </w:p>
        </w:tc>
      </w:tr>
      <w:tr>
        <w:tc>
          <w:tcPr/>
          <w:p>
            <w:pPr>
              <w:pStyle w:val="Compact"/>
              <w:jc w:val="left"/>
            </w:pPr>
            <w:r>
              <w:t xml:space="preserve">p=0.499</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p=0.250</w:t>
            </w:r>
          </w:p>
        </w:tc>
        <w:tc>
          <w:tcPr/>
          <w:p>
            <w:pPr>
              <w:pStyle w:val="Compact"/>
              <w:jc w:val="left"/>
            </w:pPr>
            <w:r>
              <w:t xml:space="preserve">0.96 (0.84-1.10)</w:t>
            </w:r>
          </w:p>
        </w:tc>
        <w:tc>
          <w:tcPr/>
          <w:p>
            <w:pPr>
              <w:pStyle w:val="Compact"/>
            </w:pPr>
          </w:p>
        </w:tc>
      </w:tr>
      <w:tr>
        <w:tc>
          <w:tcPr/>
          <w:p>
            <w:pPr>
              <w:pStyle w:val="Compact"/>
              <w:jc w:val="left"/>
            </w:pPr>
            <w:r>
              <w:t xml:space="preserve">p=0.545</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0.95 (0.84-1.07)</w:t>
            </w:r>
          </w:p>
        </w:tc>
        <w:tc>
          <w:tcPr/>
          <w:p>
            <w:pPr>
              <w:pStyle w:val="Compact"/>
            </w:pPr>
          </w:p>
        </w:tc>
      </w:tr>
      <w:tr>
        <w:tc>
          <w:tcPr/>
          <w:p>
            <w:pPr>
              <w:pStyle w:val="Compact"/>
              <w:jc w:val="left"/>
            </w:pPr>
            <w:r>
              <w:t xml:space="preserve">p=0.423</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(0.83-1.20)</w:t>
            </w:r>
          </w:p>
        </w:tc>
        <w:tc>
          <w:tcPr/>
          <w:p>
            <w:pPr>
              <w:pStyle w:val="Compact"/>
            </w:pPr>
          </w:p>
        </w:tc>
      </w:tr>
      <w:tr>
        <w:tc>
          <w:tcPr/>
          <w:p>
            <w:pPr>
              <w:pStyle w:val="Compact"/>
              <w:jc w:val="left"/>
            </w:pPr>
            <w:r>
              <w:t xml:space="preserve">p=0.975</w:t>
            </w:r>
          </w:p>
        </w:tc>
        <w:tc>
          <w:tcPr/>
          <w:p>
            <w:pPr>
              <w:pStyle w:val="Compact"/>
              <w:jc w:val="left"/>
            </w:pPr>
            <w:r>
              <w:t xml:space="preserve">0.98 (0.86-1.12)</w:t>
            </w:r>
          </w:p>
        </w:tc>
        <w:tc>
          <w:tcPr/>
          <w:p>
            <w:pPr>
              <w:pStyle w:val="Compact"/>
            </w:pPr>
          </w:p>
        </w:tc>
      </w:tr>
      <w:tr>
        <w:tc>
          <w:tcPr/>
          <w:p>
            <w:pPr>
              <w:pStyle w:val="Compact"/>
              <w:jc w:val="left"/>
            </w:pPr>
            <w:r>
              <w:t xml:space="preserve">p=0.801</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0.93 (0.49-1.75)</w:t>
            </w:r>
          </w:p>
        </w:tc>
        <w:tc>
          <w:tcPr/>
          <w:p>
            <w:pPr>
              <w:pStyle w:val="Compact"/>
            </w:pPr>
          </w:p>
        </w:tc>
      </w:tr>
      <w:tr>
        <w:tc>
          <w:tcPr/>
          <w:p>
            <w:pPr>
              <w:pStyle w:val="Compact"/>
              <w:jc w:val="left"/>
            </w:pPr>
            <w:r>
              <w:t xml:space="preserve">p=0.823</w:t>
            </w:r>
          </w:p>
        </w:tc>
        <w:tc>
          <w:tcPr/>
          <w:p>
            <w:pPr>
              <w:pStyle w:val="Compact"/>
              <w:jc w:val="left"/>
            </w:pPr>
            <w:r>
              <w:t xml:space="preserve">1.14 (0.72-1.81)</w:t>
            </w:r>
          </w:p>
        </w:tc>
        <w:tc>
          <w:tcPr/>
          <w:p>
            <w:pPr>
              <w:pStyle w:val="Compact"/>
            </w:pPr>
          </w:p>
        </w:tc>
      </w:tr>
      <w:tr>
        <w:tc>
          <w:tcPr/>
          <w:p>
            <w:pPr>
              <w:pStyle w:val="Compact"/>
              <w:jc w:val="left"/>
            </w:pPr>
            <w:r>
              <w:t xml:space="preserve">p=0.579</w:t>
            </w:r>
          </w:p>
        </w:tc>
        <w:tc>
          <w:tcPr/>
          <w:p>
            <w:pPr>
              <w:pStyle w:val="Compact"/>
            </w:pPr>
          </w:p>
        </w:tc>
        <w:tc>
          <w:tcPr/>
          <w:p>
            <w:pPr>
              <w:pStyle w:val="Compact"/>
            </w:pPr>
          </w:p>
        </w:tc>
      </w:tr>
      <w:tr>
        <w:tc>
          <w:tcPr/>
          <w:p>
            <w:pPr>
              <w:pStyle w:val="Compact"/>
              <w:jc w:val="left"/>
            </w:pPr>
            <w:r>
              <w:t xml:space="preserve">ruralSuburban</w:t>
            </w:r>
          </w:p>
        </w:tc>
        <w:tc>
          <w:tcPr/>
          <w:p>
            <w:pPr>
              <w:pStyle w:val="Compact"/>
              <w:jc w:val="left"/>
            </w:pPr>
            <w:r>
              <w:t xml:space="preserve">1.03 (0.71-1.50)</w:t>
            </w:r>
          </w:p>
        </w:tc>
        <w:tc>
          <w:tcPr/>
          <w:p>
            <w:pPr>
              <w:pStyle w:val="Compact"/>
            </w:pPr>
          </w:p>
        </w:tc>
      </w:tr>
      <w:tr>
        <w:tc>
          <w:tcPr/>
          <w:p>
            <w:pPr>
              <w:pStyle w:val="Compact"/>
              <w:jc w:val="left"/>
            </w:pPr>
            <w:r>
              <w:t xml:space="preserve">p=0.857</w:t>
            </w:r>
          </w:p>
        </w:tc>
        <w:tc>
          <w:tcPr/>
          <w:p>
            <w:pPr>
              <w:pStyle w:val="Compact"/>
              <w:jc w:val="left"/>
            </w:pPr>
            <w:r>
              <w:t xml:space="preserve">1.08 (0.81-1.42)</w:t>
            </w:r>
          </w:p>
        </w:tc>
        <w:tc>
          <w:tcPr/>
          <w:p>
            <w:pPr>
              <w:pStyle w:val="Compact"/>
            </w:pPr>
          </w:p>
        </w:tc>
      </w:tr>
      <w:tr>
        <w:tc>
          <w:tcPr/>
          <w:p>
            <w:pPr>
              <w:pStyle w:val="Compact"/>
              <w:jc w:val="left"/>
            </w:pPr>
            <w:r>
              <w:t xml:space="preserve">p=0.606</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(1.42-3.86)</w:t>
            </w:r>
          </w:p>
        </w:tc>
        <w:tc>
          <w:tcPr/>
          <w:p>
            <w:pPr>
              <w:pStyle w:val="Compact"/>
            </w:pPr>
          </w:p>
        </w:tc>
      </w:tr>
      <w:tr>
        <w:tc>
          <w:tcPr/>
          <w:p>
            <w:pPr>
              <w:pStyle w:val="Compact"/>
              <w:jc w:val="left"/>
            </w:pPr>
            <w:r>
              <w:t xml:space="preserve">p=&lt; 0.001</w:t>
            </w:r>
          </w:p>
        </w:tc>
        <w:tc>
          <w:tcPr/>
          <w:p>
            <w:pPr>
              <w:pStyle w:val="Compact"/>
              <w:jc w:val="left"/>
            </w:pPr>
            <w:r>
              <w:t xml:space="preserve">0.82 (0.59-1.14)</w:t>
            </w:r>
          </w:p>
        </w:tc>
        <w:tc>
          <w:tcPr/>
          <w:p>
            <w:pPr>
              <w:pStyle w:val="Compact"/>
            </w:pPr>
          </w:p>
        </w:tc>
      </w:tr>
      <w:tr>
        <w:tc>
          <w:tcPr/>
          <w:p>
            <w:pPr>
              <w:pStyle w:val="Compact"/>
              <w:jc w:val="left"/>
            </w:pPr>
            <w:r>
              <w:t xml:space="preserve">p=0.235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(1.13-3.53)</w:t>
            </w:r>
          </w:p>
        </w:tc>
        <w:tc>
          <w:tcPr/>
          <w:p>
            <w:pPr>
              <w:pStyle w:val="Compact"/>
            </w:pPr>
          </w:p>
        </w:tc>
      </w:tr>
      <w:tr>
        <w:tc>
          <w:tcPr/>
          <w:p>
            <w:pPr>
              <w:pStyle w:val="Compact"/>
              <w:jc w:val="left"/>
            </w:pPr>
            <w:r>
              <w:t xml:space="preserve">p=0.017</w:t>
            </w:r>
          </w:p>
        </w:tc>
        <w:tc>
          <w:tcPr/>
          <w:p>
            <w:pPr>
              <w:pStyle w:val="Compact"/>
              <w:jc w:val="left"/>
            </w:pPr>
            <w:r>
              <w:t xml:space="preserve">0.61 (0.41-0.91)</w:t>
            </w:r>
          </w:p>
        </w:tc>
        <w:tc>
          <w:tcPr/>
          <w:p>
            <w:pPr>
              <w:pStyle w:val="Compact"/>
            </w:pPr>
          </w:p>
        </w:tc>
      </w:tr>
      <w:tr>
        <w:tc>
          <w:tcPr/>
          <w:p>
            <w:pPr>
              <w:pStyle w:val="Compact"/>
              <w:jc w:val="left"/>
            </w:pPr>
            <w:r>
              <w:t xml:space="preserve">p=0.015</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1.90 (1.15-3.12)</w:t>
            </w:r>
          </w:p>
        </w:tc>
        <w:tc>
          <w:tcPr/>
          <w:p>
            <w:pPr>
              <w:pStyle w:val="Compact"/>
            </w:pPr>
          </w:p>
        </w:tc>
      </w:tr>
      <w:tr>
        <w:tc>
          <w:tcPr/>
          <w:p>
            <w:pPr>
              <w:pStyle w:val="Compact"/>
              <w:jc w:val="left"/>
            </w:pPr>
            <w:r>
              <w:t xml:space="preserve">p=0.012</w:t>
            </w:r>
          </w:p>
        </w:tc>
        <w:tc>
          <w:tcPr/>
          <w:p>
            <w:pPr>
              <w:pStyle w:val="Compact"/>
              <w:jc w:val="left"/>
            </w:pPr>
            <w:r>
              <w:t xml:space="preserve">1.00 (0.71-1.40)</w:t>
            </w:r>
          </w:p>
        </w:tc>
        <w:tc>
          <w:tcPr/>
          <w:p>
            <w:pPr>
              <w:pStyle w:val="Compact"/>
            </w:pPr>
          </w:p>
        </w:tc>
      </w:tr>
      <w:tr>
        <w:tc>
          <w:tcPr/>
          <w:p>
            <w:pPr>
              <w:pStyle w:val="Compact"/>
              <w:jc w:val="left"/>
            </w:pPr>
            <w:r>
              <w:t xml:space="preserve">p=0.978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1.00 (0.71-1.42)</w:t>
            </w:r>
          </w:p>
        </w:tc>
        <w:tc>
          <w:tcPr/>
          <w:p>
            <w:pPr>
              <w:pStyle w:val="Compact"/>
            </w:pPr>
          </w:p>
        </w:tc>
      </w:tr>
      <w:tr>
        <w:tc>
          <w:tcPr/>
          <w:p>
            <w:pPr>
              <w:pStyle w:val="Compact"/>
              <w:jc w:val="left"/>
            </w:pPr>
            <w:r>
              <w:t xml:space="preserve">p=0.999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0.73 (0.26-2.10)</w:t>
            </w:r>
          </w:p>
        </w:tc>
        <w:tc>
          <w:tcPr/>
          <w:p>
            <w:pPr>
              <w:pStyle w:val="Compact"/>
            </w:pPr>
          </w:p>
        </w:tc>
      </w:tr>
      <w:tr>
        <w:tc>
          <w:tcPr/>
          <w:p>
            <w:pPr>
              <w:pStyle w:val="Compact"/>
              <w:jc w:val="left"/>
            </w:pPr>
            <w:r>
              <w:t xml:space="preserve">p=0.565</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2.25 (1.38-3.67)</w:t>
            </w:r>
          </w:p>
        </w:tc>
        <w:tc>
          <w:tcPr/>
          <w:p>
            <w:pPr>
              <w:pStyle w:val="Compact"/>
            </w:pPr>
          </w:p>
        </w:tc>
      </w:tr>
      <w:tr>
        <w:tc>
          <w:tcPr/>
          <w:p>
            <w:pPr>
              <w:pStyle w:val="Compact"/>
              <w:jc w:val="left"/>
            </w:pPr>
            <w:r>
              <w:t xml:space="preserve">p=0.001</w:t>
            </w:r>
          </w:p>
        </w:tc>
        <w:tc>
          <w:tcPr/>
          <w:p>
            <w:pPr>
              <w:pStyle w:val="Compact"/>
              <w:jc w:val="left"/>
            </w:pPr>
            <w:r>
              <w:t xml:space="preserve">0.86 (0.62-1.20)</w:t>
            </w:r>
          </w:p>
        </w:tc>
        <w:tc>
          <w:tcPr/>
          <w:p>
            <w:pPr>
              <w:pStyle w:val="Compact"/>
            </w:pPr>
          </w:p>
        </w:tc>
      </w:tr>
      <w:tr>
        <w:tc>
          <w:tcPr/>
          <w:p>
            <w:pPr>
              <w:pStyle w:val="Compact"/>
              <w:jc w:val="left"/>
            </w:pPr>
            <w:r>
              <w:t xml:space="preserve">p=0.379</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430</w:t>
            </w:r>
          </w:p>
        </w:tc>
      </w:tr>
      <w:tr>
        <w:tc>
          <w:tcPr/>
          <w:p>
            <w:pPr>
              <w:pStyle w:val="Compact"/>
              <w:jc w:val="left"/>
            </w:pPr>
            <w:r>
              <w:t xml:space="preserve">AIC</w:t>
            </w:r>
          </w:p>
        </w:tc>
        <w:tc>
          <w:tcPr/>
          <w:p>
            <w:pPr>
              <w:pStyle w:val="Compact"/>
              <w:jc w:val="left"/>
            </w:pPr>
            <w:r>
              <w:t xml:space="preserve">991.2</w:t>
            </w:r>
          </w:p>
        </w:tc>
        <w:tc>
          <w:tcPr/>
          <w:p>
            <w:pPr>
              <w:pStyle w:val="Compact"/>
              <w:jc w:val="left"/>
            </w:pPr>
            <w:r>
              <w:t xml:space="preserve">3572.6</w:t>
            </w:r>
          </w:p>
        </w:tc>
      </w:tr>
    </w:tbl>
    <w:bookmarkEnd w:id="45"/>
    <w:bookmarkStart w:id="64"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7" name="Picture"/>
            <a:graphic>
              <a:graphicData uri="http://schemas.openxmlformats.org/drawingml/2006/picture">
                <pic:pic>
                  <pic:nvPicPr>
                    <pic:cNvPr descr="model_output/supp/figS1_km_time_to_appointment.png" id="48" name="Picture"/>
                    <pic:cNvPicPr>
                      <a:picLocks noChangeArrowheads="1" noChangeAspect="1"/>
                    </pic:cNvPicPr>
                  </pic:nvPicPr>
                  <pic:blipFill>
                    <a:blip r:embed="rId46"/>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0" name="Picture"/>
            <a:graphic>
              <a:graphicData uri="http://schemas.openxmlformats.org/drawingml/2006/picture">
                <pic:pic>
                  <pic:nvPicPr>
                    <pic:cNvPr descr="model_output/supp/figS2_wait_distribution.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3" name="Picture"/>
            <a:graphic>
              <a:graphicData uri="http://schemas.openxmlformats.org/drawingml/2006/picture">
                <pic:pic>
                  <pic:nvPicPr>
                    <pic:cNvPr descr="model_output/supp/figS3_nb_diagnostics.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6" name="Picture"/>
            <a:graphic>
              <a:graphicData uri="http://schemas.openxmlformats.org/drawingml/2006/picture">
                <pic:pic>
                  <pic:nvPicPr>
                    <pic:cNvPr descr="model_output/supp/figS4_choropleth_offer_rate.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9" name="Picture"/>
            <a:graphic>
              <a:graphicData uri="http://schemas.openxmlformats.org/drawingml/2006/picture">
                <pic:pic>
                  <pic:nvPicPr>
                    <pic:cNvPr descr="model_output/supp/figS4_choropleth_median_wait.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2" name="Picture"/>
            <a:graphic>
              <a:graphicData uri="http://schemas.openxmlformats.org/drawingml/2006/picture">
                <pic:pic>
                  <pic:nvPicPr>
                    <pic:cNvPr descr="model_output/supp/figS4b_offer_rate_by_state.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4"/>
    <w:bookmarkEnd w:id="65"/>
    <w:bookmarkStart w:id="78" w:name="references"/>
    <w:p>
      <w:pPr>
        <w:pStyle w:val="Heading1"/>
      </w:pPr>
      <w:r>
        <w:t xml:space="preserve">References</w:t>
      </w:r>
    </w:p>
    <w:bookmarkStart w:id="77" w:name="refs"/>
    <w:bookmarkStart w:id="66" w:name="ref-kfffee"/>
    <w:p>
      <w:pPr>
        <w:pStyle w:val="Bibliography"/>
      </w:pPr>
      <w:r>
        <w:t xml:space="preserve">1.</w:t>
      </w:r>
      <w:r>
        <w:t xml:space="preserve"> </w:t>
      </w:r>
      <w:r>
        <w:t xml:space="preserve">	</w:t>
      </w:r>
      <w:r>
        <w:t xml:space="preserve">Kaiser Family Foundation. Medicaid-to-medicare fee index. Published online 2024.</w:t>
      </w:r>
    </w:p>
    <w:bookmarkEnd w:id="66"/>
    <w:bookmarkStart w:id="67" w:name="ref-cdcsvi"/>
    <w:p>
      <w:pPr>
        <w:pStyle w:val="Bibliography"/>
      </w:pPr>
      <w:r>
        <w:t xml:space="preserve">2.</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7"/>
    <w:bookmarkStart w:id="68" w:name="ref-valhalla"/>
    <w:p>
      <w:pPr>
        <w:pStyle w:val="Bibliography"/>
      </w:pPr>
      <w:r>
        <w:t xml:space="preserve">3.</w:t>
      </w:r>
      <w:r>
        <w:t xml:space="preserve"> </w:t>
      </w:r>
      <w:r>
        <w:t xml:space="preserve">	</w:t>
      </w:r>
      <w:r>
        <w:t xml:space="preserve">Valhalla Contributors. Valhalla: Open-source routing engine for</w:t>
      </w:r>
      <w:r>
        <w:t xml:space="preserve"> </w:t>
      </w:r>
      <w:r>
        <w:t xml:space="preserve">OpenStreetMap</w:t>
      </w:r>
      <w:r>
        <w:t xml:space="preserve">. Published online 2024.</w:t>
      </w:r>
    </w:p>
    <w:bookmarkEnd w:id="68"/>
    <w:bookmarkStart w:id="70" w:name="ref-emmeans"/>
    <w:p>
      <w:pPr>
        <w:pStyle w:val="Bibliography"/>
      </w:pPr>
      <w:r>
        <w:t xml:space="preserve">4.</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9">
        <w:r>
          <w:rPr>
            <w:rStyle w:val="Hyperlink"/>
          </w:rPr>
          <w:t xml:space="preserve">https://CRAN.R-project.org/package=emmeans</w:t>
        </w:r>
      </w:hyperlink>
    </w:p>
    <w:bookmarkEnd w:id="70"/>
    <w:bookmarkStart w:id="72" w:name="ref-rcoreteam"/>
    <w:p>
      <w:pPr>
        <w:pStyle w:val="Bibliography"/>
      </w:pPr>
      <w:r>
        <w:t xml:space="preserve">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1">
        <w:r>
          <w:rPr>
            <w:rStyle w:val="Hyperlink"/>
          </w:rPr>
          <w:t xml:space="preserve">https://www.R-project.org/</w:t>
        </w:r>
      </w:hyperlink>
    </w:p>
    <w:bookmarkEnd w:id="72"/>
    <w:bookmarkStart w:id="74" w:name="ref-glmmTMB"/>
    <w:p>
      <w:pPr>
        <w:pStyle w:val="Bibliography"/>
      </w:pPr>
      <w:r>
        <w:t xml:space="preserve">6.</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3">
        <w:r>
          <w:rPr>
            <w:rStyle w:val="Hyperlink"/>
          </w:rPr>
          <w:t xml:space="preserve">10.32614/RJ-2017-066</w:t>
        </w:r>
      </w:hyperlink>
    </w:p>
    <w:bookmarkEnd w:id="74"/>
    <w:bookmarkStart w:id="76" w:name="ref-strobe"/>
    <w:p>
      <w:pPr>
        <w:pStyle w:val="Bibliography"/>
      </w:pPr>
      <w:r>
        <w:t xml:space="preserve">7.</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5">
        <w:r>
          <w:rPr>
            <w:rStyle w:val="Hyperlink"/>
          </w:rPr>
          <w:t xml:space="preserve">10.7326/0003-4819-147-8-200710160-00010</w:t>
        </w:r>
      </w:hyperlink>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69" Target="https://CRAN.R-project.org/package=emmeans" TargetMode="External" /><Relationship Type="http://schemas.openxmlformats.org/officeDocument/2006/relationships/hyperlink" Id="rId73" Target="https://doi.org/10.32614/RJ-2017-066" TargetMode="External" /><Relationship Type="http://schemas.openxmlformats.org/officeDocument/2006/relationships/hyperlink" Id="rId75" Target="https://doi.org/10.7326/0003-4819-147-8-200710160-00010"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CRAN.R-project.org/package=emmeans" TargetMode="External" /><Relationship Type="http://schemas.openxmlformats.org/officeDocument/2006/relationships/hyperlink" Id="rId73" Target="https://doi.org/10.32614/RJ-2017-066" TargetMode="External" /><Relationship Type="http://schemas.openxmlformats.org/officeDocument/2006/relationships/hyperlink" Id="rId75" Target="https://doi.org/10.7326/0003-4819-147-8-200710160-00010"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and Subspecialty Determinants of Access to Otolaryngology Care: A National Mystery-Caller Study</dc:title>
  <dc:creator>[Author list]</dc:creator>
  <cp:keywords/>
  <dcterms:created xsi:type="dcterms:W3CDTF">2026-07-15T22:13:55Z</dcterms:created>
  <dcterms:modified xsi:type="dcterms:W3CDTF">2026-07-15T22:13:55Z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