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3.png" ContentType="image/png"/>
  <Override PartName="/word/media/rId41.png" ContentType="image/png"/>
  <Override PartName="/word/media/rId44.png" ContentType="image/png"/>
  <Override PartName="/word/media/rId47.png" ContentType="image/png"/>
  <Override PartName="/word/media/rId53.png" ContentType="image/png"/>
  <Override PartName="/word/media/rId5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[Author list]</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2.27 (95% CI 1.08–4.76; p = 0.031)), and waits were longer for laryngology (IRR 2.25 (95% CI 1.14–4.46; p = 0.020)) and pediatric otolaryngology (IRR 1.54 (95% CI 1.04–2.28; p = 0.032)).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w:t>
      </w:r>
      <w:hyperlink w:anchor="ref-PLACEHOLDER_access">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PLACEHOLDER_access">
        <w:r>
          <w:rPr>
            <w:rStyle w:val="Hyperlink"/>
            <w:vertAlign w:val="superscript"/>
          </w:rPr>
          <w:t xml:space="preserve">1</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PLACEHOLDER_ent_supply">
        <w:r>
          <w:rPr>
            <w:rStyle w:val="Hyperlink"/>
            <w:vertAlign w:val="superscript"/>
          </w:rPr>
          <w:t xml:space="preserve">2</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6"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 Trained callers telephoned a national sample of practicing, board-certified otolaryngologists and, following a standardized script, requested a new-patient appointment for a subspecialty-matched chief complaint. Each sampled physician was contacted once.</w:t>
      </w:r>
      <w:r>
        <w:t xml:space="preserve"> </w:t>
      </w:r>
      <w:r>
        <w:rPr>
          <w:i/>
          <w:iCs/>
        </w:rPr>
        <w:t xml:space="preserve">[Describe the sampling frame and its size, the number and timing of call attempts before a call was recorded as unreachable, the scripted chief complaints, caller training, and the study period.]</w:t>
      </w:r>
      <w:r>
        <w:t xml:space="preserve"> </w:t>
      </w:r>
      <w:r>
        <w:t xml:space="preserve">The protocol was</w:t>
      </w:r>
      <w:r>
        <w:t xml:space="preserve"> </w:t>
      </w:r>
      <w:r>
        <w:rPr>
          <w:i/>
          <w:iCs/>
        </w:rPr>
        <w:t xml:space="preserve">[reviewed/deemed exempt]</w:t>
      </w:r>
      <w:r>
        <w:t xml:space="preserve"> </w:t>
      </w:r>
      <w:r>
        <w:t xml:space="preserve">by the</w:t>
      </w:r>
      <w:r>
        <w:t xml:space="preserve"> </w:t>
      </w:r>
      <w:r>
        <w:rPr>
          <w:i/>
          <w:iCs/>
        </w:rPr>
        <w:t xml:space="preserve">[institution]</w:t>
      </w:r>
      <w:r>
        <w:t xml:space="preserve"> </w:t>
      </w:r>
      <w:r>
        <w:t xml:space="preserve">Institutional Review Board.</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3</w:t>
        </w:r>
      </w:hyperlink>
      <w:r>
        <w:t xml:space="preserve">; the CDC/ATSDR Social Vulnerability Index (SVI, 2022, tract-level, population-weighted to the practice ZIP)</w:t>
      </w:r>
      <w:hyperlink w:anchor="ref-cdcsvi">
        <w:r>
          <w:rPr>
            <w:rStyle w:val="Hyperlink"/>
            <w:vertAlign w:val="superscript"/>
          </w:rPr>
          <w:t xml:space="preserve">4</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5</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Whether call incompleteness was related to the measured covariates was assessed with chi-square and Wilcoxon rank-sum tests. Analyses used R 4.4.2</w:t>
      </w:r>
      <w:hyperlink w:anchor="ref-rcoreteam">
        <w:r>
          <w:rPr>
            <w:rStyle w:val="Hyperlink"/>
            <w:vertAlign w:val="superscript"/>
          </w:rPr>
          <w:t xml:space="preserve">6</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7</w:t>
        </w:r>
      </w:hyperlink>
      <w:r>
        <w:t xml:space="preserve">,</w:t>
      </w:r>
      <w:r>
        <w:t xml:space="preserve"> </w:t>
      </w:r>
      <w:r>
        <w:rPr>
          <w:rStyle w:val="VerbatimChar"/>
        </w:rPr>
        <w:t xml:space="preserve">emmeans</w:t>
      </w:r>
      <w:hyperlink w:anchor="ref-emmeans">
        <w:r>
          <w:rPr>
            <w:rStyle w:val="Hyperlink"/>
            <w:vertAlign w:val="superscript"/>
          </w:rPr>
          <w:t xml:space="preserve">5</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8</w:t>
        </w:r>
      </w:hyperlink>
      <w:r>
        <w:t xml:space="preserve">.</w:t>
      </w:r>
    </w:p>
    <w:bookmarkEnd w:id="25"/>
    <w:bookmarkEnd w:id="26"/>
    <w:bookmarkStart w:id="31" w:name="results"/>
    <w:p>
      <w:pPr>
        <w:pStyle w:val="Heading2"/>
      </w:pPr>
      <w:r>
        <w:t xml:space="preserve">Results</w:t>
      </w:r>
    </w:p>
    <w:bookmarkStart w:id="27"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298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7"/>
    <w:bookmarkStart w:id="28"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2.27 (95% CI 1.08–4.76; p = 0.031)), while otology/neurotology trended lower (OR 0.49 (95% CI 0.23–1.07; p = 0.072)). No geographic covariate was associated with access: county ENT supply (OR 0.95 (95% CI 0.81–1.12; p = 0.552) per SD), the Medicaid fee index (OR 0.91 (95% CI 0.77–1.07; p = 0.254)), social vulnerability (OR 0.95 (95% CI 0.80–1.13; p = 0.583)), and dual-eligibility (OR 1.00 (95% CI 0.83–1.19; p = 0.958)) were all null (</w:t>
      </w:r>
      <w:r>
        <w:rPr>
          <w:b/>
          <w:bCs/>
        </w:rPr>
        <w:t xml:space="preserve">Figure 2</w:t>
      </w:r>
      <w:r>
        <w:t xml:space="preserve">).</w:t>
      </w:r>
    </w:p>
    <w:bookmarkEnd w:id="28"/>
    <w:bookmarkStart w:id="29"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1.14–4.46; p = 0.020)) and pediatric otolaryngology (IRR 1.54 (95% CI 1.04–2.28; p = 0.032)).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2.27 (1.08–4.76)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0.254</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 (0.71–1.46)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0.922</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1.03 (0.72–1.49)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0.856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1.26 (0.72–2.22)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0.423</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(1.14–4.46)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1.20 (0.64–2.26)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0.562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1.54 (1.04–2.28)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0.032</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1.55 (0.89–2.68)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0.121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1.16 (0.61–2.24)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0.647</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0.520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(0.84–1.10)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0.543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(0.84–1.07)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0.416</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0.821</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1.09 (0.83–1.42)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0.549</w:t>
            </w:r>
          </w:p>
        </w:tc>
      </w:tr>
    </w:tbl>
    <w:bookmarkEnd w:id="29"/>
    <w:bookmarkStart w:id="30" w:name="robustness-and-missing-data"/>
    <w:p>
      <w:pPr>
        <w:pStyle w:val="Heading3"/>
      </w:pPr>
      <w:r>
        <w:t xml:space="preserve">Robustness and missing data</w:t>
      </w:r>
    </w:p>
    <w:p>
      <w:pPr>
        <w:pStyle w:val="FirstParagraph"/>
      </w:pPr>
      <w:r>
        <w:t xml:space="preserve">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w:t>
      </w:r>
    </w:p>
    <w:bookmarkEnd w:id="30"/>
    <w:bookmarkEnd w:id="31"/>
    <w:bookmarkStart w:id="32"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Limitations.</w:t>
      </w:r>
      <w:r>
        <w:t xml:space="preserve"> </w:t>
      </w:r>
      <w:r>
        <w:t xml:space="preserve">Although the realized sample achieved the pre-specified, near-optimal urban/rural balance (approximately 50/50 under the RUCA 1–3 vs 4–10 dichotomy) and exceeded the planned call budget, the study was nonetheless underpowered for its primary rural-versus-urban timeliness contrast. The pre-specified analysis targeted a minimum detectable wait-time gap of about six business days; two realized features eroded that power. First, because a wait time exists only when an appointment is offered and offers were made in roughly three-fifths of calls, the analyzable wait-time sample was smaller than projected. Second, the wait-time distribution was substantially more dispersed than the pilot estimates assumed (heavy right tail). Together these limited detectable rural–urban differences to roughly nineteen days at 90% power; the observed difference was small (about two business days) and non-significant. Each physician was also contacted once, precluding within-physician inference;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2"/>
    <w:bookmarkStart w:id="39"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34" name="Picture"/>
            <a:graphic>
              <a:graphicData uri="http://schemas.openxmlformats.org/drawingml/2006/picture">
                <pic:pic>
                  <pic:nvPicPr>
                    <pic:cNvPr descr="model_output/strobe_flow_mysterycall.png" id="35" name="Picture"/>
                    <pic:cNvPicPr>
                      <a:picLocks noChangeArrowheads="1" noChangeAspect="1"/>
                    </pic:cNvPicPr>
                  </pic:nvPicPr>
                  <pic:blipFill>
                    <a:blip r:embed="rId33"/>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37" name="Picture"/>
            <a:graphic>
              <a:graphicData uri="http://schemas.openxmlformats.org/drawingml/2006/picture">
                <pic:pic>
                  <pic:nvPicPr>
                    <pic:cNvPr descr="model_output/forest_access_timeliness.png" id="38" name="Picture"/>
                    <pic:cNvPicPr>
                      <a:picLocks noChangeArrowheads="1" noChangeAspect="1"/>
                    </pic:cNvPicPr>
                  </pic:nvPicPr>
                  <pic:blipFill>
                    <a:blip r:embed="rId3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39"/>
    <w:bookmarkStart w:id="60" w:name="supplementary-material"/>
    <w:p>
      <w:pPr>
        <w:pStyle w:val="Heading1"/>
      </w:pPr>
      <w:r>
        <w:t xml:space="preserve">Supplementary Material</w:t>
      </w:r>
    </w:p>
    <w:bookmarkStart w:id="40"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392"/>
        <w:gridCol w:w="742"/>
        <w:gridCol w:w="495"/>
        <w:gridCol w:w="660"/>
        <w:gridCol w:w="660"/>
        <w:gridCol w:w="990"/>
        <w:gridCol w:w="495"/>
        <w:gridCol w:w="742"/>
        <w:gridCol w:w="74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ent_typeFacial Plastics</w:t>
            </w:r>
          </w:p>
        </w:tc>
        <w:tc>
          <w:tcPr/>
          <w:p>
            <w:pPr>
              <w:pStyle w:val="Compact"/>
              <w:jc w:val="right"/>
            </w:pPr>
            <w:r>
              <w:t xml:space="preserve">-0.100</w:t>
            </w:r>
          </w:p>
        </w:tc>
        <w:tc>
          <w:tcPr/>
          <w:p>
            <w:pPr>
              <w:pStyle w:val="Compact"/>
              <w:jc w:val="right"/>
            </w:pPr>
            <w:r>
              <w:t xml:space="preserve">0.266</w:t>
            </w:r>
          </w:p>
        </w:tc>
        <w:tc>
          <w:tcPr/>
          <w:p>
            <w:pPr>
              <w:pStyle w:val="Compact"/>
              <w:jc w:val="right"/>
            </w:pPr>
            <w:r>
              <w:t xml:space="preserve">-0.378</w:t>
            </w:r>
          </w:p>
        </w:tc>
        <w:tc>
          <w:tcPr/>
          <w:p>
            <w:pPr>
              <w:pStyle w:val="Compact"/>
              <w:jc w:val="right"/>
            </w:pPr>
            <w:r>
              <w:t xml:space="preserve">0.706</w:t>
            </w:r>
          </w:p>
        </w:tc>
        <w:tc>
          <w:tcPr/>
          <w:p>
            <w:pPr>
              <w:pStyle w:val="Compact"/>
              <w:jc w:val="left"/>
            </w:pPr>
            <w:r>
              <w:t xml:space="preserve">0.706</w:t>
            </w:r>
          </w:p>
        </w:tc>
        <w:tc>
          <w:tcPr/>
          <w:p>
            <w:pPr>
              <w:pStyle w:val="Compact"/>
              <w:jc w:val="right"/>
            </w:pPr>
            <w:r>
              <w:t xml:space="preserve">0.905</w:t>
            </w:r>
          </w:p>
        </w:tc>
        <w:tc>
          <w:tcPr/>
          <w:p>
            <w:pPr>
              <w:pStyle w:val="Compact"/>
              <w:jc w:val="right"/>
            </w:pPr>
            <w:r>
              <w:t xml:space="preserve">0.537</w:t>
            </w:r>
          </w:p>
        </w:tc>
        <w:tc>
          <w:tcPr/>
          <w:p>
            <w:pPr>
              <w:pStyle w:val="Compact"/>
              <w:jc w:val="right"/>
            </w:pPr>
            <w:r>
              <w:t xml:space="preserve">1.522</w:t>
            </w:r>
          </w:p>
        </w:tc>
      </w:tr>
      <w:tr>
        <w:tc>
          <w:tcPr/>
          <w:p>
            <w:pPr>
              <w:pStyle w:val="Compact"/>
              <w:jc w:val="left"/>
            </w:pPr>
            <w:r>
              <w:t xml:space="preserve">ent_typeHead and Neck Cancer</w:t>
            </w:r>
          </w:p>
        </w:tc>
        <w:tc>
          <w:tcPr/>
          <w:p>
            <w:pPr>
              <w:pStyle w:val="Compact"/>
              <w:jc w:val="right"/>
            </w:pPr>
            <w:r>
              <w:t xml:space="preserve">-0.182</w:t>
            </w:r>
          </w:p>
        </w:tc>
        <w:tc>
          <w:tcPr/>
          <w:p>
            <w:pPr>
              <w:pStyle w:val="Compact"/>
              <w:jc w:val="right"/>
            </w:pPr>
            <w:r>
              <w:t xml:space="preserve">0.426</w:t>
            </w:r>
          </w:p>
        </w:tc>
        <w:tc>
          <w:tcPr/>
          <w:p>
            <w:pPr>
              <w:pStyle w:val="Compact"/>
              <w:jc w:val="right"/>
            </w:pPr>
            <w:r>
              <w:t xml:space="preserve">-0.427</w:t>
            </w:r>
          </w:p>
        </w:tc>
        <w:tc>
          <w:tcPr/>
          <w:p>
            <w:pPr>
              <w:pStyle w:val="Compact"/>
              <w:jc w:val="right"/>
            </w:pPr>
            <w:r>
              <w:t xml:space="preserve">0.669</w:t>
            </w:r>
          </w:p>
        </w:tc>
        <w:tc>
          <w:tcPr/>
          <w:p>
            <w:pPr>
              <w:pStyle w:val="Compact"/>
              <w:jc w:val="left"/>
            </w:pPr>
            <w:r>
              <w:t xml:space="preserve">0.669</w:t>
            </w:r>
          </w:p>
        </w:tc>
        <w:tc>
          <w:tcPr/>
          <w:p>
            <w:pPr>
              <w:pStyle w:val="Compact"/>
              <w:jc w:val="right"/>
            </w:pPr>
            <w:r>
              <w:t xml:space="preserve">0.834</w:t>
            </w:r>
          </w:p>
        </w:tc>
        <w:tc>
          <w:tcPr/>
          <w:p>
            <w:pPr>
              <w:pStyle w:val="Compact"/>
              <w:jc w:val="right"/>
            </w:pPr>
            <w:r>
              <w:t xml:space="preserve">0.362</w:t>
            </w:r>
          </w:p>
        </w:tc>
        <w:tc>
          <w:tcPr/>
          <w:p>
            <w:pPr>
              <w:pStyle w:val="Compact"/>
              <w:jc w:val="right"/>
            </w:pPr>
            <w:r>
              <w:t xml:space="preserve">1.920</w:t>
            </w:r>
          </w:p>
        </w:tc>
      </w:tr>
      <w:tr>
        <w:tc>
          <w:tcPr/>
          <w:p>
            <w:pPr>
              <w:pStyle w:val="Compact"/>
              <w:jc w:val="left"/>
            </w:pPr>
            <w:r>
              <w:t xml:space="preserve">ent_typeLaryngology</w:t>
            </w:r>
          </w:p>
        </w:tc>
        <w:tc>
          <w:tcPr/>
          <w:p>
            <w:pPr>
              <w:pStyle w:val="Compact"/>
              <w:jc w:val="right"/>
            </w:pPr>
            <w:r>
              <w:t xml:space="preserve">0.553</w:t>
            </w:r>
          </w:p>
        </w:tc>
        <w:tc>
          <w:tcPr/>
          <w:p>
            <w:pPr>
              <w:pStyle w:val="Compact"/>
              <w:jc w:val="right"/>
            </w:pPr>
            <w:r>
              <w:t xml:space="preserve">0.638</w:t>
            </w:r>
          </w:p>
        </w:tc>
        <w:tc>
          <w:tcPr/>
          <w:p>
            <w:pPr>
              <w:pStyle w:val="Compact"/>
              <w:jc w:val="right"/>
            </w:pPr>
            <w:r>
              <w:t xml:space="preserve">0.866</w:t>
            </w:r>
          </w:p>
        </w:tc>
        <w:tc>
          <w:tcPr/>
          <w:p>
            <w:pPr>
              <w:pStyle w:val="Compact"/>
              <w:jc w:val="right"/>
            </w:pPr>
            <w:r>
              <w:t xml:space="preserve">0.386</w:t>
            </w:r>
          </w:p>
        </w:tc>
        <w:tc>
          <w:tcPr/>
          <w:p>
            <w:pPr>
              <w:pStyle w:val="Compact"/>
              <w:jc w:val="left"/>
            </w:pPr>
            <w:r>
              <w:t xml:space="preserve">0.386</w:t>
            </w:r>
          </w:p>
        </w:tc>
        <w:tc>
          <w:tcPr/>
          <w:p>
            <w:pPr>
              <w:pStyle w:val="Compact"/>
              <w:jc w:val="right"/>
            </w:pPr>
            <w:r>
              <w:t xml:space="preserve">1.738</w:t>
            </w:r>
          </w:p>
        </w:tc>
        <w:tc>
          <w:tcPr/>
          <w:p>
            <w:pPr>
              <w:pStyle w:val="Compact"/>
              <w:jc w:val="right"/>
            </w:pPr>
            <w:r>
              <w:t xml:space="preserve">0.498</w:t>
            </w:r>
          </w:p>
        </w:tc>
        <w:tc>
          <w:tcPr/>
          <w:p>
            <w:pPr>
              <w:pStyle w:val="Compact"/>
              <w:jc w:val="right"/>
            </w:pPr>
            <w:r>
              <w:t xml:space="preserve">6.071</w:t>
            </w:r>
          </w:p>
        </w:tc>
      </w:tr>
      <w:tr>
        <w:tc>
          <w:tcPr/>
          <w:p>
            <w:pPr>
              <w:pStyle w:val="Compact"/>
              <w:jc w:val="left"/>
            </w:pPr>
            <w:r>
              <w:t xml:space="preserve">ent_typeOtology/neurotology</w:t>
            </w:r>
          </w:p>
        </w:tc>
        <w:tc>
          <w:tcPr/>
          <w:p>
            <w:pPr>
              <w:pStyle w:val="Compact"/>
              <w:jc w:val="right"/>
            </w:pPr>
            <w:r>
              <w:t xml:space="preserve">-0.709</w:t>
            </w:r>
          </w:p>
        </w:tc>
        <w:tc>
          <w:tcPr/>
          <w:p>
            <w:pPr>
              <w:pStyle w:val="Compact"/>
              <w:jc w:val="right"/>
            </w:pPr>
            <w:r>
              <w:t xml:space="preserve">0.395</w:t>
            </w:r>
          </w:p>
        </w:tc>
        <w:tc>
          <w:tcPr/>
          <w:p>
            <w:pPr>
              <w:pStyle w:val="Compact"/>
              <w:jc w:val="right"/>
            </w:pPr>
            <w:r>
              <w:t xml:space="preserve">-1.797</w:t>
            </w:r>
          </w:p>
        </w:tc>
        <w:tc>
          <w:tcPr/>
          <w:p>
            <w:pPr>
              <w:pStyle w:val="Compact"/>
              <w:jc w:val="right"/>
            </w:pPr>
            <w:r>
              <w:t xml:space="preserve">0.072</w:t>
            </w:r>
          </w:p>
        </w:tc>
        <w:tc>
          <w:tcPr/>
          <w:p>
            <w:pPr>
              <w:pStyle w:val="Compact"/>
              <w:jc w:val="left"/>
            </w:pPr>
            <w:r>
              <w:t xml:space="preserve">0.072</w:t>
            </w:r>
          </w:p>
        </w:tc>
        <w:tc>
          <w:tcPr/>
          <w:p>
            <w:pPr>
              <w:pStyle w:val="Compact"/>
              <w:jc w:val="right"/>
            </w:pPr>
            <w:r>
              <w:t xml:space="preserve">0.492</w:t>
            </w:r>
          </w:p>
        </w:tc>
        <w:tc>
          <w:tcPr/>
          <w:p>
            <w:pPr>
              <w:pStyle w:val="Compact"/>
              <w:jc w:val="right"/>
            </w:pPr>
            <w:r>
              <w:t xml:space="preserve">0.227</w:t>
            </w:r>
          </w:p>
        </w:tc>
        <w:tc>
          <w:tcPr/>
          <w:p>
            <w:pPr>
              <w:pStyle w:val="Compact"/>
              <w:jc w:val="right"/>
            </w:pPr>
            <w:r>
              <w:t xml:space="preserve">1.066</w:t>
            </w:r>
          </w:p>
        </w:tc>
      </w:tr>
      <w:tr>
        <w:tc>
          <w:tcPr/>
          <w:p>
            <w:pPr>
              <w:pStyle w:val="Compact"/>
              <w:jc w:val="left"/>
            </w:pPr>
            <w:r>
              <w:t xml:space="preserve">ent_typePediatrics</w:t>
            </w:r>
          </w:p>
        </w:tc>
        <w:tc>
          <w:tcPr/>
          <w:p>
            <w:pPr>
              <w:pStyle w:val="Compact"/>
              <w:jc w:val="right"/>
            </w:pPr>
            <w:r>
              <w:t xml:space="preserve">0.818</w:t>
            </w:r>
          </w:p>
        </w:tc>
        <w:tc>
          <w:tcPr/>
          <w:p>
            <w:pPr>
              <w:pStyle w:val="Compact"/>
              <w:jc w:val="right"/>
            </w:pPr>
            <w:r>
              <w:t xml:space="preserve">0.378</w:t>
            </w:r>
          </w:p>
        </w:tc>
        <w:tc>
          <w:tcPr/>
          <w:p>
            <w:pPr>
              <w:pStyle w:val="Compact"/>
              <w:jc w:val="right"/>
            </w:pPr>
            <w:r>
              <w:t xml:space="preserve">2.162</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2.266</w:t>
            </w:r>
          </w:p>
        </w:tc>
        <w:tc>
          <w:tcPr/>
          <w:p>
            <w:pPr>
              <w:pStyle w:val="Compact"/>
              <w:jc w:val="right"/>
            </w:pPr>
            <w:r>
              <w:t xml:space="preserve">1.079</w:t>
            </w:r>
          </w:p>
        </w:tc>
        <w:tc>
          <w:tcPr/>
          <w:p>
            <w:pPr>
              <w:pStyle w:val="Compact"/>
              <w:jc w:val="right"/>
            </w:pPr>
            <w:r>
              <w:t xml:space="preserve">4.758</w:t>
            </w:r>
          </w:p>
        </w:tc>
      </w:tr>
      <w:tr>
        <w:tc>
          <w:tcPr/>
          <w:p>
            <w:pPr>
              <w:pStyle w:val="Compact"/>
              <w:jc w:val="left"/>
            </w:pPr>
            <w:r>
              <w:t xml:space="preserve">ent_typeRhinology</w:t>
            </w:r>
          </w:p>
        </w:tc>
        <w:tc>
          <w:tcPr/>
          <w:p>
            <w:pPr>
              <w:pStyle w:val="Compact"/>
              <w:jc w:val="right"/>
            </w:pPr>
            <w:r>
              <w:t xml:space="preserve">0.746</w:t>
            </w:r>
          </w:p>
        </w:tc>
        <w:tc>
          <w:tcPr/>
          <w:p>
            <w:pPr>
              <w:pStyle w:val="Compact"/>
              <w:jc w:val="right"/>
            </w:pPr>
            <w:r>
              <w:t xml:space="preserve">0.549</w:t>
            </w:r>
          </w:p>
        </w:tc>
        <w:tc>
          <w:tcPr/>
          <w:p>
            <w:pPr>
              <w:pStyle w:val="Compact"/>
              <w:jc w:val="right"/>
            </w:pPr>
            <w:r>
              <w:t xml:space="preserve">1.360</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2.109</w:t>
            </w:r>
          </w:p>
        </w:tc>
        <w:tc>
          <w:tcPr/>
          <w:p>
            <w:pPr>
              <w:pStyle w:val="Compact"/>
              <w:jc w:val="right"/>
            </w:pPr>
            <w:r>
              <w:t xml:space="preserve">0.719</w:t>
            </w:r>
          </w:p>
        </w:tc>
        <w:tc>
          <w:tcPr/>
          <w:p>
            <w:pPr>
              <w:pStyle w:val="Compact"/>
              <w:jc w:val="right"/>
            </w:pPr>
            <w:r>
              <w:t xml:space="preserve">6.185</w:t>
            </w:r>
          </w:p>
        </w:tc>
      </w:tr>
      <w:tr>
        <w:tc>
          <w:tcPr/>
          <w:p>
            <w:pPr>
              <w:pStyle w:val="Compact"/>
              <w:jc w:val="left"/>
            </w:pPr>
            <w:r>
              <w:t xml:space="preserve">ent_typeSleep</w:t>
            </w:r>
          </w:p>
        </w:tc>
        <w:tc>
          <w:tcPr/>
          <w:p>
            <w:pPr>
              <w:pStyle w:val="Compact"/>
              <w:jc w:val="right"/>
            </w:pPr>
            <w:r>
              <w:t xml:space="preserve">0.504</w:t>
            </w:r>
          </w:p>
        </w:tc>
        <w:tc>
          <w:tcPr/>
          <w:p>
            <w:pPr>
              <w:pStyle w:val="Compact"/>
              <w:jc w:val="right"/>
            </w:pPr>
            <w:r>
              <w:t xml:space="preserve">0.565</w:t>
            </w:r>
          </w:p>
        </w:tc>
        <w:tc>
          <w:tcPr/>
          <w:p>
            <w:pPr>
              <w:pStyle w:val="Compact"/>
              <w:jc w:val="right"/>
            </w:pPr>
            <w:r>
              <w:t xml:space="preserve">0.892</w:t>
            </w:r>
          </w:p>
        </w:tc>
        <w:tc>
          <w:tcPr/>
          <w:p>
            <w:pPr>
              <w:pStyle w:val="Compact"/>
              <w:jc w:val="right"/>
            </w:pPr>
            <w:r>
              <w:t xml:space="preserve">0.373</w:t>
            </w:r>
          </w:p>
        </w:tc>
        <w:tc>
          <w:tcPr/>
          <w:p>
            <w:pPr>
              <w:pStyle w:val="Compact"/>
              <w:jc w:val="left"/>
            </w:pPr>
            <w:r>
              <w:t xml:space="preserve">0.373</w:t>
            </w:r>
          </w:p>
        </w:tc>
        <w:tc>
          <w:tcPr/>
          <w:p>
            <w:pPr>
              <w:pStyle w:val="Compact"/>
              <w:jc w:val="right"/>
            </w:pPr>
            <w:r>
              <w:t xml:space="preserve">1.656</w:t>
            </w:r>
          </w:p>
        </w:tc>
        <w:tc>
          <w:tcPr/>
          <w:p>
            <w:pPr>
              <w:pStyle w:val="Compact"/>
              <w:jc w:val="right"/>
            </w:pPr>
            <w:r>
              <w:t xml:space="preserve">0.547</w:t>
            </w:r>
          </w:p>
        </w:tc>
        <w:tc>
          <w:tcPr/>
          <w:p>
            <w:pPr>
              <w:pStyle w:val="Compact"/>
              <w:jc w:val="right"/>
            </w:pPr>
            <w:r>
              <w:t xml:space="preserve">5.015</w:t>
            </w:r>
          </w:p>
        </w:tc>
      </w:tr>
      <w:tr>
        <w:tc>
          <w:tcPr/>
          <w:p>
            <w:pPr>
              <w:pStyle w:val="Compact"/>
              <w:jc w:val="left"/>
            </w:pPr>
            <w:r>
              <w:t xml:space="preserve">ent_per_100k_z</w:t>
            </w:r>
          </w:p>
        </w:tc>
        <w:tc>
          <w:tcPr/>
          <w:p>
            <w:pPr>
              <w:pStyle w:val="Compact"/>
              <w:jc w:val="right"/>
            </w:pPr>
            <w:r>
              <w:t xml:space="preserve">-0.049</w:t>
            </w:r>
          </w:p>
        </w:tc>
        <w:tc>
          <w:tcPr/>
          <w:p>
            <w:pPr>
              <w:pStyle w:val="Compact"/>
              <w:jc w:val="right"/>
            </w:pPr>
            <w:r>
              <w:t xml:space="preserve">0.083</w:t>
            </w:r>
          </w:p>
        </w:tc>
        <w:tc>
          <w:tcPr/>
          <w:p>
            <w:pPr>
              <w:pStyle w:val="Compact"/>
              <w:jc w:val="right"/>
            </w:pPr>
            <w:r>
              <w:t xml:space="preserve">-0.594</w:t>
            </w:r>
          </w:p>
        </w:tc>
        <w:tc>
          <w:tcPr/>
          <w:p>
            <w:pPr>
              <w:pStyle w:val="Compact"/>
              <w:jc w:val="right"/>
            </w:pPr>
            <w:r>
              <w:t xml:space="preserve">0.552</w:t>
            </w:r>
          </w:p>
        </w:tc>
        <w:tc>
          <w:tcPr/>
          <w:p>
            <w:pPr>
              <w:pStyle w:val="Compact"/>
              <w:jc w:val="left"/>
            </w:pPr>
            <w:r>
              <w:t xml:space="preserve">0.552</w:t>
            </w:r>
          </w:p>
        </w:tc>
        <w:tc>
          <w:tcPr/>
          <w:p>
            <w:pPr>
              <w:pStyle w:val="Compact"/>
              <w:jc w:val="right"/>
            </w:pPr>
            <w:r>
              <w:t xml:space="preserve">0.952</w:t>
            </w:r>
          </w:p>
        </w:tc>
        <w:tc>
          <w:tcPr/>
          <w:p>
            <w:pPr>
              <w:pStyle w:val="Compact"/>
              <w:jc w:val="right"/>
            </w:pPr>
            <w:r>
              <w:t xml:space="preserve">0.808</w:t>
            </w:r>
          </w:p>
        </w:tc>
        <w:tc>
          <w:tcPr/>
          <w:p>
            <w:pPr>
              <w:pStyle w:val="Compact"/>
              <w:jc w:val="right"/>
            </w:pPr>
            <w:r>
              <w:t xml:space="preserve">1.120</w:t>
            </w:r>
          </w:p>
        </w:tc>
      </w:tr>
      <w:tr>
        <w:tc>
          <w:tcPr/>
          <w:p>
            <w:pPr>
              <w:pStyle w:val="Compact"/>
              <w:jc w:val="left"/>
            </w:pPr>
            <w:r>
              <w:t xml:space="preserve">medicaid_fee_index_z</w:t>
            </w:r>
          </w:p>
        </w:tc>
        <w:tc>
          <w:tcPr/>
          <w:p>
            <w:pPr>
              <w:pStyle w:val="Compact"/>
              <w:jc w:val="right"/>
            </w:pPr>
            <w:r>
              <w:t xml:space="preserve">-0.094</w:t>
            </w:r>
          </w:p>
        </w:tc>
        <w:tc>
          <w:tcPr/>
          <w:p>
            <w:pPr>
              <w:pStyle w:val="Compact"/>
              <w:jc w:val="right"/>
            </w:pPr>
            <w:r>
              <w:t xml:space="preserve">0.082</w:t>
            </w:r>
          </w:p>
        </w:tc>
        <w:tc>
          <w:tcPr/>
          <w:p>
            <w:pPr>
              <w:pStyle w:val="Compact"/>
              <w:jc w:val="right"/>
            </w:pPr>
            <w:r>
              <w:t xml:space="preserve">-1.142</w:t>
            </w:r>
          </w:p>
        </w:tc>
        <w:tc>
          <w:tcPr/>
          <w:p>
            <w:pPr>
              <w:pStyle w:val="Compact"/>
              <w:jc w:val="right"/>
            </w:pPr>
            <w:r>
              <w:t xml:space="preserve">0.254</w:t>
            </w:r>
          </w:p>
        </w:tc>
        <w:tc>
          <w:tcPr/>
          <w:p>
            <w:pPr>
              <w:pStyle w:val="Compact"/>
              <w:jc w:val="left"/>
            </w:pPr>
            <w:r>
              <w:t xml:space="preserve">0.254</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1.070</w:t>
            </w:r>
          </w:p>
        </w:tc>
      </w:tr>
      <w:tr>
        <w:tc>
          <w:tcPr/>
          <w:p>
            <w:pPr>
              <w:pStyle w:val="Compact"/>
              <w:jc w:val="left"/>
            </w:pPr>
            <w:r>
              <w:t xml:space="preserve">svi_overall_z</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-0.549</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dual_pct_z</w:t>
            </w:r>
          </w:p>
        </w:tc>
        <w:tc>
          <w:tcPr/>
          <w:p>
            <w:pPr>
              <w:pStyle w:val="Compact"/>
              <w:jc w:val="right"/>
            </w:pPr>
            <w:r>
              <w:t xml:space="preserve">-0.005</w:t>
            </w:r>
          </w:p>
        </w:tc>
        <w:tc>
          <w:tcPr/>
          <w:p>
            <w:pPr>
              <w:pStyle w:val="Compact"/>
              <w:jc w:val="right"/>
            </w:pPr>
            <w:r>
              <w:t xml:space="preserve">0.092</w:t>
            </w:r>
          </w:p>
        </w:tc>
        <w:tc>
          <w:tcPr/>
          <w:p>
            <w:pPr>
              <w:pStyle w:val="Compact"/>
              <w:jc w:val="right"/>
            </w:pPr>
            <w:r>
              <w:t xml:space="preserve">-0.053</w:t>
            </w:r>
          </w:p>
        </w:tc>
        <w:tc>
          <w:tcPr/>
          <w:p>
            <w:pPr>
              <w:pStyle w:val="Compact"/>
              <w:jc w:val="right"/>
            </w:pPr>
            <w:r>
              <w:t xml:space="preserve">0.958</w:t>
            </w:r>
          </w:p>
        </w:tc>
        <w:tc>
          <w:tcPr/>
          <w:p>
            <w:pPr>
              <w:pStyle w:val="Compact"/>
              <w:jc w:val="left"/>
            </w:pPr>
            <w:r>
              <w:t xml:space="preserve">0.958</w:t>
            </w:r>
          </w:p>
        </w:tc>
        <w:tc>
          <w:tcPr/>
          <w:p>
            <w:pPr>
              <w:pStyle w:val="Compact"/>
              <w:jc w:val="right"/>
            </w:pPr>
            <w:r>
              <w:t xml:space="preserve">0.995</w:t>
            </w:r>
          </w:p>
        </w:tc>
        <w:tc>
          <w:tcPr/>
          <w:p>
            <w:pPr>
              <w:pStyle w:val="Compact"/>
              <w:jc w:val="right"/>
            </w:pPr>
            <w:r>
              <w:t xml:space="preserve">0.830</w:t>
            </w:r>
          </w:p>
        </w:tc>
        <w:tc>
          <w:tcPr/>
          <w:p>
            <w:pPr>
              <w:pStyle w:val="Compact"/>
              <w:jc w:val="right"/>
            </w:pPr>
            <w:r>
              <w:t xml:space="preserve">1.192</w:t>
            </w:r>
          </w:p>
        </w:tc>
      </w:tr>
      <w:tr>
        <w:tc>
          <w:tcPr/>
          <w:p>
            <w:pPr>
              <w:pStyle w:val="Compact"/>
              <w:jc w:val="left"/>
            </w:pPr>
            <w:r>
              <w:t xml:space="preserve">ruralRural</w:t>
            </w:r>
          </w:p>
        </w:tc>
        <w:tc>
          <w:tcPr/>
          <w:p>
            <w:pPr>
              <w:pStyle w:val="Compact"/>
              <w:jc w:val="right"/>
            </w:pPr>
            <w:r>
              <w:t xml:space="preserve">0.018</w:t>
            </w:r>
          </w:p>
        </w:tc>
        <w:tc>
          <w:tcPr/>
          <w:p>
            <w:pPr>
              <w:pStyle w:val="Compact"/>
              <w:jc w:val="right"/>
            </w:pPr>
            <w:r>
              <w:t xml:space="preserve">0.182</w:t>
            </w:r>
          </w:p>
        </w:tc>
        <w:tc>
          <w:tcPr/>
          <w:p>
            <w:pPr>
              <w:pStyle w:val="Compact"/>
              <w:jc w:val="right"/>
            </w:pPr>
            <w:r>
              <w:t xml:space="preserve">0.098</w:t>
            </w:r>
          </w:p>
        </w:tc>
        <w:tc>
          <w:tcPr/>
          <w:p>
            <w:pPr>
              <w:pStyle w:val="Compact"/>
              <w:jc w:val="right"/>
            </w:pPr>
            <w:r>
              <w:t xml:space="preserve">0.922</w:t>
            </w:r>
          </w:p>
        </w:tc>
        <w:tc>
          <w:tcPr/>
          <w:p>
            <w:pPr>
              <w:pStyle w:val="Compact"/>
              <w:jc w:val="left"/>
            </w:pPr>
            <w:r>
              <w:t xml:space="preserve">0.922</w:t>
            </w:r>
          </w:p>
        </w:tc>
        <w:tc>
          <w:tcPr/>
          <w:p>
            <w:pPr>
              <w:pStyle w:val="Compact"/>
              <w:jc w:val="right"/>
            </w:pPr>
            <w:r>
              <w:t xml:space="preserve">1.018</w:t>
            </w:r>
          </w:p>
        </w:tc>
        <w:tc>
          <w:tcPr/>
          <w:p>
            <w:pPr>
              <w:pStyle w:val="Compact"/>
              <w:jc w:val="right"/>
            </w:pPr>
            <w:r>
              <w:t xml:space="preserve">0.712</w:t>
            </w:r>
          </w:p>
        </w:tc>
        <w:tc>
          <w:tcPr/>
          <w:p>
            <w:pPr>
              <w:pStyle w:val="Compact"/>
              <w:jc w:val="right"/>
            </w:pPr>
            <w:r>
              <w:t xml:space="preserve">1.455</w:t>
            </w:r>
          </w:p>
        </w:tc>
      </w:tr>
      <w:tr>
        <w:tc>
          <w:tcPr/>
          <w:p>
            <w:pPr>
              <w:pStyle w:val="Compact"/>
              <w:jc w:val="left"/>
            </w:pPr>
            <w:r>
              <w:t xml:space="preserve">caller_fDeol</w:t>
            </w:r>
          </w:p>
        </w:tc>
        <w:tc>
          <w:tcPr/>
          <w:p>
            <w:pPr>
              <w:pStyle w:val="Compact"/>
              <w:jc w:val="right"/>
            </w:pPr>
            <w:r>
              <w:t xml:space="preserve">0.849</w:t>
            </w:r>
          </w:p>
        </w:tc>
        <w:tc>
          <w:tcPr/>
          <w:p>
            <w:pPr>
              <w:pStyle w:val="Compact"/>
              <w:jc w:val="right"/>
            </w:pPr>
            <w:r>
              <w:t xml:space="preserve">0.255</w:t>
            </w:r>
          </w:p>
        </w:tc>
        <w:tc>
          <w:tcPr/>
          <w:p>
            <w:pPr>
              <w:pStyle w:val="Compact"/>
              <w:jc w:val="right"/>
            </w:pPr>
            <w:r>
              <w:t xml:space="preserve">3.335</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2.338</w:t>
            </w:r>
          </w:p>
        </w:tc>
        <w:tc>
          <w:tcPr/>
          <w:p>
            <w:pPr>
              <w:pStyle w:val="Compact"/>
              <w:jc w:val="right"/>
            </w:pPr>
            <w:r>
              <w:t xml:space="preserve">1.419</w:t>
            </w:r>
          </w:p>
        </w:tc>
        <w:tc>
          <w:tcPr/>
          <w:p>
            <w:pPr>
              <w:pStyle w:val="Compact"/>
              <w:jc w:val="right"/>
            </w:pPr>
            <w:r>
              <w:t xml:space="preserve">3.852</w:t>
            </w:r>
          </w:p>
        </w:tc>
      </w:tr>
      <w:tr>
        <w:tc>
          <w:tcPr/>
          <w:p>
            <w:pPr>
              <w:pStyle w:val="Compact"/>
              <w:jc w:val="left"/>
            </w:pPr>
            <w:r>
              <w:t xml:space="preserve">caller_fFalk</w:t>
            </w:r>
          </w:p>
        </w:tc>
        <w:tc>
          <w:tcPr/>
          <w:p>
            <w:pPr>
              <w:pStyle w:val="Compact"/>
              <w:jc w:val="right"/>
            </w:pPr>
            <w:r>
              <w:t xml:space="preserve">0.692</w:t>
            </w:r>
          </w:p>
        </w:tc>
        <w:tc>
          <w:tcPr/>
          <w:p>
            <w:pPr>
              <w:pStyle w:val="Compact"/>
              <w:jc w:val="right"/>
            </w:pPr>
            <w:r>
              <w:t xml:space="preserve">0.289</w:t>
            </w:r>
          </w:p>
        </w:tc>
        <w:tc>
          <w:tcPr/>
          <w:p>
            <w:pPr>
              <w:pStyle w:val="Compact"/>
              <w:jc w:val="right"/>
            </w:pPr>
            <w:r>
              <w:t xml:space="preserve">2.391</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1.998</w:t>
            </w:r>
          </w:p>
        </w:tc>
        <w:tc>
          <w:tcPr/>
          <w:p>
            <w:pPr>
              <w:pStyle w:val="Compact"/>
              <w:jc w:val="right"/>
            </w:pPr>
            <w:r>
              <w:t xml:space="preserve">1.133</w:t>
            </w:r>
          </w:p>
        </w:tc>
        <w:tc>
          <w:tcPr/>
          <w:p>
            <w:pPr>
              <w:pStyle w:val="Compact"/>
              <w:jc w:val="right"/>
            </w:pPr>
            <w:r>
              <w:t xml:space="preserve">3.523</w:t>
            </w:r>
          </w:p>
        </w:tc>
      </w:tr>
      <w:tr>
        <w:tc>
          <w:tcPr/>
          <w:p>
            <w:pPr>
              <w:pStyle w:val="Compact"/>
              <w:jc w:val="left"/>
            </w:pPr>
            <w:r>
              <w:t xml:space="preserve">caller_fGregg</w:t>
            </w:r>
          </w:p>
        </w:tc>
        <w:tc>
          <w:tcPr/>
          <w:p>
            <w:pPr>
              <w:pStyle w:val="Compact"/>
              <w:jc w:val="right"/>
            </w:pPr>
            <w:r>
              <w:t xml:space="preserve">0.638</w:t>
            </w:r>
          </w:p>
        </w:tc>
        <w:tc>
          <w:tcPr/>
          <w:p>
            <w:pPr>
              <w:pStyle w:val="Compact"/>
              <w:jc w:val="right"/>
            </w:pPr>
            <w:r>
              <w:t xml:space="preserve">0.254</w:t>
            </w:r>
          </w:p>
        </w:tc>
        <w:tc>
          <w:tcPr/>
          <w:p>
            <w:pPr>
              <w:pStyle w:val="Compact"/>
              <w:jc w:val="right"/>
            </w:pPr>
            <w:r>
              <w:t xml:space="preserve">2.508</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1.892</w:t>
            </w:r>
          </w:p>
        </w:tc>
        <w:tc>
          <w:tcPr/>
          <w:p>
            <w:pPr>
              <w:pStyle w:val="Compact"/>
              <w:jc w:val="right"/>
            </w:pPr>
            <w:r>
              <w:t xml:space="preserve">1.150</w:t>
            </w:r>
          </w:p>
        </w:tc>
        <w:tc>
          <w:tcPr/>
          <w:p>
            <w:pPr>
              <w:pStyle w:val="Compact"/>
              <w:jc w:val="right"/>
            </w:pPr>
            <w:r>
              <w:t xml:space="preserve">3.115</w:t>
            </w:r>
          </w:p>
        </w:tc>
      </w:tr>
      <w:tr>
        <w:tc>
          <w:tcPr/>
          <w:p>
            <w:pPr>
              <w:pStyle w:val="Compact"/>
              <w:jc w:val="left"/>
            </w:pPr>
            <w:r>
              <w:t xml:space="preserve">caller_fKim</w:t>
            </w:r>
          </w:p>
        </w:tc>
        <w:tc>
          <w:tcPr/>
          <w:p>
            <w:pPr>
              <w:pStyle w:val="Compact"/>
              <w:jc w:val="right"/>
            </w:pPr>
            <w:r>
              <w:t xml:space="preserve">0.685</w:t>
            </w:r>
          </w:p>
        </w:tc>
        <w:tc>
          <w:tcPr/>
          <w:p>
            <w:pPr>
              <w:pStyle w:val="Compact"/>
              <w:jc w:val="right"/>
            </w:pPr>
            <w:r>
              <w:t xml:space="preserve">0.255</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1.984</w:t>
            </w:r>
          </w:p>
        </w:tc>
        <w:tc>
          <w:tcPr/>
          <w:p>
            <w:pPr>
              <w:pStyle w:val="Compact"/>
              <w:jc w:val="right"/>
            </w:pPr>
            <w:r>
              <w:t xml:space="preserve">1.204</w:t>
            </w:r>
          </w:p>
        </w:tc>
        <w:tc>
          <w:tcPr/>
          <w:p>
            <w:pPr>
              <w:pStyle w:val="Compact"/>
              <w:jc w:val="right"/>
            </w:pPr>
            <w:r>
              <w:t xml:space="preserve">3.266</w:t>
            </w:r>
          </w:p>
        </w:tc>
      </w:tr>
      <w:tr>
        <w:tc>
          <w:tcPr/>
          <w:p>
            <w:pPr>
              <w:pStyle w:val="Compact"/>
              <w:jc w:val="left"/>
            </w:pPr>
            <w:r>
              <w:t xml:space="preserve">caller_fOther</w:t>
            </w:r>
          </w:p>
        </w:tc>
        <w:tc>
          <w:tcPr/>
          <w:p>
            <w:pPr>
              <w:pStyle w:val="Compact"/>
              <w:jc w:val="right"/>
            </w:pPr>
            <w:r>
              <w:t xml:space="preserve">-0.694</w:t>
            </w:r>
          </w:p>
        </w:tc>
        <w:tc>
          <w:tcPr/>
          <w:p>
            <w:pPr>
              <w:pStyle w:val="Compact"/>
              <w:jc w:val="right"/>
            </w:pPr>
            <w:r>
              <w:t xml:space="preserve">0.635</w:t>
            </w:r>
          </w:p>
        </w:tc>
        <w:tc>
          <w:tcPr/>
          <w:p>
            <w:pPr>
              <w:pStyle w:val="Compact"/>
              <w:jc w:val="right"/>
            </w:pPr>
            <w:r>
              <w:t xml:space="preserve">-1.094</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0.500</w:t>
            </w:r>
          </w:p>
        </w:tc>
        <w:tc>
          <w:tcPr/>
          <w:p>
            <w:pPr>
              <w:pStyle w:val="Compact"/>
              <w:jc w:val="right"/>
            </w:pPr>
            <w:r>
              <w:t xml:space="preserve">0.144</w:t>
            </w:r>
          </w:p>
        </w:tc>
        <w:tc>
          <w:tcPr/>
          <w:p>
            <w:pPr>
              <w:pStyle w:val="Compact"/>
              <w:jc w:val="right"/>
            </w:pPr>
            <w:r>
              <w:t xml:space="preserve">1.733</w:t>
            </w:r>
          </w:p>
        </w:tc>
      </w:tr>
      <w:tr>
        <w:tc>
          <w:tcPr/>
          <w:p>
            <w:pPr>
              <w:pStyle w:val="Compact"/>
              <w:jc w:val="left"/>
            </w:pPr>
            <w:r>
              <w:t xml:space="preserve">caller_fWalsh</w:t>
            </w:r>
          </w:p>
        </w:tc>
        <w:tc>
          <w:tcPr/>
          <w:p>
            <w:pPr>
              <w:pStyle w:val="Compact"/>
              <w:jc w:val="right"/>
            </w:pPr>
            <w:r>
              <w:t xml:space="preserve">0.807</w:t>
            </w:r>
          </w:p>
        </w:tc>
        <w:tc>
          <w:tcPr/>
          <w:p>
            <w:pPr>
              <w:pStyle w:val="Compact"/>
              <w:jc w:val="right"/>
            </w:pPr>
            <w:r>
              <w:t xml:space="preserve">0.250</w:t>
            </w:r>
          </w:p>
        </w:tc>
        <w:tc>
          <w:tcPr/>
          <w:p>
            <w:pPr>
              <w:pStyle w:val="Compact"/>
              <w:jc w:val="right"/>
            </w:pPr>
            <w:r>
              <w:t xml:space="preserve">3.226</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2.240</w:t>
            </w:r>
          </w:p>
        </w:tc>
        <w:tc>
          <w:tcPr/>
          <w:p>
            <w:pPr>
              <w:pStyle w:val="Compact"/>
              <w:jc w:val="right"/>
            </w:pPr>
            <w:r>
              <w:t xml:space="preserve">1.372</w:t>
            </w:r>
          </w:p>
        </w:tc>
        <w:tc>
          <w:tcPr/>
          <w:p>
            <w:pPr>
              <w:pStyle w:val="Compact"/>
              <w:jc w:val="right"/>
            </w:pPr>
            <w:r>
              <w:t xml:space="preserve">3.657</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ent_typeFacial Plastics</w:t>
            </w:r>
          </w:p>
        </w:tc>
        <w:tc>
          <w:tcPr/>
          <w:p>
            <w:pPr>
              <w:pStyle w:val="Compact"/>
              <w:jc w:val="left"/>
            </w:pPr>
            <w:r>
              <w:t xml:space="preserve">1.03 (0.72-1.49)</w:t>
            </w:r>
          </w:p>
        </w:tc>
        <w:tc>
          <w:tcPr/>
          <w:p>
            <w:pPr>
              <w:pStyle w:val="Compact"/>
              <w:jc w:val="right"/>
            </w:pPr>
            <w:r>
              <w:t xml:space="preserve">0.856</w:t>
            </w:r>
          </w:p>
        </w:tc>
      </w:tr>
      <w:tr>
        <w:tc>
          <w:tcPr/>
          <w:p>
            <w:pPr>
              <w:pStyle w:val="Compact"/>
              <w:jc w:val="left"/>
            </w:pPr>
            <w:r>
              <w:t xml:space="preserve">ent_typeHead and Neck Cancer</w:t>
            </w:r>
          </w:p>
        </w:tc>
        <w:tc>
          <w:tcPr/>
          <w:p>
            <w:pPr>
              <w:pStyle w:val="Compact"/>
              <w:jc w:val="left"/>
            </w:pPr>
            <w:r>
              <w:t xml:space="preserve">1.26 (0.72-2.22)</w:t>
            </w:r>
          </w:p>
        </w:tc>
        <w:tc>
          <w:tcPr/>
          <w:p>
            <w:pPr>
              <w:pStyle w:val="Compact"/>
              <w:jc w:val="right"/>
            </w:pPr>
            <w:r>
              <w:t xml:space="preserve">0.423</w:t>
            </w:r>
          </w:p>
        </w:tc>
      </w:tr>
      <w:tr>
        <w:tc>
          <w:tcPr/>
          <w:p>
            <w:pPr>
              <w:pStyle w:val="Compact"/>
              <w:jc w:val="left"/>
            </w:pPr>
            <w:r>
              <w:t xml:space="preserve">ent_typeLaryngology</w:t>
            </w:r>
          </w:p>
        </w:tc>
        <w:tc>
          <w:tcPr/>
          <w:p>
            <w:pPr>
              <w:pStyle w:val="Compact"/>
              <w:jc w:val="left"/>
            </w:pPr>
            <w:r>
              <w:t xml:space="preserve">2.25 (1.14-4.46)</w:t>
            </w:r>
          </w:p>
        </w:tc>
        <w:tc>
          <w:tcPr/>
          <w:p>
            <w:pPr>
              <w:pStyle w:val="Compact"/>
              <w:jc w:val="right"/>
            </w:pPr>
            <w:r>
              <w:t xml:space="preserve">0.020</w:t>
            </w:r>
          </w:p>
        </w:tc>
      </w:tr>
      <w:tr>
        <w:tc>
          <w:tcPr/>
          <w:p>
            <w:pPr>
              <w:pStyle w:val="Compact"/>
              <w:jc w:val="left"/>
            </w:pPr>
            <w:r>
              <w:t xml:space="preserve">ent_typeOtology/neurotology</w:t>
            </w:r>
          </w:p>
        </w:tc>
        <w:tc>
          <w:tcPr/>
          <w:p>
            <w:pPr>
              <w:pStyle w:val="Compact"/>
              <w:jc w:val="left"/>
            </w:pPr>
            <w:r>
              <w:t xml:space="preserve">1.20 (0.64-2.26)</w:t>
            </w:r>
          </w:p>
        </w:tc>
        <w:tc>
          <w:tcPr/>
          <w:p>
            <w:pPr>
              <w:pStyle w:val="Compact"/>
              <w:jc w:val="right"/>
            </w:pPr>
            <w:r>
              <w:t xml:space="preserve">0.562</w:t>
            </w:r>
          </w:p>
        </w:tc>
      </w:tr>
      <w:tr>
        <w:tc>
          <w:tcPr/>
          <w:p>
            <w:pPr>
              <w:pStyle w:val="Compact"/>
              <w:jc w:val="left"/>
            </w:pPr>
            <w:r>
              <w:t xml:space="preserve">ent_typePediatrics</w:t>
            </w:r>
          </w:p>
        </w:tc>
        <w:tc>
          <w:tcPr/>
          <w:p>
            <w:pPr>
              <w:pStyle w:val="Compact"/>
              <w:jc w:val="left"/>
            </w:pPr>
            <w:r>
              <w:t xml:space="preserve">1.54 (1.04-2.28)</w:t>
            </w:r>
          </w:p>
        </w:tc>
        <w:tc>
          <w:tcPr/>
          <w:p>
            <w:pPr>
              <w:pStyle w:val="Compact"/>
              <w:jc w:val="right"/>
            </w:pPr>
            <w:r>
              <w:t xml:space="preserve">0.032</w:t>
            </w:r>
          </w:p>
        </w:tc>
      </w:tr>
      <w:tr>
        <w:tc>
          <w:tcPr/>
          <w:p>
            <w:pPr>
              <w:pStyle w:val="Compact"/>
              <w:jc w:val="left"/>
            </w:pPr>
            <w:r>
              <w:t xml:space="preserve">ent_typeRhinology</w:t>
            </w:r>
          </w:p>
        </w:tc>
        <w:tc>
          <w:tcPr/>
          <w:p>
            <w:pPr>
              <w:pStyle w:val="Compact"/>
              <w:jc w:val="left"/>
            </w:pPr>
            <w:r>
              <w:t xml:space="preserve">1.55 (0.89-2.68)</w:t>
            </w:r>
          </w:p>
        </w:tc>
        <w:tc>
          <w:tcPr/>
          <w:p>
            <w:pPr>
              <w:pStyle w:val="Compact"/>
              <w:jc w:val="right"/>
            </w:pPr>
            <w:r>
              <w:t xml:space="preserve">0.121</w:t>
            </w:r>
          </w:p>
        </w:tc>
      </w:tr>
      <w:tr>
        <w:tc>
          <w:tcPr/>
          <w:p>
            <w:pPr>
              <w:pStyle w:val="Compact"/>
              <w:jc w:val="left"/>
            </w:pPr>
            <w:r>
              <w:t xml:space="preserve">ent_typeSleep</w:t>
            </w:r>
          </w:p>
        </w:tc>
        <w:tc>
          <w:tcPr/>
          <w:p>
            <w:pPr>
              <w:pStyle w:val="Compact"/>
              <w:jc w:val="left"/>
            </w:pPr>
            <w:r>
              <w:t xml:space="preserve">1.16 (0.61-2.24)</w:t>
            </w:r>
          </w:p>
        </w:tc>
        <w:tc>
          <w:tcPr/>
          <w:p>
            <w:pPr>
              <w:pStyle w:val="Compact"/>
              <w:jc w:val="right"/>
            </w:pPr>
            <w:r>
              <w:t xml:space="preserve">0.647</w:t>
            </w:r>
          </w:p>
        </w:tc>
      </w:tr>
      <w:tr>
        <w:tc>
          <w:tcPr/>
          <w:p>
            <w:pPr>
              <w:pStyle w:val="Compact"/>
              <w:jc w:val="left"/>
            </w:pPr>
            <w:r>
              <w:t xml:space="preserve">ent_per_100k_z</w:t>
            </w:r>
          </w:p>
        </w:tc>
        <w:tc>
          <w:tcPr/>
          <w:p>
            <w:pPr>
              <w:pStyle w:val="Compact"/>
              <w:jc w:val="left"/>
            </w:pPr>
            <w:r>
              <w:t xml:space="preserve">0.95 (0.81-1.11)</w:t>
            </w:r>
          </w:p>
        </w:tc>
        <w:tc>
          <w:tcPr/>
          <w:p>
            <w:pPr>
              <w:pStyle w:val="Compact"/>
              <w:jc w:val="right"/>
            </w:pPr>
            <w:r>
              <w:t xml:space="preserve">0.520</w:t>
            </w:r>
          </w:p>
        </w:tc>
      </w:tr>
      <w:tr>
        <w:tc>
          <w:tcPr/>
          <w:p>
            <w:pPr>
              <w:pStyle w:val="Compact"/>
              <w:jc w:val="left"/>
            </w:pPr>
            <w:r>
              <w:t xml:space="preserve">medicaid_fee_index_z</w:t>
            </w:r>
          </w:p>
        </w:tc>
        <w:tc>
          <w:tcPr/>
          <w:p>
            <w:pPr>
              <w:pStyle w:val="Compact"/>
              <w:jc w:val="left"/>
            </w:pPr>
            <w:r>
              <w:t xml:space="preserve">0.96 (0.84-1.10)</w:t>
            </w:r>
          </w:p>
        </w:tc>
        <w:tc>
          <w:tcPr/>
          <w:p>
            <w:pPr>
              <w:pStyle w:val="Compact"/>
              <w:jc w:val="right"/>
            </w:pPr>
            <w:r>
              <w:t xml:space="preserve">0.543</w:t>
            </w:r>
          </w:p>
        </w:tc>
      </w:tr>
      <w:tr>
        <w:tc>
          <w:tcPr/>
          <w:p>
            <w:pPr>
              <w:pStyle w:val="Compact"/>
              <w:jc w:val="left"/>
            </w:pPr>
            <w:r>
              <w:t xml:space="preserve">svi_overall_z</w:t>
            </w:r>
          </w:p>
        </w:tc>
        <w:tc>
          <w:tcPr/>
          <w:p>
            <w:pPr>
              <w:pStyle w:val="Compact"/>
              <w:jc w:val="left"/>
            </w:pPr>
            <w:r>
              <w:t xml:space="preserve">0.95 (0.84-1.07)</w:t>
            </w:r>
          </w:p>
        </w:tc>
        <w:tc>
          <w:tcPr/>
          <w:p>
            <w:pPr>
              <w:pStyle w:val="Compact"/>
              <w:jc w:val="right"/>
            </w:pPr>
            <w:r>
              <w:t xml:space="preserve">0.416</w:t>
            </w:r>
          </w:p>
        </w:tc>
      </w:tr>
      <w:tr>
        <w:tc>
          <w:tcPr/>
          <w:p>
            <w:pPr>
              <w:pStyle w:val="Compact"/>
              <w:jc w:val="left"/>
            </w:pPr>
            <w:r>
              <w:t xml:space="preserve">dual_pct_z</w:t>
            </w:r>
          </w:p>
        </w:tc>
        <w:tc>
          <w:tcPr/>
          <w:p>
            <w:pPr>
              <w:pStyle w:val="Compact"/>
              <w:jc w:val="left"/>
            </w:pPr>
            <w:r>
              <w:t xml:space="preserve">0.98 (0.86-1.12)</w:t>
            </w:r>
          </w:p>
        </w:tc>
        <w:tc>
          <w:tcPr/>
          <w:p>
            <w:pPr>
              <w:pStyle w:val="Compact"/>
              <w:jc w:val="right"/>
            </w:pPr>
            <w:r>
              <w:t xml:space="preserve">0.821</w:t>
            </w:r>
          </w:p>
        </w:tc>
      </w:tr>
      <w:tr>
        <w:tc>
          <w:tcPr/>
          <w:p>
            <w:pPr>
              <w:pStyle w:val="Compact"/>
              <w:jc w:val="left"/>
            </w:pPr>
            <w:r>
              <w:t xml:space="preserve">ruralRural</w:t>
            </w:r>
          </w:p>
        </w:tc>
        <w:tc>
          <w:tcPr/>
          <w:p>
            <w:pPr>
              <w:pStyle w:val="Compact"/>
              <w:jc w:val="left"/>
            </w:pPr>
            <w:r>
              <w:t xml:space="preserve">1.09 (0.83-1.42)</w:t>
            </w:r>
          </w:p>
        </w:tc>
        <w:tc>
          <w:tcPr/>
          <w:p>
            <w:pPr>
              <w:pStyle w:val="Compact"/>
              <w:jc w:val="right"/>
            </w:pPr>
            <w:r>
              <w:t xml:space="preserve">0.549</w:t>
            </w:r>
          </w:p>
        </w:tc>
      </w:tr>
      <w:tr>
        <w:tc>
          <w:tcPr/>
          <w:p>
            <w:pPr>
              <w:pStyle w:val="Compact"/>
              <w:jc w:val="left"/>
            </w:pPr>
            <w:r>
              <w:t xml:space="preserve">caller_fDeol</w:t>
            </w:r>
          </w:p>
        </w:tc>
        <w:tc>
          <w:tcPr/>
          <w:p>
            <w:pPr>
              <w:pStyle w:val="Compact"/>
              <w:jc w:val="left"/>
            </w:pPr>
            <w:r>
              <w:t xml:space="preserve">0.82 (0.59-1.14)</w:t>
            </w:r>
          </w:p>
        </w:tc>
        <w:tc>
          <w:tcPr/>
          <w:p>
            <w:pPr>
              <w:pStyle w:val="Compact"/>
              <w:jc w:val="right"/>
            </w:pPr>
            <w:r>
              <w:t xml:space="preserve">0.237</w:t>
            </w:r>
          </w:p>
        </w:tc>
      </w:tr>
      <w:tr>
        <w:tc>
          <w:tcPr/>
          <w:p>
            <w:pPr>
              <w:pStyle w:val="Compact"/>
              <w:jc w:val="left"/>
            </w:pPr>
            <w:r>
              <w:t xml:space="preserve">caller_fFalk</w:t>
            </w:r>
          </w:p>
        </w:tc>
        <w:tc>
          <w:tcPr/>
          <w:p>
            <w:pPr>
              <w:pStyle w:val="Compact"/>
              <w:jc w:val="left"/>
            </w:pPr>
            <w:r>
              <w:t xml:space="preserve">0.61 (0.41-0.91)</w:t>
            </w:r>
          </w:p>
        </w:tc>
        <w:tc>
          <w:tcPr/>
          <w:p>
            <w:pPr>
              <w:pStyle w:val="Compact"/>
              <w:jc w:val="right"/>
            </w:pPr>
            <w:r>
              <w:t xml:space="preserve">0.014</w:t>
            </w:r>
          </w:p>
        </w:tc>
      </w:tr>
      <w:tr>
        <w:tc>
          <w:tcPr/>
          <w:p>
            <w:pPr>
              <w:pStyle w:val="Compact"/>
              <w:jc w:val="left"/>
            </w:pPr>
            <w:r>
              <w:t xml:space="preserve">caller_fGregg</w:t>
            </w:r>
          </w:p>
        </w:tc>
        <w:tc>
          <w:tcPr/>
          <w:p>
            <w:pPr>
              <w:pStyle w:val="Compact"/>
              <w:jc w:val="left"/>
            </w:pPr>
            <w:r>
              <w:t xml:space="preserve">1.00 (0.71-1.40)</w:t>
            </w:r>
          </w:p>
        </w:tc>
        <w:tc>
          <w:tcPr/>
          <w:p>
            <w:pPr>
              <w:pStyle w:val="Compact"/>
              <w:jc w:val="right"/>
            </w:pPr>
            <w:r>
              <w:t xml:space="preserve">0.994</w:t>
            </w:r>
          </w:p>
        </w:tc>
      </w:tr>
      <w:tr>
        <w:tc>
          <w:tcPr/>
          <w:p>
            <w:pPr>
              <w:pStyle w:val="Compact"/>
              <w:jc w:val="left"/>
            </w:pPr>
            <w:r>
              <w:t xml:space="preserve">caller_fKim</w:t>
            </w:r>
          </w:p>
        </w:tc>
        <w:tc>
          <w:tcPr/>
          <w:p>
            <w:pPr>
              <w:pStyle w:val="Compact"/>
              <w:jc w:val="left"/>
            </w:pPr>
            <w:r>
              <w:t xml:space="preserve">1.00 (0.71-1.42)</w:t>
            </w:r>
          </w:p>
        </w:tc>
        <w:tc>
          <w:tcPr/>
          <w:p>
            <w:pPr>
              <w:pStyle w:val="Compact"/>
              <w:jc w:val="right"/>
            </w:pPr>
            <w:r>
              <w:t xml:space="preserve">1.000</w:t>
            </w:r>
          </w:p>
        </w:tc>
      </w:tr>
      <w:tr>
        <w:tc>
          <w:tcPr/>
          <w:p>
            <w:pPr>
              <w:pStyle w:val="Compact"/>
              <w:jc w:val="left"/>
            </w:pPr>
            <w:r>
              <w:t xml:space="preserve">caller_fOther</w:t>
            </w:r>
          </w:p>
        </w:tc>
        <w:tc>
          <w:tcPr/>
          <w:p>
            <w:pPr>
              <w:pStyle w:val="Compact"/>
              <w:jc w:val="left"/>
            </w:pPr>
            <w:r>
              <w:t xml:space="preserve">0.74 (0.26-2.10)</w:t>
            </w:r>
          </w:p>
        </w:tc>
        <w:tc>
          <w:tcPr/>
          <w:p>
            <w:pPr>
              <w:pStyle w:val="Compact"/>
              <w:jc w:val="right"/>
            </w:pPr>
            <w:r>
              <w:t xml:space="preserve">0.566</w:t>
            </w:r>
          </w:p>
        </w:tc>
      </w:tr>
      <w:tr>
        <w:tc>
          <w:tcPr/>
          <w:p>
            <w:pPr>
              <w:pStyle w:val="Compact"/>
              <w:jc w:val="left"/>
            </w:pPr>
            <w:r>
              <w:t xml:space="preserve">caller_fWalsh</w:t>
            </w:r>
          </w:p>
        </w:tc>
        <w:tc>
          <w:tcPr/>
          <w:p>
            <w:pPr>
              <w:pStyle w:val="Compact"/>
              <w:jc w:val="left"/>
            </w:pPr>
            <w:r>
              <w:t xml:space="preserve">0.86 (0.62-1.20)</w:t>
            </w:r>
          </w:p>
        </w:tc>
        <w:tc>
          <w:tcPr/>
          <w:p>
            <w:pPr>
              <w:pStyle w:val="Compact"/>
              <w:jc w:val="right"/>
            </w:pPr>
            <w:r>
              <w:t xml:space="preserve">0.377</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ent_type</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290</w:t>
            </w:r>
          </w:p>
        </w:tc>
      </w:tr>
      <w:tr>
        <w:tc>
          <w:tcPr/>
          <w:p>
            <w:pPr>
              <w:pStyle w:val="Compact"/>
              <w:jc w:val="left"/>
            </w:pPr>
            <w:r>
              <w:t xml:space="preserve">Facial Plastics</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Cancer</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Pediatrics</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31</w:t>
            </w:r>
          </w:p>
        </w:tc>
        <w:tc>
          <w:tcPr/>
          <w:p>
            <w:pPr>
              <w:pStyle w:val="Compact"/>
              <w:jc w:val="right"/>
            </w:pPr>
            <w:r>
              <w:t xml:space="preserve">218</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212</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12.0</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14.5</w:t>
            </w:r>
          </w:p>
        </w:tc>
        <w:tc>
          <w:tcPr/>
          <w:p>
            <w:pPr>
              <w:pStyle w:val="Compact"/>
              <w:jc w:val="right"/>
            </w:pPr>
            <w:r>
              <w:t xml:space="preserve">6</w:t>
            </w:r>
          </w:p>
        </w:tc>
        <w:tc>
          <w:tcPr/>
          <w:p>
            <w:pPr>
              <w:pStyle w:val="Compact"/>
              <w:jc w:val="right"/>
            </w:pPr>
            <w:r>
              <w:t xml:space="preserve">32</w:t>
            </w:r>
          </w:p>
        </w:tc>
        <w:tc>
          <w:tcPr/>
          <w:p>
            <w:pPr>
              <w:pStyle w:val="Compact"/>
              <w:jc w:val="right"/>
            </w:pPr>
            <w:r>
              <w:t xml:space="preserve">44</w:t>
            </w:r>
          </w:p>
        </w:tc>
      </w:tr>
      <w:tr>
        <w:tc>
          <w:tcPr/>
          <w:p>
            <w:pPr>
              <w:pStyle w:val="Compact"/>
              <w:jc w:val="left"/>
            </w:pPr>
            <w:r>
              <w:t xml:space="preserve">Midwest</w:t>
            </w:r>
          </w:p>
        </w:tc>
        <w:tc>
          <w:tcPr/>
          <w:p>
            <w:pPr>
              <w:pStyle w:val="Compact"/>
              <w:jc w:val="right"/>
            </w:pPr>
            <w:r>
              <w:t xml:space="preserve">16.0</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14.0</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29.0</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9.0</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2907"/>
        <w:gridCol w:w="2606"/>
        <w:gridCol w:w="2406"/>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ent_typeGeneral</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ent_typeFacial Plastics</w:t>
            </w:r>
          </w:p>
        </w:tc>
        <w:tc>
          <w:tcPr/>
          <w:p>
            <w:pPr>
              <w:pStyle w:val="Compact"/>
              <w:jc w:val="left"/>
            </w:pPr>
            <w:r>
              <w:t xml:space="preserve">0.90 (0.54-1.52)</w:t>
            </w:r>
          </w:p>
        </w:tc>
        <w:tc>
          <w:tcPr/>
          <w:p>
            <w:pPr>
              <w:pStyle w:val="Compact"/>
            </w:pPr>
          </w:p>
        </w:tc>
      </w:tr>
      <w:tr>
        <w:tc>
          <w:tcPr/>
          <w:p>
            <w:pPr>
              <w:pStyle w:val="Compact"/>
              <w:jc w:val="left"/>
            </w:pPr>
            <w:r>
              <w:t xml:space="preserve">p=0.706</w:t>
            </w:r>
          </w:p>
        </w:tc>
        <w:tc>
          <w:tcPr/>
          <w:p>
            <w:pPr>
              <w:pStyle w:val="Compact"/>
              <w:jc w:val="left"/>
            </w:pPr>
            <w:r>
              <w:t xml:space="preserve">1.03 (0.72-1.49)</w:t>
            </w:r>
          </w:p>
        </w:tc>
        <w:tc>
          <w:tcPr/>
          <w:p>
            <w:pPr>
              <w:pStyle w:val="Compact"/>
            </w:pPr>
          </w:p>
        </w:tc>
      </w:tr>
      <w:tr>
        <w:tc>
          <w:tcPr/>
          <w:p>
            <w:pPr>
              <w:pStyle w:val="Compact"/>
              <w:jc w:val="left"/>
            </w:pPr>
            <w:r>
              <w:t xml:space="preserve">p=0.856</w:t>
            </w:r>
          </w:p>
        </w:tc>
        <w:tc>
          <w:tcPr/>
          <w:p>
            <w:pPr>
              <w:pStyle w:val="Compact"/>
            </w:pPr>
          </w:p>
        </w:tc>
        <w:tc>
          <w:tcPr/>
          <w:p>
            <w:pPr>
              <w:pStyle w:val="Compact"/>
            </w:pPr>
          </w:p>
        </w:tc>
      </w:tr>
      <w:tr>
        <w:tc>
          <w:tcPr/>
          <w:p>
            <w:pPr>
              <w:pStyle w:val="Compact"/>
              <w:jc w:val="left"/>
            </w:pPr>
            <w:r>
              <w:t xml:space="preserve">ent_typeHead and Neck Cancer</w:t>
            </w:r>
          </w:p>
        </w:tc>
        <w:tc>
          <w:tcPr/>
          <w:p>
            <w:pPr>
              <w:pStyle w:val="Compact"/>
              <w:jc w:val="left"/>
            </w:pPr>
            <w:r>
              <w:t xml:space="preserve">0.83 (0.36-1.92)</w:t>
            </w:r>
          </w:p>
        </w:tc>
        <w:tc>
          <w:tcPr/>
          <w:p>
            <w:pPr>
              <w:pStyle w:val="Compact"/>
            </w:pPr>
          </w:p>
        </w:tc>
      </w:tr>
      <w:tr>
        <w:tc>
          <w:tcPr/>
          <w:p>
            <w:pPr>
              <w:pStyle w:val="Compact"/>
              <w:jc w:val="left"/>
            </w:pPr>
            <w:r>
              <w:t xml:space="preserve">p=0.669</w:t>
            </w:r>
          </w:p>
        </w:tc>
        <w:tc>
          <w:tcPr/>
          <w:p>
            <w:pPr>
              <w:pStyle w:val="Compact"/>
              <w:jc w:val="left"/>
            </w:pPr>
            <w:r>
              <w:t xml:space="preserve">1.26 (0.72-2.22)</w:t>
            </w:r>
          </w:p>
        </w:tc>
        <w:tc>
          <w:tcPr/>
          <w:p>
            <w:pPr>
              <w:pStyle w:val="Compact"/>
            </w:pPr>
          </w:p>
        </w:tc>
      </w:tr>
      <w:tr>
        <w:tc>
          <w:tcPr/>
          <w:p>
            <w:pPr>
              <w:pStyle w:val="Compact"/>
              <w:jc w:val="left"/>
            </w:pPr>
            <w:r>
              <w:t xml:space="preserve">p=0.423</w:t>
            </w:r>
          </w:p>
        </w:tc>
        <w:tc>
          <w:tcPr/>
          <w:p>
            <w:pPr>
              <w:pStyle w:val="Compact"/>
            </w:pPr>
          </w:p>
        </w:tc>
        <w:tc>
          <w:tcPr/>
          <w:p>
            <w:pPr>
              <w:pStyle w:val="Compact"/>
            </w:pPr>
          </w:p>
        </w:tc>
      </w:tr>
      <w:tr>
        <w:tc>
          <w:tcPr/>
          <w:p>
            <w:pPr>
              <w:pStyle w:val="Compact"/>
              <w:jc w:val="left"/>
            </w:pPr>
            <w:r>
              <w:t xml:space="preserve">ent_typeLaryngology</w:t>
            </w:r>
          </w:p>
        </w:tc>
        <w:tc>
          <w:tcPr/>
          <w:p>
            <w:pPr>
              <w:pStyle w:val="Compact"/>
              <w:jc w:val="left"/>
            </w:pPr>
            <w:r>
              <w:t xml:space="preserve">1.74 (0.50-6.07)</w:t>
            </w:r>
          </w:p>
        </w:tc>
        <w:tc>
          <w:tcPr/>
          <w:p>
            <w:pPr>
              <w:pStyle w:val="Compact"/>
            </w:pPr>
          </w:p>
        </w:tc>
      </w:tr>
      <w:tr>
        <w:tc>
          <w:tcPr/>
          <w:p>
            <w:pPr>
              <w:pStyle w:val="Compact"/>
              <w:jc w:val="left"/>
            </w:pPr>
            <w:r>
              <w:t xml:space="preserve">p=0.386</w:t>
            </w:r>
          </w:p>
        </w:tc>
        <w:tc>
          <w:tcPr/>
          <w:p>
            <w:pPr>
              <w:pStyle w:val="Compact"/>
              <w:jc w:val="left"/>
            </w:pPr>
            <w:r>
              <w:t xml:space="preserve">2.25 (1.14-4.46)</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ent_typeOtology/neurotology</w:t>
            </w:r>
          </w:p>
        </w:tc>
        <w:tc>
          <w:tcPr/>
          <w:p>
            <w:pPr>
              <w:pStyle w:val="Compact"/>
              <w:jc w:val="left"/>
            </w:pPr>
            <w:r>
              <w:t xml:space="preserve">0.49 (0.23-1.07)</w:t>
            </w:r>
          </w:p>
        </w:tc>
        <w:tc>
          <w:tcPr/>
          <w:p>
            <w:pPr>
              <w:pStyle w:val="Compact"/>
            </w:pPr>
          </w:p>
        </w:tc>
      </w:tr>
      <w:tr>
        <w:tc>
          <w:tcPr/>
          <w:p>
            <w:pPr>
              <w:pStyle w:val="Compact"/>
              <w:jc w:val="left"/>
            </w:pPr>
            <w:r>
              <w:t xml:space="preserve">p=0.072</w:t>
            </w:r>
          </w:p>
        </w:tc>
        <w:tc>
          <w:tcPr/>
          <w:p>
            <w:pPr>
              <w:pStyle w:val="Compact"/>
              <w:jc w:val="left"/>
            </w:pPr>
            <w:r>
              <w:t xml:space="preserve">1.20 (0.64-2.26)</w:t>
            </w:r>
          </w:p>
        </w:tc>
        <w:tc>
          <w:tcPr/>
          <w:p>
            <w:pPr>
              <w:pStyle w:val="Compact"/>
            </w:pPr>
          </w:p>
        </w:tc>
      </w:tr>
      <w:tr>
        <w:tc>
          <w:tcPr/>
          <w:p>
            <w:pPr>
              <w:pStyle w:val="Compact"/>
              <w:jc w:val="left"/>
            </w:pPr>
            <w:r>
              <w:t xml:space="preserve">p=0.562</w:t>
            </w:r>
          </w:p>
        </w:tc>
        <w:tc>
          <w:tcPr/>
          <w:p>
            <w:pPr>
              <w:pStyle w:val="Compact"/>
            </w:pPr>
          </w:p>
        </w:tc>
        <w:tc>
          <w:tcPr/>
          <w:p>
            <w:pPr>
              <w:pStyle w:val="Compact"/>
            </w:pPr>
          </w:p>
        </w:tc>
      </w:tr>
      <w:tr>
        <w:tc>
          <w:tcPr/>
          <w:p>
            <w:pPr>
              <w:pStyle w:val="Compact"/>
              <w:jc w:val="left"/>
            </w:pPr>
            <w:r>
              <w:t xml:space="preserve">ent_typePediatrics</w:t>
            </w:r>
          </w:p>
        </w:tc>
        <w:tc>
          <w:tcPr/>
          <w:p>
            <w:pPr>
              <w:pStyle w:val="Compact"/>
              <w:jc w:val="left"/>
            </w:pPr>
            <w:r>
              <w:t xml:space="preserve">2.27 (1.08-4.76)</w:t>
            </w:r>
          </w:p>
        </w:tc>
        <w:tc>
          <w:tcPr/>
          <w:p>
            <w:pPr>
              <w:pStyle w:val="Compact"/>
            </w:pPr>
          </w:p>
        </w:tc>
      </w:tr>
      <w:tr>
        <w:tc>
          <w:tcPr/>
          <w:p>
            <w:pPr>
              <w:pStyle w:val="Compact"/>
              <w:jc w:val="left"/>
            </w:pPr>
            <w:r>
              <w:t xml:space="preserve">p=0.031</w:t>
            </w:r>
          </w:p>
        </w:tc>
        <w:tc>
          <w:tcPr/>
          <w:p>
            <w:pPr>
              <w:pStyle w:val="Compact"/>
              <w:jc w:val="left"/>
            </w:pPr>
            <w:r>
              <w:t xml:space="preserve">1.54 (1.04-2.28)</w:t>
            </w:r>
          </w:p>
        </w:tc>
        <w:tc>
          <w:tcPr/>
          <w:p>
            <w:pPr>
              <w:pStyle w:val="Compact"/>
            </w:pPr>
          </w:p>
        </w:tc>
      </w:tr>
      <w:tr>
        <w:tc>
          <w:tcPr/>
          <w:p>
            <w:pPr>
              <w:pStyle w:val="Compact"/>
              <w:jc w:val="left"/>
            </w:pPr>
            <w:r>
              <w:t xml:space="preserve">p=0.032</w:t>
            </w:r>
          </w:p>
        </w:tc>
        <w:tc>
          <w:tcPr/>
          <w:p>
            <w:pPr>
              <w:pStyle w:val="Compact"/>
            </w:pPr>
          </w:p>
        </w:tc>
        <w:tc>
          <w:tcPr/>
          <w:p>
            <w:pPr>
              <w:pStyle w:val="Compact"/>
            </w:pPr>
          </w:p>
        </w:tc>
      </w:tr>
      <w:tr>
        <w:tc>
          <w:tcPr/>
          <w:p>
            <w:pPr>
              <w:pStyle w:val="Compact"/>
              <w:jc w:val="left"/>
            </w:pPr>
            <w:r>
              <w:t xml:space="preserve">ent_typeRhinology</w:t>
            </w:r>
          </w:p>
        </w:tc>
        <w:tc>
          <w:tcPr/>
          <w:p>
            <w:pPr>
              <w:pStyle w:val="Compact"/>
              <w:jc w:val="left"/>
            </w:pPr>
            <w:r>
              <w:t xml:space="preserve">2.11 (0.72-6.18)</w:t>
            </w:r>
          </w:p>
        </w:tc>
        <w:tc>
          <w:tcPr/>
          <w:p>
            <w:pPr>
              <w:pStyle w:val="Compact"/>
            </w:pPr>
          </w:p>
        </w:tc>
      </w:tr>
      <w:tr>
        <w:tc>
          <w:tcPr/>
          <w:p>
            <w:pPr>
              <w:pStyle w:val="Compact"/>
              <w:jc w:val="left"/>
            </w:pPr>
            <w:r>
              <w:t xml:space="preserve">p=0.174</w:t>
            </w:r>
          </w:p>
        </w:tc>
        <w:tc>
          <w:tcPr/>
          <w:p>
            <w:pPr>
              <w:pStyle w:val="Compact"/>
              <w:jc w:val="left"/>
            </w:pPr>
            <w:r>
              <w:t xml:space="preserve">1.55 (0.89-2.68)</w:t>
            </w:r>
          </w:p>
        </w:tc>
        <w:tc>
          <w:tcPr/>
          <w:p>
            <w:pPr>
              <w:pStyle w:val="Compact"/>
            </w:pPr>
          </w:p>
        </w:tc>
      </w:tr>
      <w:tr>
        <w:tc>
          <w:tcPr/>
          <w:p>
            <w:pPr>
              <w:pStyle w:val="Compact"/>
              <w:jc w:val="left"/>
            </w:pPr>
            <w:r>
              <w:t xml:space="preserve">p=0.121</w:t>
            </w:r>
          </w:p>
        </w:tc>
        <w:tc>
          <w:tcPr/>
          <w:p>
            <w:pPr>
              <w:pStyle w:val="Compact"/>
            </w:pPr>
          </w:p>
        </w:tc>
        <w:tc>
          <w:tcPr/>
          <w:p>
            <w:pPr>
              <w:pStyle w:val="Compact"/>
            </w:pPr>
          </w:p>
        </w:tc>
      </w:tr>
      <w:tr>
        <w:tc>
          <w:tcPr/>
          <w:p>
            <w:pPr>
              <w:pStyle w:val="Compact"/>
              <w:jc w:val="left"/>
            </w:pPr>
            <w:r>
              <w:t xml:space="preserve">ent_typeSleep</w:t>
            </w:r>
          </w:p>
        </w:tc>
        <w:tc>
          <w:tcPr/>
          <w:p>
            <w:pPr>
              <w:pStyle w:val="Compact"/>
              <w:jc w:val="left"/>
            </w:pPr>
            <w:r>
              <w:t xml:space="preserve">1.66 (0.55-5.01)</w:t>
            </w:r>
          </w:p>
        </w:tc>
        <w:tc>
          <w:tcPr/>
          <w:p>
            <w:pPr>
              <w:pStyle w:val="Compact"/>
            </w:pPr>
          </w:p>
        </w:tc>
      </w:tr>
      <w:tr>
        <w:tc>
          <w:tcPr/>
          <w:p>
            <w:pPr>
              <w:pStyle w:val="Compact"/>
              <w:jc w:val="left"/>
            </w:pPr>
            <w:r>
              <w:t xml:space="preserve">p=0.373</w:t>
            </w:r>
          </w:p>
        </w:tc>
        <w:tc>
          <w:tcPr/>
          <w:p>
            <w:pPr>
              <w:pStyle w:val="Compact"/>
              <w:jc w:val="left"/>
            </w:pPr>
            <w:r>
              <w:t xml:space="preserve">1.16 (0.61-2.24)</w:t>
            </w:r>
          </w:p>
        </w:tc>
        <w:tc>
          <w:tcPr/>
          <w:p>
            <w:pPr>
              <w:pStyle w:val="Compact"/>
            </w:pPr>
          </w:p>
        </w:tc>
      </w:tr>
      <w:tr>
        <w:tc>
          <w:tcPr/>
          <w:p>
            <w:pPr>
              <w:pStyle w:val="Compact"/>
              <w:jc w:val="left"/>
            </w:pPr>
            <w:r>
              <w:t xml:space="preserve">p=0.647</w:t>
            </w:r>
          </w:p>
        </w:tc>
        <w:tc>
          <w:tcPr/>
          <w:p>
            <w:pPr>
              <w:pStyle w:val="Compact"/>
            </w:pPr>
          </w:p>
        </w:tc>
        <w:tc>
          <w:tcPr/>
          <w:p>
            <w:pPr>
              <w:pStyle w:val="Compact"/>
            </w:pPr>
          </w:p>
        </w:tc>
      </w:tr>
      <w:tr>
        <w:tc>
          <w:tcPr/>
          <w:p>
            <w:pPr>
              <w:pStyle w:val="Compact"/>
              <w:jc w:val="left"/>
            </w:pPr>
            <w:r>
              <w:t xml:space="preserve">ent_per_100k_z</w:t>
            </w:r>
          </w:p>
        </w:tc>
        <w:tc>
          <w:tcPr/>
          <w:p>
            <w:pPr>
              <w:pStyle w:val="Compact"/>
              <w:jc w:val="left"/>
            </w:pPr>
            <w:r>
              <w:t xml:space="preserve">0.95 (0.81-1.12)</w:t>
            </w:r>
          </w:p>
        </w:tc>
        <w:tc>
          <w:tcPr/>
          <w:p>
            <w:pPr>
              <w:pStyle w:val="Compact"/>
            </w:pPr>
          </w:p>
        </w:tc>
      </w:tr>
      <w:tr>
        <w:tc>
          <w:tcPr/>
          <w:p>
            <w:pPr>
              <w:pStyle w:val="Compact"/>
              <w:jc w:val="left"/>
            </w:pPr>
            <w:r>
              <w:t xml:space="preserve">p=0.552</w:t>
            </w:r>
          </w:p>
        </w:tc>
        <w:tc>
          <w:tcPr/>
          <w:p>
            <w:pPr>
              <w:pStyle w:val="Compact"/>
              <w:jc w:val="left"/>
            </w:pPr>
            <w:r>
              <w:t xml:space="preserve">0.95 (0.81-1.11)</w:t>
            </w:r>
          </w:p>
        </w:tc>
        <w:tc>
          <w:tcPr/>
          <w:p>
            <w:pPr>
              <w:pStyle w:val="Compact"/>
            </w:pPr>
          </w:p>
        </w:tc>
      </w:tr>
      <w:tr>
        <w:tc>
          <w:tcPr/>
          <w:p>
            <w:pPr>
              <w:pStyle w:val="Compact"/>
              <w:jc w:val="left"/>
            </w:pPr>
            <w:r>
              <w:t xml:space="preserve">p=0.520</w:t>
            </w:r>
          </w:p>
        </w:tc>
        <w:tc>
          <w:tcPr/>
          <w:p>
            <w:pPr>
              <w:pStyle w:val="Compact"/>
            </w:pPr>
          </w:p>
        </w:tc>
        <w:tc>
          <w:tcPr/>
          <w:p>
            <w:pPr>
              <w:pStyle w:val="Compact"/>
            </w:pPr>
          </w:p>
        </w:tc>
      </w:tr>
      <w:tr>
        <w:tc>
          <w:tcPr/>
          <w:p>
            <w:pPr>
              <w:pStyle w:val="Compact"/>
              <w:jc w:val="left"/>
            </w:pPr>
            <w:r>
              <w:t xml:space="preserve">medicaid_fee_index_z</w:t>
            </w:r>
          </w:p>
        </w:tc>
        <w:tc>
          <w:tcPr/>
          <w:p>
            <w:pPr>
              <w:pStyle w:val="Compact"/>
              <w:jc w:val="left"/>
            </w:pPr>
            <w:r>
              <w:t xml:space="preserve">0.91 (0.77-1.07)</w:t>
            </w:r>
          </w:p>
        </w:tc>
        <w:tc>
          <w:tcPr/>
          <w:p>
            <w:pPr>
              <w:pStyle w:val="Compact"/>
            </w:pPr>
          </w:p>
        </w:tc>
      </w:tr>
      <w:tr>
        <w:tc>
          <w:tcPr/>
          <w:p>
            <w:pPr>
              <w:pStyle w:val="Compact"/>
              <w:jc w:val="left"/>
            </w:pPr>
            <w:r>
              <w:t xml:space="preserve">p=0.254</w:t>
            </w:r>
          </w:p>
        </w:tc>
        <w:tc>
          <w:tcPr/>
          <w:p>
            <w:pPr>
              <w:pStyle w:val="Compact"/>
              <w:jc w:val="left"/>
            </w:pPr>
            <w:r>
              <w:t xml:space="preserve">0.96 (0.84-1.10)</w:t>
            </w:r>
          </w:p>
        </w:tc>
        <w:tc>
          <w:tcPr/>
          <w:p>
            <w:pPr>
              <w:pStyle w:val="Compact"/>
            </w:pPr>
          </w:p>
        </w:tc>
      </w:tr>
      <w:tr>
        <w:tc>
          <w:tcPr/>
          <w:p>
            <w:pPr>
              <w:pStyle w:val="Compact"/>
              <w:jc w:val="left"/>
            </w:pPr>
            <w:r>
              <w:t xml:space="preserve">p=0.543</w:t>
            </w:r>
          </w:p>
        </w:tc>
        <w:tc>
          <w:tcPr/>
          <w:p>
            <w:pPr>
              <w:pStyle w:val="Compact"/>
            </w:pPr>
          </w:p>
        </w:tc>
        <w:tc>
          <w:tcPr/>
          <w:p>
            <w:pPr>
              <w:pStyle w:val="Compact"/>
            </w:pPr>
          </w:p>
        </w:tc>
      </w:tr>
      <w:tr>
        <w:tc>
          <w:tcPr/>
          <w:p>
            <w:pPr>
              <w:pStyle w:val="Compact"/>
              <w:jc w:val="left"/>
            </w:pPr>
            <w:r>
              <w:t xml:space="preserve">svi_overall_z</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0.95 (0.84-1.07)</w:t>
            </w:r>
          </w:p>
        </w:tc>
        <w:tc>
          <w:tcPr/>
          <w:p>
            <w:pPr>
              <w:pStyle w:val="Compact"/>
            </w:pPr>
          </w:p>
        </w:tc>
      </w:tr>
      <w:tr>
        <w:tc>
          <w:tcPr/>
          <w:p>
            <w:pPr>
              <w:pStyle w:val="Compact"/>
              <w:jc w:val="left"/>
            </w:pPr>
            <w:r>
              <w:t xml:space="preserve">p=0.416</w:t>
            </w:r>
          </w:p>
        </w:tc>
        <w:tc>
          <w:tcPr/>
          <w:p>
            <w:pPr>
              <w:pStyle w:val="Compact"/>
            </w:pPr>
          </w:p>
        </w:tc>
        <w:tc>
          <w:tcPr/>
          <w:p>
            <w:pPr>
              <w:pStyle w:val="Compact"/>
            </w:pPr>
          </w:p>
        </w:tc>
      </w:tr>
      <w:tr>
        <w:tc>
          <w:tcPr/>
          <w:p>
            <w:pPr>
              <w:pStyle w:val="Compact"/>
              <w:jc w:val="left"/>
            </w:pPr>
            <w:r>
              <w:t xml:space="preserve">dual_pct_z</w:t>
            </w:r>
          </w:p>
        </w:tc>
        <w:tc>
          <w:tcPr/>
          <w:p>
            <w:pPr>
              <w:pStyle w:val="Compact"/>
              <w:jc w:val="left"/>
            </w:pPr>
            <w:r>
              <w:t xml:space="preserve">1.00 (0.83-1.19)</w:t>
            </w:r>
          </w:p>
        </w:tc>
        <w:tc>
          <w:tcPr/>
          <w:p>
            <w:pPr>
              <w:pStyle w:val="Compact"/>
            </w:pPr>
          </w:p>
        </w:tc>
      </w:tr>
      <w:tr>
        <w:tc>
          <w:tcPr/>
          <w:p>
            <w:pPr>
              <w:pStyle w:val="Compact"/>
              <w:jc w:val="left"/>
            </w:pPr>
            <w:r>
              <w:t xml:space="preserve">p=0.958</w:t>
            </w:r>
          </w:p>
        </w:tc>
        <w:tc>
          <w:tcPr/>
          <w:p>
            <w:pPr>
              <w:pStyle w:val="Compact"/>
              <w:jc w:val="left"/>
            </w:pPr>
            <w:r>
              <w:t xml:space="preserve">0.98 (0.86-1.12)</w:t>
            </w:r>
          </w:p>
        </w:tc>
        <w:tc>
          <w:tcPr/>
          <w:p>
            <w:pPr>
              <w:pStyle w:val="Compact"/>
            </w:pPr>
          </w:p>
        </w:tc>
      </w:tr>
      <w:tr>
        <w:tc>
          <w:tcPr/>
          <w:p>
            <w:pPr>
              <w:pStyle w:val="Compact"/>
              <w:jc w:val="left"/>
            </w:pPr>
            <w:r>
              <w:t xml:space="preserve">p=0.821</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ruralRural</w:t>
            </w:r>
          </w:p>
        </w:tc>
        <w:tc>
          <w:tcPr/>
          <w:p>
            <w:pPr>
              <w:pStyle w:val="Compact"/>
              <w:jc w:val="left"/>
            </w:pPr>
            <w:r>
              <w:t xml:space="preserve">1.02 (0.71-1.46)</w:t>
            </w:r>
          </w:p>
        </w:tc>
        <w:tc>
          <w:tcPr/>
          <w:p>
            <w:pPr>
              <w:pStyle w:val="Compact"/>
            </w:pPr>
          </w:p>
        </w:tc>
      </w:tr>
      <w:tr>
        <w:tc>
          <w:tcPr/>
          <w:p>
            <w:pPr>
              <w:pStyle w:val="Compact"/>
              <w:jc w:val="left"/>
            </w:pPr>
            <w:r>
              <w:t xml:space="preserve">p=0.922</w:t>
            </w:r>
          </w:p>
        </w:tc>
        <w:tc>
          <w:tcPr/>
          <w:p>
            <w:pPr>
              <w:pStyle w:val="Compact"/>
              <w:jc w:val="left"/>
            </w:pPr>
            <w:r>
              <w:t xml:space="preserve">1.09 (0.83-1.42)</w:t>
            </w:r>
          </w:p>
        </w:tc>
        <w:tc>
          <w:tcPr/>
          <w:p>
            <w:pPr>
              <w:pStyle w:val="Compact"/>
            </w:pPr>
          </w:p>
        </w:tc>
      </w:tr>
      <w:tr>
        <w:tc>
          <w:tcPr/>
          <w:p>
            <w:pPr>
              <w:pStyle w:val="Compact"/>
              <w:jc w:val="left"/>
            </w:pPr>
            <w:r>
              <w:t xml:space="preserve">p=0.549</w:t>
            </w:r>
          </w:p>
        </w:tc>
        <w:tc>
          <w:tcPr/>
          <w:p>
            <w:pPr>
              <w:pStyle w:val="Compact"/>
            </w:pPr>
          </w:p>
        </w:tc>
        <w:tc>
          <w:tcPr/>
          <w:p>
            <w:pPr>
              <w:pStyle w:val="Compact"/>
            </w:pPr>
          </w:p>
        </w:tc>
      </w:tr>
      <w:tr>
        <w:tc>
          <w:tcPr/>
          <w:p>
            <w:pPr>
              <w:pStyle w:val="Compact"/>
              <w:jc w:val="left"/>
            </w:pPr>
            <w:r>
              <w:t xml:space="preserve">caller_fRoesch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caller_fDeol</w:t>
            </w:r>
          </w:p>
        </w:tc>
        <w:tc>
          <w:tcPr/>
          <w:p>
            <w:pPr>
              <w:pStyle w:val="Compact"/>
              <w:jc w:val="left"/>
            </w:pPr>
            <w:r>
              <w:t xml:space="preserve">2.34 (1.42-3.85)</w:t>
            </w:r>
          </w:p>
        </w:tc>
        <w:tc>
          <w:tcPr/>
          <w:p>
            <w:pPr>
              <w:pStyle w:val="Compact"/>
            </w:pPr>
          </w:p>
        </w:tc>
      </w:tr>
      <w:tr>
        <w:tc>
          <w:tcPr/>
          <w:p>
            <w:pPr>
              <w:pStyle w:val="Compact"/>
              <w:jc w:val="left"/>
            </w:pPr>
            <w:r>
              <w:t xml:space="preserve">p=&lt; 0.001</w:t>
            </w:r>
          </w:p>
        </w:tc>
        <w:tc>
          <w:tcPr/>
          <w:p>
            <w:pPr>
              <w:pStyle w:val="Compact"/>
              <w:jc w:val="left"/>
            </w:pPr>
            <w:r>
              <w:t xml:space="preserve">0.82 (0.59-1.14)</w:t>
            </w:r>
          </w:p>
        </w:tc>
        <w:tc>
          <w:tcPr/>
          <w:p>
            <w:pPr>
              <w:pStyle w:val="Compact"/>
            </w:pPr>
          </w:p>
        </w:tc>
      </w:tr>
      <w:tr>
        <w:tc>
          <w:tcPr/>
          <w:p>
            <w:pPr>
              <w:pStyle w:val="Compact"/>
              <w:jc w:val="left"/>
            </w:pPr>
            <w:r>
              <w:t xml:space="preserve">p=0.237</w:t>
            </w:r>
          </w:p>
        </w:tc>
        <w:tc>
          <w:tcPr/>
          <w:p>
            <w:pPr>
              <w:pStyle w:val="Compact"/>
            </w:pPr>
          </w:p>
        </w:tc>
        <w:tc>
          <w:tcPr/>
          <w:p>
            <w:pPr>
              <w:pStyle w:val="Compact"/>
            </w:pPr>
          </w:p>
        </w:tc>
      </w:tr>
      <w:tr>
        <w:tc>
          <w:tcPr/>
          <w:p>
            <w:pPr>
              <w:pStyle w:val="Compact"/>
              <w:jc w:val="left"/>
            </w:pPr>
            <w:r>
              <w:t xml:space="preserve">caller_fFalk</w:t>
            </w:r>
          </w:p>
        </w:tc>
        <w:tc>
          <w:tcPr/>
          <w:p>
            <w:pPr>
              <w:pStyle w:val="Compact"/>
              <w:jc w:val="left"/>
            </w:pPr>
            <w:r>
              <w:t xml:space="preserve">2.00 (1.13-3.52)</w:t>
            </w:r>
          </w:p>
        </w:tc>
        <w:tc>
          <w:tcPr/>
          <w:p>
            <w:pPr>
              <w:pStyle w:val="Compact"/>
            </w:pPr>
          </w:p>
        </w:tc>
      </w:tr>
      <w:tr>
        <w:tc>
          <w:tcPr/>
          <w:p>
            <w:pPr>
              <w:pStyle w:val="Compact"/>
              <w:jc w:val="left"/>
            </w:pPr>
            <w:r>
              <w:t xml:space="preserve">p=0.017</w:t>
            </w:r>
          </w:p>
        </w:tc>
        <w:tc>
          <w:tcPr/>
          <w:p>
            <w:pPr>
              <w:pStyle w:val="Compact"/>
              <w:jc w:val="left"/>
            </w:pPr>
            <w:r>
              <w:t xml:space="preserve">0.61 (0.41-0.91)</w:t>
            </w:r>
          </w:p>
        </w:tc>
        <w:tc>
          <w:tcPr/>
          <w:p>
            <w:pPr>
              <w:pStyle w:val="Compact"/>
            </w:pPr>
          </w:p>
        </w:tc>
      </w:tr>
      <w:tr>
        <w:tc>
          <w:tcPr/>
          <w:p>
            <w:pPr>
              <w:pStyle w:val="Compact"/>
              <w:jc w:val="left"/>
            </w:pPr>
            <w:r>
              <w:t xml:space="preserve">p=0.014</w:t>
            </w:r>
          </w:p>
        </w:tc>
        <w:tc>
          <w:tcPr/>
          <w:p>
            <w:pPr>
              <w:pStyle w:val="Compact"/>
            </w:pPr>
          </w:p>
        </w:tc>
        <w:tc>
          <w:tcPr/>
          <w:p>
            <w:pPr>
              <w:pStyle w:val="Compact"/>
            </w:pPr>
          </w:p>
        </w:tc>
      </w:tr>
      <w:tr>
        <w:tc>
          <w:tcPr/>
          <w:p>
            <w:pPr>
              <w:pStyle w:val="Compact"/>
              <w:jc w:val="left"/>
            </w:pPr>
            <w:r>
              <w:t xml:space="preserve">caller_fGregg</w:t>
            </w:r>
          </w:p>
        </w:tc>
        <w:tc>
          <w:tcPr/>
          <w:p>
            <w:pPr>
              <w:pStyle w:val="Compact"/>
              <w:jc w:val="left"/>
            </w:pPr>
            <w:r>
              <w:t xml:space="preserve">1.89 (1.15-3.12)</w:t>
            </w:r>
          </w:p>
        </w:tc>
        <w:tc>
          <w:tcPr/>
          <w:p>
            <w:pPr>
              <w:pStyle w:val="Compact"/>
            </w:pPr>
          </w:p>
        </w:tc>
      </w:tr>
      <w:tr>
        <w:tc>
          <w:tcPr/>
          <w:p>
            <w:pPr>
              <w:pStyle w:val="Compact"/>
              <w:jc w:val="left"/>
            </w:pPr>
            <w:r>
              <w:t xml:space="preserve">p=0.012</w:t>
            </w:r>
          </w:p>
        </w:tc>
        <w:tc>
          <w:tcPr/>
          <w:p>
            <w:pPr>
              <w:pStyle w:val="Compact"/>
              <w:jc w:val="left"/>
            </w:pPr>
            <w:r>
              <w:t xml:space="preserve">1.00 (0.71-1.40)</w:t>
            </w:r>
          </w:p>
        </w:tc>
        <w:tc>
          <w:tcPr/>
          <w:p>
            <w:pPr>
              <w:pStyle w:val="Compact"/>
            </w:pPr>
          </w:p>
        </w:tc>
      </w:tr>
      <w:tr>
        <w:tc>
          <w:tcPr/>
          <w:p>
            <w:pPr>
              <w:pStyle w:val="Compact"/>
              <w:jc w:val="left"/>
            </w:pPr>
            <w:r>
              <w:t xml:space="preserve">p=0.994</w:t>
            </w:r>
          </w:p>
        </w:tc>
        <w:tc>
          <w:tcPr/>
          <w:p>
            <w:pPr>
              <w:pStyle w:val="Compact"/>
            </w:pPr>
          </w:p>
        </w:tc>
        <w:tc>
          <w:tcPr/>
          <w:p>
            <w:pPr>
              <w:pStyle w:val="Compact"/>
            </w:pPr>
          </w:p>
        </w:tc>
      </w:tr>
      <w:tr>
        <w:tc>
          <w:tcPr/>
          <w:p>
            <w:pPr>
              <w:pStyle w:val="Compact"/>
              <w:jc w:val="left"/>
            </w:pPr>
            <w:r>
              <w:t xml:space="preserve">caller_fKim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1.00 (0.71-1.42)</w:t>
            </w:r>
          </w:p>
        </w:tc>
        <w:tc>
          <w:tcPr/>
          <w:p>
            <w:pPr>
              <w:pStyle w:val="Compact"/>
            </w:pPr>
          </w:p>
        </w:tc>
      </w:tr>
      <w:tr>
        <w:tc>
          <w:tcPr/>
          <w:p>
            <w:pPr>
              <w:pStyle w:val="Compact"/>
              <w:jc w:val="left"/>
            </w:pPr>
            <w:r>
              <w:t xml:space="preserve">p=1.000</w:t>
            </w:r>
          </w:p>
        </w:tc>
        <w:tc>
          <w:tcPr/>
          <w:p>
            <w:pPr>
              <w:pStyle w:val="Compact"/>
            </w:pPr>
          </w:p>
        </w:tc>
        <w:tc>
          <w:tcPr/>
          <w:p>
            <w:pPr>
              <w:pStyle w:val="Compact"/>
            </w:pPr>
          </w:p>
        </w:tc>
      </w:tr>
      <w:tr>
        <w:tc>
          <w:tcPr/>
          <w:p>
            <w:pPr>
              <w:pStyle w:val="Compact"/>
              <w:jc w:val="left"/>
            </w:pPr>
            <w:r>
              <w:t xml:space="preserve">caller_fOther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0.74 (0.26-2.10)</w:t>
            </w:r>
          </w:p>
        </w:tc>
        <w:tc>
          <w:tcPr/>
          <w:p>
            <w:pPr>
              <w:pStyle w:val="Compact"/>
            </w:pPr>
          </w:p>
        </w:tc>
      </w:tr>
      <w:tr>
        <w:tc>
          <w:tcPr/>
          <w:p>
            <w:pPr>
              <w:pStyle w:val="Compact"/>
              <w:jc w:val="left"/>
            </w:pPr>
            <w:r>
              <w:t xml:space="preserve">p=0.566</w:t>
            </w:r>
          </w:p>
        </w:tc>
        <w:tc>
          <w:tcPr/>
          <w:p>
            <w:pPr>
              <w:pStyle w:val="Compact"/>
            </w:pPr>
          </w:p>
        </w:tc>
        <w:tc>
          <w:tcPr/>
          <w:p>
            <w:pPr>
              <w:pStyle w:val="Compact"/>
            </w:pPr>
          </w:p>
        </w:tc>
      </w:tr>
      <w:tr>
        <w:tc>
          <w:tcPr/>
          <w:p>
            <w:pPr>
              <w:pStyle w:val="Compact"/>
              <w:jc w:val="left"/>
            </w:pPr>
            <w:r>
              <w:t xml:space="preserve">caller_fWalsh</w:t>
            </w:r>
          </w:p>
        </w:tc>
        <w:tc>
          <w:tcPr/>
          <w:p>
            <w:pPr>
              <w:pStyle w:val="Compact"/>
              <w:jc w:val="left"/>
            </w:pPr>
            <w:r>
              <w:t xml:space="preserve">2.24 (1.37-3.66)</w:t>
            </w:r>
          </w:p>
        </w:tc>
        <w:tc>
          <w:tcPr/>
          <w:p>
            <w:pPr>
              <w:pStyle w:val="Compact"/>
            </w:pPr>
          </w:p>
        </w:tc>
      </w:tr>
      <w:tr>
        <w:tc>
          <w:tcPr/>
          <w:p>
            <w:pPr>
              <w:pStyle w:val="Compact"/>
              <w:jc w:val="left"/>
            </w:pPr>
            <w:r>
              <w:t xml:space="preserve">p=0.001</w:t>
            </w:r>
          </w:p>
        </w:tc>
        <w:tc>
          <w:tcPr/>
          <w:p>
            <w:pPr>
              <w:pStyle w:val="Compact"/>
              <w:jc w:val="left"/>
            </w:pPr>
            <w:r>
              <w:t xml:space="preserve">0.86 (0.62-1.20)</w:t>
            </w:r>
          </w:p>
        </w:tc>
        <w:tc>
          <w:tcPr/>
          <w:p>
            <w:pPr>
              <w:pStyle w:val="Compact"/>
            </w:pPr>
          </w:p>
        </w:tc>
      </w:tr>
      <w:tr>
        <w:tc>
          <w:tcPr/>
          <w:p>
            <w:pPr>
              <w:pStyle w:val="Compact"/>
              <w:jc w:val="left"/>
            </w:pPr>
            <w:r>
              <w:t xml:space="preserve">p=0.377</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430</w:t>
            </w:r>
          </w:p>
        </w:tc>
      </w:tr>
      <w:tr>
        <w:tc>
          <w:tcPr/>
          <w:p>
            <w:pPr>
              <w:pStyle w:val="Compact"/>
              <w:jc w:val="left"/>
            </w:pPr>
            <w:r>
              <w:t xml:space="preserve">AIC</w:t>
            </w:r>
          </w:p>
        </w:tc>
        <w:tc>
          <w:tcPr/>
          <w:p>
            <w:pPr>
              <w:pStyle w:val="Compact"/>
              <w:jc w:val="left"/>
            </w:pPr>
            <w:r>
              <w:t xml:space="preserve">989.3</w:t>
            </w:r>
          </w:p>
        </w:tc>
        <w:tc>
          <w:tcPr/>
          <w:p>
            <w:pPr>
              <w:pStyle w:val="Compact"/>
              <w:jc w:val="left"/>
            </w:pPr>
            <w:r>
              <w:t xml:space="preserve">3570.6</w:t>
            </w:r>
          </w:p>
        </w:tc>
      </w:tr>
    </w:tbl>
    <w:bookmarkEnd w:id="40"/>
    <w:bookmarkStart w:id="59"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148666"/>
            <wp:effectExtent b="0" l="0" r="0" t="0"/>
            <wp:docPr descr="" title="" id="42" name="Picture"/>
            <a:graphic>
              <a:graphicData uri="http://schemas.openxmlformats.org/drawingml/2006/picture">
                <pic:pic>
                  <pic:nvPicPr>
                    <pic:cNvPr descr="model_output/supp/figS1_km_time_to_appointment.png" id="43" name="Picture"/>
                    <pic:cNvPicPr>
                      <a:picLocks noChangeArrowheads="1" noChangeAspect="1"/>
                    </pic:cNvPicPr>
                  </pic:nvPicPr>
                  <pic:blipFill>
                    <a:blip r:embed="rId41"/>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45" name="Picture"/>
            <a:graphic>
              <a:graphicData uri="http://schemas.openxmlformats.org/drawingml/2006/picture">
                <pic:pic>
                  <pic:nvPicPr>
                    <pic:cNvPr descr="model_output/supp/figS2_wait_distribution.png" id="46" name="Picture"/>
                    <pic:cNvPicPr>
                      <a:picLocks noChangeArrowheads="1" noChangeAspect="1"/>
                    </pic:cNvPicPr>
                  </pic:nvPicPr>
                  <pic:blipFill>
                    <a:blip r:embed="rId4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48" name="Picture"/>
            <a:graphic>
              <a:graphicData uri="http://schemas.openxmlformats.org/drawingml/2006/picture">
                <pic:pic>
                  <pic:nvPicPr>
                    <pic:cNvPr descr="model_output/supp/figS3_nb_diagnostics.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1" name="Picture"/>
            <a:graphic>
              <a:graphicData uri="http://schemas.openxmlformats.org/drawingml/2006/picture">
                <pic:pic>
                  <pic:nvPicPr>
                    <pic:cNvPr descr="model_output/supp/figS4_choropleth_offer_rate.png" id="52" name="Picture"/>
                    <pic:cNvPicPr>
                      <a:picLocks noChangeArrowheads="1" noChangeAspect="1"/>
                    </pic:cNvPicPr>
                  </pic:nvPicPr>
                  <pic:blipFill>
                    <a:blip r:embed="rId5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54" name="Picture"/>
            <a:graphic>
              <a:graphicData uri="http://schemas.openxmlformats.org/drawingml/2006/picture">
                <pic:pic>
                  <pic:nvPicPr>
                    <pic:cNvPr descr="model_output/supp/figS4_choropleth_median_wait.png" id="55" name="Picture"/>
                    <pic:cNvPicPr>
                      <a:picLocks noChangeArrowheads="1" noChangeAspect="1"/>
                    </pic:cNvPicPr>
                  </pic:nvPicPr>
                  <pic:blipFill>
                    <a:blip r:embed="rId5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57" name="Picture"/>
            <a:graphic>
              <a:graphicData uri="http://schemas.openxmlformats.org/drawingml/2006/picture">
                <pic:pic>
                  <pic:nvPicPr>
                    <pic:cNvPr descr="model_output/supp/figS4b_offer_rate_by_state.png" id="58" name="Picture"/>
                    <pic:cNvPicPr>
                      <a:picLocks noChangeArrowheads="1" noChangeAspect="1"/>
                    </pic:cNvPicPr>
                  </pic:nvPicPr>
                  <pic:blipFill>
                    <a:blip r:embed="rId56"/>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w:t>
      </w:r>
    </w:p>
    <w:p>
      <w:r>
        <w:br w:type="page"/>
      </w:r>
    </w:p>
    <w:bookmarkEnd w:id="59"/>
    <w:bookmarkEnd w:id="60"/>
    <w:bookmarkStart w:id="74" w:name="references"/>
    <w:p>
      <w:pPr>
        <w:pStyle w:val="Heading1"/>
      </w:pPr>
      <w:r>
        <w:t xml:space="preserve">References</w:t>
      </w:r>
    </w:p>
    <w:bookmarkStart w:id="73" w:name="refs"/>
    <w:bookmarkStart w:id="61" w:name="ref-PLACEHOLDER_access"/>
    <w:p>
      <w:pPr>
        <w:pStyle w:val="Bibliography"/>
      </w:pPr>
      <w:r>
        <w:t xml:space="preserve">1.</w:t>
      </w:r>
      <w:r>
        <w:t xml:space="preserve"> </w:t>
      </w:r>
      <w:r>
        <w:t xml:space="preserve">	</w:t>
      </w:r>
      <w:r>
        <w:t xml:space="preserve">A. Author, B. Author. [PLACEHOLDER] prior mystery-caller study of specialty access.</w:t>
      </w:r>
      <w:r>
        <w:t xml:space="preserve"> </w:t>
      </w:r>
      <w:r>
        <w:rPr>
          <w:i/>
          <w:iCs/>
        </w:rPr>
        <w:t xml:space="preserve">[Journal]</w:t>
      </w:r>
      <w:r>
        <w:t xml:space="preserve">. Published online 2020.</w:t>
      </w:r>
    </w:p>
    <w:bookmarkEnd w:id="61"/>
    <w:bookmarkStart w:id="62" w:name="ref-PLACEHOLDER_ent_supply"/>
    <w:p>
      <w:pPr>
        <w:pStyle w:val="Bibliography"/>
      </w:pPr>
      <w:r>
        <w:t xml:space="preserve">2.</w:t>
      </w:r>
      <w:r>
        <w:t xml:space="preserve"> </w:t>
      </w:r>
      <w:r>
        <w:t xml:space="preserve">	</w:t>
      </w:r>
      <w:r>
        <w:t xml:space="preserve">C. Author. [PLACEHOLDER] geographic distribution of the otolaryngology workforce.</w:t>
      </w:r>
      <w:r>
        <w:t xml:space="preserve"> </w:t>
      </w:r>
      <w:r>
        <w:rPr>
          <w:i/>
          <w:iCs/>
        </w:rPr>
        <w:t xml:space="preserve">[Journal]</w:t>
      </w:r>
      <w:r>
        <w:t xml:space="preserve">. Published online 2021.</w:t>
      </w:r>
    </w:p>
    <w:bookmarkEnd w:id="62"/>
    <w:bookmarkStart w:id="63" w:name="ref-kfffee"/>
    <w:p>
      <w:pPr>
        <w:pStyle w:val="Bibliography"/>
      </w:pPr>
      <w:r>
        <w:t xml:space="preserve">3.</w:t>
      </w:r>
      <w:r>
        <w:t xml:space="preserve"> </w:t>
      </w:r>
      <w:r>
        <w:t xml:space="preserve">	</w:t>
      </w:r>
      <w:r>
        <w:t xml:space="preserve">Kaiser Family Foundation. Medicaid-to-medicare fee index. Published online 2024.</w:t>
      </w:r>
    </w:p>
    <w:bookmarkEnd w:id="63"/>
    <w:bookmarkStart w:id="64" w:name="ref-cdcsvi"/>
    <w:p>
      <w:pPr>
        <w:pStyle w:val="Bibliography"/>
      </w:pPr>
      <w:r>
        <w:t xml:space="preserve">4.</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64"/>
    <w:bookmarkStart w:id="66" w:name="ref-emmeans"/>
    <w:p>
      <w:pPr>
        <w:pStyle w:val="Bibliography"/>
      </w:pPr>
      <w:r>
        <w:t xml:space="preserve">5.</w:t>
      </w:r>
      <w:r>
        <w:t xml:space="preserve"> </w:t>
      </w:r>
      <w:r>
        <w:t xml:space="preserve">	</w:t>
      </w:r>
      <w:r>
        <w:t xml:space="preserve">Russell V. Lenth.</w:t>
      </w:r>
      <w:r>
        <w:t xml:space="preserve"> </w:t>
      </w:r>
      <w:r>
        <w:rPr>
          <w:i/>
          <w:iCs/>
        </w:rPr>
        <w:t xml:space="preserve">Emmeans: Estimated Marginal Means, Aka Least-Squares Means</w:t>
      </w:r>
      <w:r>
        <w:t xml:space="preserve">. 2024.</w:t>
      </w:r>
      <w:r>
        <w:t xml:space="preserve"> </w:t>
      </w:r>
      <w:hyperlink r:id="rId65">
        <w:r>
          <w:rPr>
            <w:rStyle w:val="Hyperlink"/>
          </w:rPr>
          <w:t xml:space="preserve">https://CRAN.R-project.org/package=emmeans</w:t>
        </w:r>
      </w:hyperlink>
    </w:p>
    <w:bookmarkEnd w:id="66"/>
    <w:bookmarkStart w:id="68" w:name="ref-rcoreteam"/>
    <w:p>
      <w:pPr>
        <w:pStyle w:val="Bibliography"/>
      </w:pPr>
      <w:r>
        <w:t xml:space="preserve">6.</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67">
        <w:r>
          <w:rPr>
            <w:rStyle w:val="Hyperlink"/>
          </w:rPr>
          <w:t xml:space="preserve">https://www.R-project.org/</w:t>
        </w:r>
      </w:hyperlink>
    </w:p>
    <w:bookmarkEnd w:id="68"/>
    <w:bookmarkStart w:id="70" w:name="ref-glmmTMB"/>
    <w:p>
      <w:pPr>
        <w:pStyle w:val="Bibliography"/>
      </w:pPr>
      <w:r>
        <w:t xml:space="preserve">7.</w:t>
      </w:r>
      <w:r>
        <w:t xml:space="preserve"> </w:t>
      </w:r>
      <w:r>
        <w:t xml:space="preserve">	</w:t>
      </w:r>
      <w:r>
        <w:t xml:space="preserve">Mollie E. Brooks, Kasper Kristensen, Koen J. van Benthem, Arni Magnusson, Casper W. Berg, Anders Nielsen, Hans J. Skaug, Martin Maechler, Benjamin M. Bolker.</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69">
        <w:r>
          <w:rPr>
            <w:rStyle w:val="Hyperlink"/>
          </w:rPr>
          <w:t xml:space="preserve">10.32614/RJ-2017-066</w:t>
        </w:r>
      </w:hyperlink>
    </w:p>
    <w:bookmarkEnd w:id="70"/>
    <w:bookmarkStart w:id="72" w:name="ref-strobe"/>
    <w:p>
      <w:pPr>
        <w:pStyle w:val="Bibliography"/>
      </w:pPr>
      <w:r>
        <w:t xml:space="preserve">8.</w:t>
      </w:r>
      <w:r>
        <w:t xml:space="preserve"> </w:t>
      </w:r>
      <w:r>
        <w:t xml:space="preserve">	</w:t>
      </w:r>
      <w:r>
        <w:t xml:space="preserve">Erik von Elm, Douglas G. Altman, Matthias Egger, Stuart J. Pocock, Peter C. Gøtzsche, Jan P. Vandenbroucke.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71">
        <w:r>
          <w:rPr>
            <w:rStyle w:val="Hyperlink"/>
          </w:rPr>
          <w:t xml:space="preserve">10.7326/0003-4819-147-8-200710160-00010</w:t>
        </w:r>
      </w:hyperlink>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56" Target="media/rId56.png" /><Relationship Type="http://schemas.openxmlformats.org/officeDocument/2006/relationships/hyperlink" Id="rId65" Target="https://CRAN.R-project.org/package=emmeans" TargetMode="External" /><Relationship Type="http://schemas.openxmlformats.org/officeDocument/2006/relationships/hyperlink" Id="rId69" Target="https://doi.org/10.32614/RJ-2017-066" TargetMode="External" /><Relationship Type="http://schemas.openxmlformats.org/officeDocument/2006/relationships/hyperlink" Id="rId71" Target="https://doi.org/10.7326/0003-4819-147-8-200710160-00010" TargetMode="External" /><Relationship Type="http://schemas.openxmlformats.org/officeDocument/2006/relationships/hyperlink" Id="rId6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5" Target="https://CRAN.R-project.org/package=emmeans" TargetMode="External" /><Relationship Type="http://schemas.openxmlformats.org/officeDocument/2006/relationships/hyperlink" Id="rId69" Target="https://doi.org/10.32614/RJ-2017-066" TargetMode="External" /><Relationship Type="http://schemas.openxmlformats.org/officeDocument/2006/relationships/hyperlink" Id="rId71" Target="https://doi.org/10.7326/0003-4819-147-8-200710160-00010" TargetMode="External" /><Relationship Type="http://schemas.openxmlformats.org/officeDocument/2006/relationships/hyperlink" Id="rId6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[Author list]</dc:creator>
  <cp:keywords/>
  <dcterms:created xsi:type="dcterms:W3CDTF">2026-07-16T02:54:37Z</dcterms:created>
  <dcterms:modified xsi:type="dcterms:W3CDTF">2026-07-16T02:54:37Z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