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9.png" ContentType="image/png"/>
  <Override PartName="/word/media/rId47.png" ContentType="image/png"/>
  <Override PartName="/word/media/rId50.png" ContentType="image/png"/>
  <Override PartName="/word/media/rId53.png" ContentType="image/png"/>
  <Override PartName="/word/media/rId59.png" ContentType="image/png"/>
  <Override PartName="/word/media/rId56.png" ContentType="image/png"/>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Subspecialty and Geographic Determinants of New-Patient Appointment Access and Wait Times in Otolaryngology: A National Mystery-Caller Study</w:t>
      </w:r>
    </w:p>
    <w:p>
      <w:pPr>
        <w:pStyle w:val="Author"/>
      </w:pPr>
      <w:r>
        <w:t xml:space="preserve">Grace E. Falk; Eric J. Dobratz, MD; [RA co-authors — full names &amp; degrees to confirm: Chin, Deol, Gregg, Kim, Roesch, Walsh]; Tyler M. Muffly, MD; Cristina Cabrera-Muffly, MD</w:t>
      </w:r>
    </w:p>
    <w:p>
      <w:pPr>
        <w:pStyle w:val="Date"/>
      </w:pPr>
      <w:r>
        <w:t xml:space="preserve">July 2026</w:t>
      </w:r>
    </w:p>
    <w:bookmarkStart w:id="20" w:name="abstract"/>
    <w:p>
      <w:pPr>
        <w:pStyle w:val="Heading2"/>
      </w:pPr>
      <w:r>
        <w:t xml:space="preserve">Abstract</w:t>
      </w:r>
    </w:p>
    <w:p>
      <w:pPr>
        <w:pStyle w:val="FirstParagraph"/>
      </w:pPr>
      <w:r>
        <w:rPr>
          <w:b/>
          <w:bCs/>
        </w:rPr>
        <w:t xml:space="preserve">Objective.</w:t>
      </w:r>
      <w:r>
        <w:t xml:space="preserve"> </w:t>
      </w:r>
      <w:r>
        <w:t xml:space="preserve">To quantify subspecialty- and geography-related disparities in access to and timeliness of otolaryngology (ENT) care in the United States using a national simulated-patient design.</w:t>
      </w:r>
    </w:p>
    <w:p>
      <w:pPr>
        <w:pStyle w:val="BodyText"/>
      </w:pPr>
      <w:r>
        <w:rPr>
          <w:b/>
          <w:bCs/>
        </w:rPr>
        <w:t xml:space="preserve">Methods.</w:t>
      </w:r>
      <w:r>
        <w:t xml:space="preserve"> </w:t>
      </w:r>
      <w:r>
        <w:t xml:space="preserve">In a cross-sectional mystery-caller study, trained callers requested new-patient appointments from a national sample of board-certified otolaryngologists using subspecialty-matched scripts. We modeled two outcomes with a two-part (hurdle) approach: appointment</w:t>
      </w:r>
      <w:r>
        <w:t xml:space="preserve"> </w:t>
      </w:r>
      <w:r>
        <w:rPr>
          <w:i/>
          <w:iCs/>
        </w:rPr>
        <w:t xml:space="preserve">offer</w:t>
      </w:r>
      <w:r>
        <w:t xml:space="preserve"> </w:t>
      </w:r>
      <w:r>
        <w:t xml:space="preserve">(mixed-effects logistic regression) and</w:t>
      </w:r>
      <w:r>
        <w:t xml:space="preserve"> </w:t>
      </w:r>
      <w:r>
        <w:rPr>
          <w:i/>
          <w:iCs/>
        </w:rPr>
        <w:t xml:space="preserve">business-day wait</w:t>
      </w:r>
      <w:r>
        <w:t xml:space="preserve"> </w:t>
      </w:r>
      <w:r>
        <w:t xml:space="preserve">among offers (mixed-effects negative binomial regression), each adjusting for requested subspecialty, county ENT supply, the state Medicaid fee index, social vulnerability, dual-eligibility, and rurality, with a core-based statistical area random intercept.</w:t>
      </w:r>
    </w:p>
    <w:p>
      <w:pPr>
        <w:pStyle w:val="BodyText"/>
      </w:pPr>
      <w:r>
        <w:rPr>
          <w:b/>
          <w:bCs/>
        </w:rPr>
        <w:t xml:space="preserve">Results.</w:t>
      </w:r>
      <w:r>
        <w:t xml:space="preserve"> </w:t>
      </w:r>
      <w:r>
        <w:t xml:space="preserve">Of 960 calls, 731 complete calls with a known subspecialty were analyzed; an appointment was offered in 436 (59.6%), with a median wait of 14 business days (IQR 5–30). Requested subspecialty was the dominant determinant: pediatric otolaryngology had higher odds of an offer (OR 2.29 (95% CI 1.09–4.80; p = 0.028)), and waits were longer for laryngology (IRR 2.24 (95% CI 1.13–4.41; p = 0.020)) and pediatric otolaryngology (IRR 1.62 (95% CI 1.11–2.38; p = 0.013)). No geographic covariate—supply, Medicaid fee generosity, social vulnerability, dual-eligibility, or rurality—was associated with either outcome.</w:t>
      </w:r>
    </w:p>
    <w:p>
      <w:pPr>
        <w:pStyle w:val="BodyText"/>
      </w:pPr>
      <w:r>
        <w:rPr>
          <w:b/>
          <w:bCs/>
        </w:rPr>
        <w:t xml:space="preserve">Conclusions.</w:t>
      </w:r>
      <w:r>
        <w:t xml:space="preserve"> </w:t>
      </w:r>
      <w:r>
        <w:t xml:space="preserve">New-patient access to otolaryngology care is shaped more by the requested subspecialty than by local physician supply, insurance generosity, social vulnerability, or rurality. Getting an appointment and being seen promptly are distinct dimensions that diverge by subspecialty.</w:t>
      </w:r>
    </w:p>
    <w:p>
      <w:pPr>
        <w:pStyle w:val="BodyText"/>
      </w:pPr>
      <w:r>
        <w:rPr>
          <w:b/>
          <w:bCs/>
        </w:rPr>
        <w:t xml:space="preserve">Keywords:</w:t>
      </w:r>
      <w:r>
        <w:t xml:space="preserve"> </w:t>
      </w:r>
      <w:r>
        <w:t xml:space="preserve">otolaryngology; access to care; health services accessibility; simulated patient; mystery caller; appointment wait time; rural health; workforce.</w:t>
      </w:r>
    </w:p>
    <w:p>
      <w:pPr>
        <w:pStyle w:val="BodyText"/>
      </w:pPr>
      <w:r>
        <w:rPr>
          <w:b/>
          <w:bCs/>
        </w:rPr>
        <w:t xml:space="preserve">Running head:</w:t>
      </w:r>
      <w:r>
        <w:t xml:space="preserve"> </w:t>
      </w:r>
      <w:r>
        <w:t xml:space="preserve">Subspecialty and geography in otolaryngology access.</w:t>
      </w:r>
    </w:p>
    <w:p>
      <w:pPr>
        <w:pStyle w:val="BodyText"/>
      </w:pPr>
      <w:r>
        <w:rPr>
          <w:b/>
          <w:bCs/>
        </w:rPr>
        <w:t xml:space="preserve">Corresponding author:</w:t>
      </w:r>
      <w:r>
        <w:t xml:space="preserve"> </w:t>
      </w:r>
      <w:r>
        <w:t xml:space="preserve">Cristina Cabrera-Muffly, MD; Department of Otolaryngology–Head and Neck Surgery, University of Colorado School of Medicine, Aurora, CO;</w:t>
      </w:r>
      <w:r>
        <w:t xml:space="preserve"> </w:t>
      </w:r>
      <w:r>
        <w:rPr>
          <w:i/>
          <w:iCs/>
        </w:rPr>
        <w:t xml:space="preserve">[address; email; telephone]</w:t>
      </w:r>
      <w:r>
        <w:t xml:space="preserve">.</w:t>
      </w:r>
    </w:p>
    <w:p>
      <w:pPr>
        <w:pStyle w:val="BodyText"/>
      </w:pPr>
      <w:r>
        <w:rPr>
          <w:b/>
          <w:bCs/>
        </w:rPr>
        <w:t xml:space="preserve">Affiliations:</w:t>
      </w:r>
      <w:r>
        <w:t xml:space="preserve"> </w:t>
      </w:r>
      <w:r>
        <w:t xml:space="preserve">Grace E. Falk, Old Dominion University / Eastern Virginia Medical School, Norfolk, VA. Eric J. Dobratz, Department of Otolaryngology–Head and Neck Surgery, Eastern Virginia Medical School at Old Dominion University, Norfolk, VA.</w:t>
      </w:r>
      <w:r>
        <w:t xml:space="preserve"> </w:t>
      </w:r>
      <w:r>
        <w:rPr>
          <w:i/>
          <w:iCs/>
        </w:rPr>
        <w:t xml:space="preserve">[Research-assistant co-authors — affiliations to confirm.]</w:t>
      </w:r>
      <w:r>
        <w:t xml:space="preserve"> </w:t>
      </w:r>
      <w:r>
        <w:t xml:space="preserve">Tyler M. Muffly, Denver Health and Hospital Authority, Denver, CO; Department of Obstetrics and Gynecology, University of Colorado School of Medicine, Aurora, CO. Cristina Cabrera-Muffly, Department of Otolaryngology–Head and Neck Surgery, University of Colorado School of Medicine, Aurora, CO.</w:t>
      </w:r>
    </w:p>
    <w:p>
      <w:pPr>
        <w:pStyle w:val="BodyText"/>
      </w:pPr>
      <w:r>
        <w:rPr>
          <w:i/>
          <w:iCs/>
        </w:rPr>
        <w:t xml:space="preserve">Word count: abstract ≈ 200; main text</w:t>
      </w:r>
      <w:r>
        <w:rPr>
          <w:i/>
          <w:iCs/>
        </w:rPr>
        <w:t xml:space="preserve"> </w:t>
      </w:r>
      <w:r>
        <w:t xml:space="preserve">[to finalize]</w:t>
      </w:r>
      <w:r>
        <w:rPr>
          <w:i/>
          <w:iCs/>
        </w:rPr>
        <w:t xml:space="preserve">. Tables: 2 main, 10 supplementary. Figures: 2 main, 7 supplementary.</w:t>
      </w:r>
    </w:p>
    <w:bookmarkEnd w:id="20"/>
    <w:bookmarkStart w:id="21" w:name="introduction"/>
    <w:p>
      <w:pPr>
        <w:pStyle w:val="Heading2"/>
      </w:pPr>
      <w:r>
        <w:t xml:space="preserve">Introduction</w:t>
      </w:r>
    </w:p>
    <w:p>
      <w:pPr>
        <w:pStyle w:val="FirstParagraph"/>
      </w:pPr>
      <w:r>
        <w:t xml:space="preserve">Otolaryngologic conditions—from chronic rhinosinusitis and otitis media to airway disorders and head-and-neck malignancy—are among the most common reasons patients seek specialty care, and for many of these conditions timely evaluation influences diagnosis and outcome, with delays in the diagnosis-to-treatment interval associated with worse survival in head-and-neck cancer</w:t>
      </w:r>
      <w:hyperlink w:anchor="ref-graboyes2019">
        <w:r>
          <w:rPr>
            <w:rStyle w:val="Hyperlink"/>
            <w:vertAlign w:val="superscript"/>
          </w:rPr>
          <w:t xml:space="preserve">1</w:t>
        </w:r>
      </w:hyperlink>
      <w:r>
        <w:t xml:space="preserve">. Whether a new patient can actually reach an otolaryngologist, however, is not guaranteed by the presence of physicians in a region; it depends on whether an office will offer an appointment and, if so, how long the patient must wait.</w:t>
      </w:r>
    </w:p>
    <w:p>
      <w:pPr>
        <w:pStyle w:val="BodyText"/>
      </w:pPr>
      <w:r>
        <w:t xml:space="preserve">Access to specialty care thus has two distinct dimensions that are often conflated:</w:t>
      </w:r>
      <w:r>
        <w:t xml:space="preserve"> </w:t>
      </w:r>
      <w:r>
        <w:rPr>
          <w:i/>
          <w:iCs/>
        </w:rPr>
        <w:t xml:space="preserve">availability</w:t>
      </w:r>
      <w:r>
        <w:t xml:space="preserve">—whether a new-patient appointment is offered at all—and</w:t>
      </w:r>
      <w:r>
        <w:t xml:space="preserve"> </w:t>
      </w:r>
      <w:r>
        <w:rPr>
          <w:i/>
          <w:iCs/>
        </w:rPr>
        <w:t xml:space="preserve">timeliness</w:t>
      </w:r>
      <w:r>
        <w:t xml:space="preserve">—how quickly the patient is seen. These dimensions can move independently: an office that readily books new patients may nonetheless carry a long queue, and measuring only one can mislead. Administrative and survey data capture both imperfectly, reflecting patients who have already navigated the system and remaining subject to recall and reporting bias.</w:t>
      </w:r>
    </w:p>
    <w:p>
      <w:pPr>
        <w:pStyle w:val="BodyText"/>
      </w:pPr>
      <w:r>
        <w:t xml:space="preserve">Simulated-patient (</w:t>
      </w:r>
      <w:r>
        <w:t xml:space="preserve">“mystery caller”</w:t>
      </w:r>
      <w:r>
        <w:t xml:space="preserve">) studies address this gap by having trained callers pose as new patients and request appointments under a standardized script, directly measuring the experience a real patient would encounter</w:t>
      </w:r>
      <w:hyperlink w:anchor="ref-bisgaier2011">
        <w:r>
          <w:rPr>
            <w:rStyle w:val="Hyperlink"/>
            <w:vertAlign w:val="superscript"/>
          </w:rPr>
          <w:t xml:space="preserve">2</w:t>
        </w:r>
      </w:hyperlink>
      <w:r>
        <w:t xml:space="preserve">. The design has been applied across specialties to reveal access barriers invisible in claims data. Within otolaryngology, the determinants of new-patient access remain incompletely characterized. Two classes of determinant are plausible: the</w:t>
      </w:r>
      <w:r>
        <w:t xml:space="preserve"> </w:t>
      </w:r>
      <w:r>
        <w:rPr>
          <w:i/>
          <w:iCs/>
        </w:rPr>
        <w:t xml:space="preserve">clinical</w:t>
      </w:r>
      <w:r>
        <w:t xml:space="preserve"> </w:t>
      </w:r>
      <w:r>
        <w:t xml:space="preserve">nature of the request—the requested subspecialty (general otolaryngology versus pediatric otolaryngology, laryngology, head-and-neck oncology, and others)—and the</w:t>
      </w:r>
      <w:r>
        <w:t xml:space="preserve"> </w:t>
      </w:r>
      <w:r>
        <w:rPr>
          <w:i/>
          <w:iCs/>
        </w:rPr>
        <w:t xml:space="preserve">contextual</w:t>
      </w:r>
      <w:r>
        <w:t xml:space="preserve"> </w:t>
      </w:r>
      <w:r>
        <w:t xml:space="preserve">environment of the practice—local physician supply, the generosity of the state Medicaid fee schedule, community social vulnerability, the share of dual-eligible beneficiaries, and rurality</w:t>
      </w:r>
      <w:hyperlink w:anchor="ref-vickery2016">
        <w:r>
          <w:rPr>
            <w:rStyle w:val="Hyperlink"/>
            <w:vertAlign w:val="superscript"/>
          </w:rPr>
          <w:t xml:space="preserve">3</w:t>
        </w:r>
      </w:hyperlink>
      <w:r>
        <w:t xml:space="preserve">.</w:t>
      </w:r>
    </w:p>
    <w:p>
      <w:pPr>
        <w:pStyle w:val="BodyText"/>
      </w:pPr>
      <w:r>
        <w:t xml:space="preserve">We conducted a national mystery-caller study of board-certified otolaryngologists to quantify how the requested subspecialty and the geographic-contextual environment relate to (1) whether a new-patient appointment is offered and (2) the business-day wait when one is offered. To keep these two dimensions of access distinct, we analyzed them with a two-part model.</w:t>
      </w:r>
    </w:p>
    <w:bookmarkEnd w:id="21"/>
    <w:bookmarkStart w:id="27" w:name="methods"/>
    <w:p>
      <w:pPr>
        <w:pStyle w:val="Heading2"/>
      </w:pPr>
      <w:r>
        <w:t xml:space="preserve">Methods</w:t>
      </w:r>
    </w:p>
    <w:bookmarkStart w:id="22" w:name="study-design-and-sample"/>
    <w:p>
      <w:pPr>
        <w:pStyle w:val="Heading3"/>
      </w:pPr>
      <w:r>
        <w:t xml:space="preserve">Study design and sample</w:t>
      </w:r>
    </w:p>
    <w:p>
      <w:pPr>
        <w:pStyle w:val="FirstParagraph"/>
      </w:pPr>
      <w:r>
        <w:t xml:space="preserve">We conducted a cross-sectional, simulated-patient (</w:t>
      </w:r>
      <w:r>
        <w:t xml:space="preserve">“mystery caller”</w:t>
      </w:r>
      <w:r>
        <w:t xml:space="preserve">) study of access to otolaryngology (ENT) care in the United States</w:t>
      </w:r>
      <w:hyperlink w:anchor="ref-rankin2022">
        <w:r>
          <w:rPr>
            <w:rStyle w:val="Hyperlink"/>
            <w:vertAlign w:val="superscript"/>
          </w:rPr>
          <w:t xml:space="preserve">4</w:t>
        </w:r>
      </w:hyperlink>
      <w:r>
        <w:t xml:space="preserve">. Trained callers telephoned a national sample of practicing, board-certified otolaryngologists and, following a standardized script, requested a new-patient appointment for a subspecialty-matched chief complaint. Each sampled physician was contacted once. The sampling frame was the American Board of Otolaryngology–Head and Neck Surgery roster of board-certified otolaryngologists practicing in the United States (N = 11,333), linked to National Provider Identifier records for practice location and rurality. Because rural otolaryngologists were scarce in this frame (791 of 11,333; 7.0%), we drew a rurality-stratified sample of 480 urban and 480 rural physicians (960 total) to obtain balanced representation; the rural stratum accordingly included a majority of all rural board-certified otolaryngologists in the frame. Calls were placed between May 29 and July 6, 2026, to physicians in 48 states, each under a commercial Blue Cross Blue Shield insurance scenario held constant across calls, with the chief complaint matched to the sampled physician’s subspecialty (general otolaryngology, facial plastic surgery, head and neck oncology, laryngology, otology/neurotology, pediatric otolaryngology, rhinology, or sleep medicine). Script selection followed the physician’s fellowship training (subspecialty-specific script if fellowship-trained, otherwise the general otolaryngology script), and callers verified board certification and coded practice rurality before each call; the full pre-call procedure and the verbatim subspecialty scripts are provided in the Supplementary Appendix (</w:t>
      </w:r>
      <w:r>
        <w:rPr>
          <w:b/>
          <w:bCs/>
        </w:rPr>
        <w:t xml:space="preserve">Table S9</w:t>
      </w:r>
      <w:r>
        <w:t xml:space="preserve">).</w:t>
      </w:r>
      <w:r>
        <w:t xml:space="preserve"> </w:t>
      </w:r>
      <w:r>
        <w:rPr>
          <w:i/>
          <w:iCs/>
        </w:rPr>
        <w:t xml:space="preserve">[To confirm from the protocol: the number and timing of call attempts before a physician was recorded as unreachable, and caller-training procedures.]</w:t>
      </w:r>
      <w:r>
        <w:t xml:space="preserve"> </w:t>
      </w:r>
      <w:r>
        <w:t xml:space="preserve">The Human Subjects Protection Program at Old Dominion University (Macon &amp; Joan Brock Virginia Health Sciences / Eastern Virginia Medical School) determined that this project (IRB #24-12-NH-0285) does not involve human subjects research and is therefore not subject to IRB review; informed consent was not required. The covert measurement of clinician behavior has been debated—most publicly when a 2011 federally commissioned</w:t>
      </w:r>
      <w:r>
        <w:t xml:space="preserve"> </w:t>
      </w:r>
      <w:r>
        <w:t xml:space="preserve">“mystery shopper”</w:t>
      </w:r>
      <w:r>
        <w:t xml:space="preserve"> </w:t>
      </w:r>
      <w:r>
        <w:t xml:space="preserve">survey of primary-care access was shelved amid concern about deceiving physician practices</w:t>
      </w:r>
      <w:hyperlink w:anchor="ref-rhodes2011">
        <w:r>
          <w:rPr>
            <w:rStyle w:val="Hyperlink"/>
            <w:vertAlign w:val="superscript"/>
          </w:rPr>
          <w:t xml:space="preserve">5</w:t>
        </w:r>
      </w:hyperlink>
      <w:r>
        <w:rPr>
          <w:vertAlign w:val="superscript"/>
        </w:rPr>
        <w:t xml:space="preserve">,</w:t>
      </w:r>
      <w:hyperlink w:anchor="ref-blinkhorn2013">
        <w:r>
          <w:rPr>
            <w:rStyle w:val="Hyperlink"/>
            <w:vertAlign w:val="superscript"/>
          </w:rPr>
          <w:t xml:space="preserve">6</w:t>
        </w:r>
      </w:hyperlink>
      <w:r>
        <w:t xml:space="preserve">—but a formal ethical analysis has since established that simulated-patient research without prior consent is justified when risks and burdens are minimal, a consent waiver is necessary for scientifically valid data, and the study carries substantial social value</w:t>
      </w:r>
      <w:hyperlink w:anchor="ref-rhodesmiller2012">
        <w:r>
          <w:rPr>
            <w:rStyle w:val="Hyperlink"/>
            <w:vertAlign w:val="superscript"/>
          </w:rPr>
          <w:t xml:space="preserve">7</w:t>
        </w:r>
      </w:hyperlink>
      <w:r>
        <w:t xml:space="preserve">. This study was designed to satisfy those conditions. Consistent with established simulated-patient practice, the covert design incorporated several safeguards: no protected health information was collected and no calls were recorded; each contact was a single brief call that booked no real appointment and imposed minimal burden on office staff; and identifying information about individual staff members was neither requested nor stored. Covert simulated calling was necessary because non-covert methods—for example, surveys of offices aware of being observed—would systematically bias access estimates through social desirability, the same rationale that underlies the design’s measurement validity</w:t>
      </w:r>
      <w:hyperlink w:anchor="ref-rankin2022">
        <w:r>
          <w:rPr>
            <w:rStyle w:val="Hyperlink"/>
            <w:vertAlign w:val="superscript"/>
          </w:rPr>
          <w:t xml:space="preserve">4</w:t>
        </w:r>
      </w:hyperlink>
      <w:r>
        <w:rPr>
          <w:vertAlign w:val="superscript"/>
        </w:rPr>
        <w:t xml:space="preserve">,</w:t>
      </w:r>
      <w:hyperlink w:anchor="ref-moriarty2003">
        <w:r>
          <w:rPr>
            <w:rStyle w:val="Hyperlink"/>
            <w:vertAlign w:val="superscript"/>
          </w:rPr>
          <w:t xml:space="preserve">8</w:t>
        </w:r>
      </w:hyperlink>
      <w:r>
        <w:rPr>
          <w:vertAlign w:val="superscript"/>
        </w:rPr>
        <w:t xml:space="preserve">,</w:t>
      </w:r>
      <w:hyperlink w:anchor="ref-hodson2025">
        <w:r>
          <w:rPr>
            <w:rStyle w:val="Hyperlink"/>
            <w:vertAlign w:val="superscript"/>
          </w:rPr>
          <w:t xml:space="preserve">9</w:t>
        </w:r>
      </w:hyperlink>
      <w:r>
        <w:t xml:space="preserve">. Aggregate, market-level findings will be made available through specialty-society and state channels as a benefit to participating communities, in the spirit of the participant-feedback provisions used in prior covert simulated-patient studies</w:t>
      </w:r>
      <w:hyperlink w:anchor="ref-lungfiel2023">
        <w:r>
          <w:rPr>
            <w:rStyle w:val="Hyperlink"/>
            <w:vertAlign w:val="superscript"/>
          </w:rPr>
          <w:t xml:space="preserve">10</w:t>
        </w:r>
      </w:hyperlink>
      <w:r>
        <w:t xml:space="preserve">.</w:t>
      </w:r>
    </w:p>
    <w:p>
      <w:pPr>
        <w:pStyle w:val="BodyText"/>
      </w:pPr>
      <w:r>
        <w:t xml:space="preserve">Analyses were restricted to calls with a completed data-collection record and a determinable physician subspecialty. This study did not manipulate patient insurance; the exposures of interest were the requested subspecialty and the geographic context of the practice.</w:t>
      </w:r>
    </w:p>
    <w:bookmarkEnd w:id="22"/>
    <w:bookmarkStart w:id="23" w:name="outcomes"/>
    <w:p>
      <w:pPr>
        <w:pStyle w:val="Heading3"/>
      </w:pPr>
      <w:r>
        <w:t xml:space="preserve">Outcomes</w:t>
      </w:r>
    </w:p>
    <w:p>
      <w:pPr>
        <w:pStyle w:val="FirstParagraph"/>
      </w:pPr>
      <w:r>
        <w:t xml:space="preserve">Two outcomes were analyzed as a two-part (hurdle) process. The first,</w:t>
      </w:r>
      <w:r>
        <w:t xml:space="preserve"> </w:t>
      </w:r>
      <w:r>
        <w:rPr>
          <w:i/>
          <w:iCs/>
        </w:rPr>
        <w:t xml:space="preserve">access</w:t>
      </w:r>
      <w:r>
        <w:t xml:space="preserve">, was whether the office offered a new-patient appointment with the sampled physician (binary). The second,</w:t>
      </w:r>
      <w:r>
        <w:t xml:space="preserve"> </w:t>
      </w:r>
      <w:r>
        <w:rPr>
          <w:i/>
          <w:iCs/>
        </w:rPr>
        <w:t xml:space="preserve">timeliness</w:t>
      </w:r>
      <w:r>
        <w:t xml:space="preserve">, was the number of</w:t>
      </w:r>
      <w:r>
        <w:t xml:space="preserve"> </w:t>
      </w:r>
      <w:r>
        <w:rPr>
          <w:b/>
          <w:bCs/>
        </w:rPr>
        <w:t xml:space="preserve">business days</w:t>
      </w:r>
      <w:r>
        <w:t xml:space="preserve"> </w:t>
      </w:r>
      <w:r>
        <w:t xml:space="preserve">from the call to the next available appointment, counted excluding weekends and U.S. federal holidays, and defined only for calls in which an appointment was offered. We recorded the</w:t>
      </w:r>
      <w:r>
        <w:t xml:space="preserve"> </w:t>
      </w:r>
      <w:r>
        <w:rPr>
          <w:i/>
          <w:iCs/>
        </w:rPr>
        <w:t xml:space="preserve">first</w:t>
      </w:r>
      <w:r>
        <w:t xml:space="preserve">-available appointment; prior simulated-patient work has shown that the more elaborate third-next-available metric adds little beyond first-available while reducing reliability</w:t>
      </w:r>
      <w:hyperlink w:anchor="ref-campbell2013">
        <w:r>
          <w:rPr>
            <w:rStyle w:val="Hyperlink"/>
            <w:vertAlign w:val="superscript"/>
          </w:rPr>
          <w:t xml:space="preserve">11</w:t>
        </w:r>
      </w:hyperlink>
      <w:r>
        <w:t xml:space="preserve">.</w:t>
      </w:r>
    </w:p>
    <w:bookmarkEnd w:id="23"/>
    <w:bookmarkStart w:id="24" w:name="geographic-covariates"/>
    <w:p>
      <w:pPr>
        <w:pStyle w:val="Heading3"/>
      </w:pPr>
      <w:r>
        <w:t xml:space="preserve">Geographic covariates</w:t>
      </w:r>
    </w:p>
    <w:p>
      <w:pPr>
        <w:pStyle w:val="FirstParagraph"/>
      </w:pPr>
      <w:r>
        <w:t xml:space="preserve">Each practice was linked to contextual covariates by practice ZIP code and state. County was assigned from a 2020 Census ZCTA-to-county crosswalk (dominant county by land area). Covariates comprised: county otolaryngologist supply per 100,000 population; the state Medicaid-to-Medicare fee index (Kaiser Family Foundation, 2024, all services)</w:t>
      </w:r>
      <w:hyperlink w:anchor="ref-kfffee">
        <w:r>
          <w:rPr>
            <w:rStyle w:val="Hyperlink"/>
            <w:vertAlign w:val="superscript"/>
          </w:rPr>
          <w:t xml:space="preserve">12</w:t>
        </w:r>
      </w:hyperlink>
      <w:r>
        <w:t xml:space="preserve">; the CDC/ATSDR Social Vulnerability Index (SVI, 2022, tract-level, population-weighted to the practice ZIP)</w:t>
      </w:r>
      <w:hyperlink w:anchor="ref-cdcsvi">
        <w:r>
          <w:rPr>
            <w:rStyle w:val="Hyperlink"/>
            <w:vertAlign w:val="superscript"/>
          </w:rPr>
          <w:t xml:space="preserve">13</w:t>
        </w:r>
      </w:hyperlink>
      <w:r>
        <w:t xml:space="preserve">; the county fraction of Medicare beneficiaries dual-eligible for Medicaid (CMS); metropolitan hospital-market concentration (Herfindahl–Hirschman Index [HHI], KFF 2024; available for metropolitan areas only); rurality, dichotomized from Rural–Urban Commuting Area (RUCA) codes as urban (RUCA 1–3) versus rural (RUCA 4–10); and the American Academy of Otolaryngology–Head and Neck Surgery (AAO-HNS) Board of Governors region.</w:t>
      </w:r>
    </w:p>
    <w:bookmarkEnd w:id="24"/>
    <w:bookmarkStart w:id="25" w:name="statistical-analysis"/>
    <w:p>
      <w:pPr>
        <w:pStyle w:val="Heading3"/>
      </w:pPr>
      <w:r>
        <w:t xml:space="preserve">Statistical analysis</w:t>
      </w:r>
    </w:p>
    <w:p>
      <w:pPr>
        <w:pStyle w:val="FirstParagraph"/>
      </w:pPr>
      <w:r>
        <w:t xml:space="preserve">Because business-day wait time is observed only when an appointment is offered, we modeled access and timeliness separately to avoid conditioning wait-time estimates on the offer.</w:t>
      </w:r>
      <w:r>
        <w:t xml:space="preserve"> </w:t>
      </w:r>
      <w:r>
        <w:rPr>
          <w:i/>
          <w:iCs/>
        </w:rPr>
        <w:t xml:space="preserve">Access</w:t>
      </w:r>
      <w:r>
        <w:t xml:space="preserve"> </w:t>
      </w:r>
      <w:r>
        <w:t xml:space="preserve">was modeled with a mixed-effects logistic regression over all analytic calls;</w:t>
      </w:r>
      <w:r>
        <w:t xml:space="preserve"> </w:t>
      </w:r>
      <w:r>
        <w:rPr>
          <w:i/>
          <w:iCs/>
        </w:rPr>
        <w:t xml:space="preserve">timeliness</w:t>
      </w:r>
      <w:r>
        <w:t xml:space="preserve"> </w:t>
      </w:r>
      <w:r>
        <w:t xml:space="preserve">with a mixed-effects negative binomial regression over the offered subset. The negative binomial distribution was selected over Poisson on the basis of substantial overdispersion (Pearson φ = 6.22). Both models included a random intercept for core-based statistical area (CBSA; county FIPS where CBSA was undefined) to account for within-market correlation, and adjusted for the requested subspecialty (reference: general otolaryngology), county ENT supply, Medicaid fee index, SVI, dual-eligible fraction, and rurality (reference: urban). The identity of the caller (research assistant) was included as a fixed nuisance term to adjust for operator-level differences in call handling. Continuous covariates were standardized and, for the few missing values (&lt;3%), median-imputed.</w:t>
      </w:r>
    </w:p>
    <w:p>
      <w:pPr>
        <w:pStyle w:val="BodyText"/>
      </w:pPr>
      <w:r>
        <w:t xml:space="preserve">Effects are reported as odds ratios (access) and incidence rate ratios (timeliness) with 95% Wald confidence intervals. Pairwise differences between subspecialties were estimated with Tukey-adjusted estimated marginal means</w:t>
      </w:r>
      <w:hyperlink w:anchor="ref-emmeans">
        <w:r>
          <w:rPr>
            <w:rStyle w:val="Hyperlink"/>
            <w:vertAlign w:val="superscript"/>
          </w:rPr>
          <w:t xml:space="preserve">14</w:t>
        </w:r>
      </w:hyperlink>
      <w:r>
        <w:t xml:space="preserve">. Effect modification of the geographic covariates by subspecialty was tested by likelihood-ratio tests. Market-level clustering was summarized by the intraclass correlation coefficient (ICC). Because the HHI is defined only in metropolitan areas, its association with timeliness was assessed in a sensitivity model restricted to the metropolitan subset. Two additional sensitivity analyses were performed: a three-level rurality specification (urban, RUCA 1–3; suburban, 4–6; rural, 7–10) in place of the binary contrast, and a complete-case refit that excluded records with any missing covariate rather than median-imputing them. Whether call incompleteness was related to the measured covariates was assessed with chi-square and Wilcoxon rank-sum tests. Analyses used R 4.4.2</w:t>
      </w:r>
      <w:hyperlink w:anchor="ref-rcoreteam">
        <w:r>
          <w:rPr>
            <w:rStyle w:val="Hyperlink"/>
            <w:vertAlign w:val="superscript"/>
          </w:rPr>
          <w:t xml:space="preserve">15</w:t>
        </w:r>
      </w:hyperlink>
      <w:r>
        <w:t xml:space="preserve"> </w:t>
      </w:r>
      <w:r>
        <w:t xml:space="preserve">(packages</w:t>
      </w:r>
      <w:r>
        <w:t xml:space="preserve"> </w:t>
      </w:r>
      <w:r>
        <w:rPr>
          <w:rStyle w:val="VerbatimChar"/>
        </w:rPr>
        <w:t xml:space="preserve">glmmTMB</w:t>
      </w:r>
      <w:hyperlink w:anchor="ref-glmmTMB">
        <w:r>
          <w:rPr>
            <w:rStyle w:val="Hyperlink"/>
            <w:vertAlign w:val="superscript"/>
          </w:rPr>
          <w:t xml:space="preserve">16</w:t>
        </w:r>
      </w:hyperlink>
      <w:r>
        <w:t xml:space="preserve">,</w:t>
      </w:r>
      <w:r>
        <w:t xml:space="preserve"> </w:t>
      </w:r>
      <w:r>
        <w:rPr>
          <w:rStyle w:val="VerbatimChar"/>
        </w:rPr>
        <w:t xml:space="preserve">emmeans</w:t>
      </w:r>
      <w:hyperlink w:anchor="ref-emmeans">
        <w:r>
          <w:rPr>
            <w:rStyle w:val="Hyperlink"/>
            <w:vertAlign w:val="superscript"/>
          </w:rPr>
          <w:t xml:space="preserve">14</w:t>
        </w:r>
      </w:hyperlink>
      <w:r>
        <w:t xml:space="preserve">, and the study package</w:t>
      </w:r>
      <w:r>
        <w:t xml:space="preserve"> </w:t>
      </w:r>
      <w:r>
        <w:rPr>
          <w:rStyle w:val="VerbatimChar"/>
        </w:rPr>
        <w:t xml:space="preserve">mysterycall</w:t>
      </w:r>
      <w:r>
        <w:t xml:space="preserve">); two-sided α = 0.05. Reporting follows the STROBE guideline for observational studies</w:t>
      </w:r>
      <w:hyperlink w:anchor="ref-strobe">
        <w:r>
          <w:rPr>
            <w:rStyle w:val="Hyperlink"/>
            <w:vertAlign w:val="superscript"/>
          </w:rPr>
          <w:t xml:space="preserve">17</w:t>
        </w:r>
      </w:hyperlink>
      <w:r>
        <w:t xml:space="preserve"> </w:t>
      </w:r>
      <w:r>
        <w:t xml:space="preserve">and the simulated-patient–specific CRiSP/CRiSPHe reporting checklist</w:t>
      </w:r>
      <w:hyperlink w:anchor="ref-crisp2021">
        <w:r>
          <w:rPr>
            <w:rStyle w:val="Hyperlink"/>
            <w:vertAlign w:val="superscript"/>
          </w:rPr>
          <w:t xml:space="preserve">18</w:t>
        </w:r>
      </w:hyperlink>
      <w:r>
        <w:rPr>
          <w:vertAlign w:val="superscript"/>
        </w:rPr>
        <w:t xml:space="preserve">,</w:t>
      </w:r>
      <w:hyperlink w:anchor="ref-crisphe2024">
        <w:r>
          <w:rPr>
            <w:rStyle w:val="Hyperlink"/>
            <w:vertAlign w:val="superscript"/>
          </w:rPr>
          <w:t xml:space="preserve">19</w:t>
        </w:r>
      </w:hyperlink>
      <w:r>
        <w:t xml:space="preserve">.</w:t>
      </w:r>
    </w:p>
    <w:bookmarkEnd w:id="25"/>
    <w:bookmarkStart w:id="26" w:name="sample-size-and-power"/>
    <w:p>
      <w:pPr>
        <w:pStyle w:val="Heading3"/>
      </w:pPr>
      <w:r>
        <w:t xml:space="preserve">Sample size and power</w:t>
      </w:r>
    </w:p>
    <w:p>
      <w:pPr>
        <w:pStyle w:val="FirstParagraph"/>
      </w:pPr>
      <w:r>
        <w:t xml:space="preserve">The sample size was fixed</w:t>
      </w:r>
      <w:r>
        <w:t xml:space="preserve"> </w:t>
      </w:r>
      <w:r>
        <w:rPr>
          <w:i/>
          <w:iCs/>
        </w:rPr>
        <w:t xml:space="preserve">a priori</w:t>
      </w:r>
      <w:r>
        <w:t xml:space="preserve"> </w:t>
      </w:r>
      <w:r>
        <w:t xml:space="preserve">by a call budget of 800, with the rural-versus-urban difference in business-day wait time as the primary contrast. The power analysis was pre-specified before data collection and implemented in a purpose-built simulation application. Its assumptions were anchored to empirical data rather than convention: the expected rural wait penalty, the negative binomial dispersion (φ = 1.7), and the state-level intraclass correlation (ICC = 0.08) were estimated by pooling 273 rural otolaryngology observations from two published access series</w:t>
      </w:r>
      <w:hyperlink w:anchor="ref-corbisiero2024">
        <w:r>
          <w:rPr>
            <w:rStyle w:val="Hyperlink"/>
            <w:vertAlign w:val="superscript"/>
          </w:rPr>
          <w:t xml:space="preserve">20</w:t>
        </w:r>
      </w:hyperlink>
      <w:r>
        <w:rPr>
          <w:vertAlign w:val="superscript"/>
        </w:rPr>
        <w:t xml:space="preserve">,</w:t>
      </w:r>
      <w:hyperlink w:anchor="ref-saeedi2025">
        <w:r>
          <w:rPr>
            <w:rStyle w:val="Hyperlink"/>
            <w:vertAlign w:val="superscript"/>
          </w:rPr>
          <w:t xml:space="preserve">21</w:t>
        </w:r>
      </w:hyperlink>
      <w:r>
        <w:t xml:space="preserve">. Under these assumptions and a two-sided α = 0.05, an 800-call budget provided greater than 99% power to detect the anticipated eight-business-day rural–urban gap; the minimum detectable difference at 90% power was approximately six business days. The design was robust to two realistic threats: after a 20% non-response buffer (analyzable n ≈ 640) power remained near 98%, and although a balanced 50/50 rural/urban allocation was optimal, sampling at the natural rural prevalence (~15%) still yielded 83% power. A balanced urban/rural allocation was therefore targeted. The realized dispersion (φ = 6.22) substantially exceeded the planned value, reducing achieved power relative to plan; the resulting reconciliation is reported in the</w:t>
      </w:r>
      <w:r>
        <w:t xml:space="preserve"> </w:t>
      </w:r>
      <w:r>
        <w:rPr>
          <w:i/>
          <w:iCs/>
        </w:rPr>
        <w:t xml:space="preserve">Limitations</w:t>
      </w:r>
      <w:r>
        <w:t xml:space="preserve">.</w:t>
      </w:r>
    </w:p>
    <w:bookmarkEnd w:id="26"/>
    <w:bookmarkEnd w:id="27"/>
    <w:bookmarkStart w:id="33" w:name="results"/>
    <w:p>
      <w:pPr>
        <w:pStyle w:val="Heading2"/>
      </w:pPr>
      <w:r>
        <w:t xml:space="preserve">Results</w:t>
      </w:r>
    </w:p>
    <w:bookmarkStart w:id="28" w:name="sample-and-attrition"/>
    <w:p>
      <w:pPr>
        <w:pStyle w:val="Heading3"/>
      </w:pPr>
      <w:r>
        <w:t xml:space="preserve">Sample and attrition</w:t>
      </w:r>
    </w:p>
    <w:p>
      <w:pPr>
        <w:pStyle w:val="FirstParagraph"/>
      </w:pPr>
      <w:r>
        <w:t xml:space="preserve">Callers placed 960 calls; 749 (78.0%) were completed, of which 731 had a determinable subspecialty and formed the analytic sample. An appointment was offered in 436 of 731 (59.6%); the median next-available wait was 14 business days (IQR 5–30). Sample characteristics are shown in</w:t>
      </w:r>
      <w:r>
        <w:t xml:space="preserve"> </w:t>
      </w:r>
      <w:r>
        <w:rPr>
          <w:b/>
          <w:bCs/>
        </w:rPr>
        <w:t xml:space="preserve">Table 1</w:t>
      </w:r>
      <w:r>
        <w:t xml:space="preserve">, and the participant flow in</w:t>
      </w:r>
      <w:r>
        <w:t xml:space="preserve"> </w:t>
      </w:r>
      <w:r>
        <w:rPr>
          <w:b/>
          <w:bCs/>
        </w:rPr>
        <w:t xml:space="preserve">Figure 1</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Sample characteristics by requested subspecialty.**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7"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p>
        </w:tc>
        <w:tc>
          <w:tcPr>
            <w:gridSpan w:val="9"/>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Requested subspecialty</w:t>
            </w:r>
          </w:p>
        </w:tc>
      </w:tr>
      <w:tr>
        <w:trPr>
          <w:trHeight w:val="784"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731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General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501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Facial Plastics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78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Pediatrics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45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Otology/neurotology</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32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Head and Neck Cancer</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27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Rhinology</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19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Sleep</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16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4"/>
                <w:szCs w:val="14"/>
                <w:color w:val="000000"/>
              </w:rPr>
              <w:t xml:space="preserve">Laryngology</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13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p>
        </w:tc>
      </w:tr>
      <w:tr>
        <w:trPr>
          <w:trHeight w:val="617"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Appointment offered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Offered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436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292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47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34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14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15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14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11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9 (69%)</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Not offered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295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209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31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11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18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12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5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5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 (31%)</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Business-day wait, if offered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14 (5,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14 (5,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12 (5,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26 (6,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22 (5,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11 (4,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16 (9,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15 (2,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32 (13, 41)</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Rurality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367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197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57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37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24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23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14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11 (85%)</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364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304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21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8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8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5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12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 (15%)</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ENT per 100,000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4.7 (3.2,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4.4 (2.9,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4.8 (3.5,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5.9 (4.0,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5.7 (3.6,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6.2 (4.6,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7.5 (3.9,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2.7 (1.9,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4.9 (3.4, 5.8)</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Medicaid fee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0.74 (0.64,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0.76 (0.66,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0.69 (0.64,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0.67 (0.64,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0.76 (0.67,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0.69 (0.63,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0.69 (0.64,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0.74 (0.64,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0.76 (0.68, 0.76)</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Social Vulnerability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0.48 (0.36,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0.49 (0.37,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0.44 (0.27,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0.52 (0.37,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0.45 (0.38, 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0.37 (0.29, 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0.56 (0.29,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0.55 (0.44, 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0.42 (0.27, 0.61)</w:t>
            </w:r>
          </w:p>
        </w:tc>
      </w:tr>
      <w:tr>
        <w:trPr>
          <w:trHeight w:val="619"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Dual-eligible fraction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0.16 (0.12, 0.21)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0.15 (0.12, 0.20)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0.18 (0.13, 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0.17 (0.15, 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0.14 (0.11, 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0.16 (0.15, 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0.18 (0.14, 0.24)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0.16 (0.12, 0.22)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0.19 (0.16, 0.22)</w:t>
            </w:r>
          </w:p>
        </w:tc>
      </w:tr>
      <w:tr>
        <w:trPr>
          <w:trHeight w:val="360" w:hRule="auto"/>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4"/>
                <w:szCs w:val="14"/>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n (%); Median (Q1, Q3)</w:t>
            </w:r>
          </w:p>
        </w:tc>
      </w:tr>
    </w:tbl>
    <w:bookmarkEnd w:id="28"/>
    <w:bookmarkStart w:id="29" w:name="access-to-appointments"/>
    <w:p>
      <w:pPr>
        <w:pStyle w:val="Heading3"/>
      </w:pPr>
      <w:r>
        <w:t xml:space="preserve">Access to appointments</w:t>
      </w:r>
    </w:p>
    <w:p>
      <w:pPr>
        <w:pStyle w:val="FirstParagraph"/>
      </w:pPr>
      <w:r>
        <w:t xml:space="preserve">The requested subspecialty was the dominant determinant of whether an appointment was offered. Relative to general otolaryngology, pediatric otolaryngology had over twice the odds of an offer (OR 2.29 (95% CI 1.09–4.80; p = 0.028)), while otology/neurotology trended lower (OR 0.58 (95% CI 0.27–1.25; p = 0.167)). No geographic covariate was associated with access: county ENT supply (OR 0.96 (95% CI 0.81–1.13; p = 0.617) per SD), the Medicaid fee index (OR 0.90 (95% CI 0.76–1.06; p = 0.191)), social vulnerability (OR 0.93 (95% CI 0.78–1.11; p = 0.425)), and dual-eligibility (OR 0.98 (95% CI 0.82–1.17; p = 0.816)) were all null (</w:t>
      </w:r>
      <w:r>
        <w:rPr>
          <w:b/>
          <w:bCs/>
        </w:rPr>
        <w:t xml:space="preserve">Figure 2</w:t>
      </w:r>
      <w:r>
        <w:t xml:space="preserve">).</w:t>
      </w:r>
    </w:p>
    <w:bookmarkEnd w:id="29"/>
    <w:bookmarkStart w:id="30" w:name="timeliness-of-appointments"/>
    <w:p>
      <w:pPr>
        <w:pStyle w:val="Heading3"/>
      </w:pPr>
      <w:r>
        <w:t xml:space="preserve">Timeliness of appointments</w:t>
      </w:r>
    </w:p>
    <w:p>
      <w:pPr>
        <w:pStyle w:val="FirstParagraph"/>
      </w:pPr>
      <w:r>
        <w:t xml:space="preserve">Among offering offices, waits again varied by subspecialty and not geography. Relative to general otolaryngology, waits were longer for laryngology (IRR 2.24 (95% CI 1.13–4.41; p = 0.020)) and pediatric otolaryngology (IRR 1.62 (95% CI 1.11–2.38; p = 0.013)). Anchored to the roughly two-week median wait for general otolaryngology (14 business days), these rate ratios correspond to a substantially longer typical wait—on the order of an additional two to three weeks for laryngology and about one to one-and-a-half weeks for pediatric otolaryngology—consistent with the observed subspecialty medians (Table S3). No geographic covariate was associated with wait time (</w:t>
      </w:r>
      <w:r>
        <w:rPr>
          <w:b/>
          <w:bCs/>
        </w:rPr>
        <w:t xml:space="preserve">Figure 2</w:t>
      </w:r>
      <w:r>
        <w:t xml:space="preserve">;</w:t>
      </w:r>
      <w:r>
        <w:t xml:space="preserve"> </w:t>
      </w:r>
      <w:r>
        <w:rPr>
          <w:b/>
          <w:bCs/>
        </w:rPr>
        <w:t xml:space="preserve">Table 2</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2a. Access model (odds ratios). Subspecialty reference: general otolaryngology; rurality reference: urban.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61"/>
        <w:gridCol w:w="2025"/>
        <w:gridCol w:w="961"/>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Facial plastic surgery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 (0.59–1.69)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Head and neck oncology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0.82 (0.36–1.90)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0.650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Laryngology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1.80 (0.51–6.32)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0.357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Otology/neurotology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0.58 (0.27–1.25)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0.167</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Pediatric otolaryngology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2.29 (1.09–4.80)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0.028</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Rhinology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2.21 (0.75–6.50)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0.151</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Sleep medicine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1.71 (0.56–5.21)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0.344</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Otolaryngologist density (per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0.96 (0.81–1.13)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0.617</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Medicaid fee index (per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0.90 (0.76–1.06)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0.191</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Social Vulnerability Index (per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0.93 (0.78–1.11)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0.425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Dual-eligible share (per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0.98 (0.82–1.17)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0.816</w:t>
            </w:r>
          </w:p>
        </w:tc>
      </w:tr>
      <w:tr>
        <w:trPr>
          <w:trHeight w:val="61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 (vs urban)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1.04 (0.73–1.49)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0.830</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2b. Timeliness model (incidence rate ratios). Subspecialty reference: general otolaryngology; rurality reference: urban.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61"/>
        <w:gridCol w:w="2025"/>
        <w:gridCol w:w="961"/>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IRR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Facial plastic surgery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1.06 (0.74–1.52)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0.743</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Head and neck oncology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1.29 (0.74–2.26)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0.369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Laryngology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2.24 (1.13–4.41)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Otology/neurotology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1.31 (0.72–2.41)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0.377</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Pediatric otolaryngology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1.62 (1.11–2.38)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0.013</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Rhinology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1.56 (0.90–2.68)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0.110</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Sleep medicine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1.21 (0.64–2.30)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0.551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Otolaryngologist density (per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0.94 (0.82–1.08)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0.391</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Medicaid fee index (per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0.94 (0.83–1.06)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0.318</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Social Vulnerability Index (per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0.96 (0.85–1.08)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0.489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Dual-eligible share (per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 (0.87–1.12)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0.832</w:t>
            </w:r>
          </w:p>
        </w:tc>
      </w:tr>
      <w:tr>
        <w:trPr>
          <w:trHeight w:val="61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 (vs urban)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1.19 (0.92–1.53)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0.191</w:t>
            </w:r>
          </w:p>
        </w:tc>
      </w:tr>
    </w:tbl>
    <w:bookmarkEnd w:id="30"/>
    <w:bookmarkStart w:id="31" w:name="secondary-access-measures"/>
    <w:p>
      <w:pPr>
        <w:pStyle w:val="Heading3"/>
      </w:pPr>
      <w:r>
        <w:t xml:space="preserve">Secondary access measures</w:t>
      </w:r>
    </w:p>
    <w:p>
      <w:pPr>
        <w:pStyle w:val="FirstParagraph"/>
      </w:pPr>
      <w:r>
        <w:t xml:space="preserve">Beyond the two modeled outcomes, the call log captured intermediate steps of the access pathway (</w:t>
      </w:r>
      <w:r>
        <w:rPr>
          <w:b/>
          <w:bCs/>
        </w:rPr>
        <w:t xml:space="preserve">Table S10</w:t>
      </w:r>
      <w:r>
        <w:t xml:space="preserve">,</w:t>
      </w:r>
      <w:r>
        <w:t xml:space="preserve"> </w:t>
      </w:r>
      <w:r>
        <w:rPr>
          <w:b/>
          <w:bCs/>
        </w:rPr>
        <w:t xml:space="preserve">Figure S7</w:t>
      </w:r>
      <w:r>
        <w:t xml:space="preserve">). Of the 731 analytic calls, a live office was reached in 569 (78%); the practice was accepting new patients in 432 (59%); and an appointment was offered in 436 (60%). Critically, only 370 calls (51%) yielded an appointment</w:t>
      </w:r>
      <w:r>
        <w:t xml:space="preserve"> </w:t>
      </w:r>
      <w:r>
        <w:rPr>
          <w:b/>
          <w:bCs/>
        </w:rPr>
        <w:t xml:space="preserve">with the specific board-certified otolaryngologist requested</w:t>
      </w:r>
      <w:r>
        <w:t xml:space="preserve">: among the 436 offers, 58 (13%) were with a different physician and 9 with an advanced practice provider only. Two front-desk barriers stood out: 25 practices stated they do not see the presented complaint despite the sampled physician’s matched subspecialty, and among practices not accepting new patients the most common documented reasons were that the physician had retired or left (81) or an unspecified closure (104)—a signal that provider directories overstate the reachable workforce.</w:t>
      </w:r>
    </w:p>
    <w:bookmarkEnd w:id="31"/>
    <w:bookmarkStart w:id="32" w:name="robustness-and-missing-data"/>
    <w:p>
      <w:pPr>
        <w:pStyle w:val="Heading3"/>
      </w:pPr>
      <w:r>
        <w:t xml:space="preserve">Robustness and missing data</w:t>
      </w:r>
    </w:p>
    <w:p>
      <w:pPr>
        <w:pStyle w:val="FirstParagraph"/>
      </w:pPr>
      <w:r>
        <w:t xml:space="preserve">Market-level clustering was modest: the core-based statistical area random intercept accounted for a latent intraclass correlation of 0.043 in the access model (CBSA variance 0.26 on the log scale in the timeliness model), indicating that most variation in access and timeliness lay within rather than between markets. Under Tukey-adjusted pairwise comparison no subspecialty pair reached significance, and the subspecialty effect did not vary by rurality or supply (interaction likelihood-ratio tests, both non-significant). In a metropolitan sensitivity model, greater hospital-market concentration was associated with a borderline increase in wait time (HHI IRR 1.20 per SD; p = 0.058). Call incompleteness was unrelated to practice geography, supporting a missing-at-random mechanism with respect to location (Supplement). The main findings were stable across two sensitivity analyses (</w:t>
      </w:r>
      <w:r>
        <w:rPr>
          <w:b/>
          <w:bCs/>
        </w:rPr>
        <w:t xml:space="preserve">Table S8</w:t>
      </w:r>
      <w:r>
        <w:t xml:space="preserve">). Under a three-level rurality specification (urban, RUCA 1–3; suburban, 4–6; rural, 7–10), no urban-to-rural gradient emerged—neither suburban (wait IRR 1.15) nor the sparse rural stratum (IRR 1.29) differed significantly from urban—while the subspecialty effects were unchanged. A complete-case analysis without imputation (n = 412 recorded waits) likewise reproduced the longer waits for laryngology (IRR 2.51) and pediatric otolaryngology (IRR 1.52) and the null rural–urban contrast (IRR 1.14).</w:t>
      </w:r>
    </w:p>
    <w:bookmarkEnd w:id="32"/>
    <w:bookmarkEnd w:id="33"/>
    <w:bookmarkStart w:id="34" w:name="discussion"/>
    <w:p>
      <w:pPr>
        <w:pStyle w:val="Heading2"/>
      </w:pPr>
      <w:r>
        <w:t xml:space="preserve">Discussion</w:t>
      </w:r>
    </w:p>
    <w:p>
      <w:pPr>
        <w:pStyle w:val="FirstParagraph"/>
      </w:pPr>
      <w:r>
        <w:t xml:space="preserve">In this national simulated-patient study of otolaryngology access, the requested subspecialty was the dominant determinant of both whether a new-patient appointment was offered and how long the patient waited, whereas none of the measured contextual factors—county physician supply, Medicaid fee generosity, social vulnerability, dual-eligibility, or rurality—was associated with either outcome.</w:t>
      </w:r>
    </w:p>
    <w:p>
      <w:pPr>
        <w:pStyle w:val="BodyText"/>
      </w:pPr>
      <w:r>
        <w:t xml:space="preserve">Three observations follow. First,</w:t>
      </w:r>
      <w:r>
        <w:t xml:space="preserve"> </w:t>
      </w:r>
      <w:r>
        <w:rPr>
          <w:b/>
          <w:bCs/>
        </w:rPr>
        <w:t xml:space="preserve">who the patient asks for matters more than the local environment in which they ask.</w:t>
      </w:r>
      <w:r>
        <w:t xml:space="preserve"> </w:t>
      </w:r>
      <w:r>
        <w:t xml:space="preserve">After adjustment, subspecialty effects were substantial—pediatric otolaryngology carried more than twice the odds of an appointment offer—while the contextual covariates clustered tightly around the null. This suggests that, among the practices reachable in this sample, the decision to accept a new patient is governed more by practice-level factors tied to the clinical request than by the socioeconomic or supply characteristics of the surrounding area. This parallels an emerging pattern in other access studies, in which disparities track the</w:t>
      </w:r>
      <w:r>
        <w:t xml:space="preserve"> </w:t>
      </w:r>
      <w:r>
        <w:rPr>
          <w:i/>
          <w:iCs/>
        </w:rPr>
        <w:t xml:space="preserve">type of practice</w:t>
      </w:r>
      <w:r>
        <w:t xml:space="preserve"> </w:t>
      </w:r>
      <w:r>
        <w:t xml:space="preserve">a patient reaches rather than whether that practice is urban or rural: rural populations may face barriers less because they are rural than because they are more likely to reach practices with different acceptance behavior. Framed this way, the relevant unit for intervention is the practice and the clinical request, not the community.</w:t>
      </w:r>
    </w:p>
    <w:p>
      <w:pPr>
        <w:pStyle w:val="BodyText"/>
      </w:pPr>
      <w:r>
        <w:t xml:space="preserve">Second,</w:t>
      </w:r>
      <w:r>
        <w:t xml:space="preserve"> </w:t>
      </w:r>
      <w:r>
        <w:rPr>
          <w:b/>
          <w:bCs/>
        </w:rPr>
        <w:t xml:space="preserve">availability and timeliness are distinct dimensions that can diverge.</w:t>
      </w:r>
      <w:r>
        <w:t xml:space="preserve"> </w:t>
      </w:r>
      <w:r>
        <w:t xml:space="preserve">Pediatric otolaryngology was among the</w:t>
      </w:r>
      <w:r>
        <w:t xml:space="preserve"> </w:t>
      </w:r>
      <w:r>
        <w:rPr>
          <w:i/>
          <w:iCs/>
        </w:rPr>
        <w:t xml:space="preserve">easiest</w:t>
      </w:r>
      <w:r>
        <w:t xml:space="preserve"> </w:t>
      </w:r>
      <w:r>
        <w:t xml:space="preserve">subspecialties to reach yet carried one of the</w:t>
      </w:r>
      <w:r>
        <w:t xml:space="preserve"> </w:t>
      </w:r>
      <w:r>
        <w:rPr>
          <w:i/>
          <w:iCs/>
        </w:rPr>
        <w:t xml:space="preserve">longest</w:t>
      </w:r>
      <w:r>
        <w:t xml:space="preserve"> </w:t>
      </w:r>
      <w:r>
        <w:t xml:space="preserve">waits once an appointment was secured, and laryngology showed the longest waits of all. A patient-centered account of access must report both dimensions: a subspecialty that</w:t>
      </w:r>
      <w:r>
        <w:t xml:space="preserve"> </w:t>
      </w:r>
      <w:r>
        <w:t xml:space="preserve">“opens the door”</w:t>
      </w:r>
      <w:r>
        <w:t xml:space="preserve"> </w:t>
      </w:r>
      <w:r>
        <w:t xml:space="preserve">quickly may still leave the patient waiting weeks, and an intervention aimed at one dimension will not necessarily improve the other.</w:t>
      </w:r>
    </w:p>
    <w:p>
      <w:pPr>
        <w:pStyle w:val="BodyText"/>
      </w:pPr>
      <w:r>
        <w:t xml:space="preserve">Third,</w:t>
      </w:r>
      <w:r>
        <w:t xml:space="preserve"> </w:t>
      </w:r>
      <w:r>
        <w:rPr>
          <w:b/>
          <w:bCs/>
        </w:rPr>
        <w:t xml:space="preserve">the null contextual findings are informative rather than merely negative.</w:t>
      </w:r>
      <w:r>
        <w:t xml:space="preserve"> </w:t>
      </w:r>
      <w:r>
        <w:t xml:space="preserve">They argue against a simple supply-gradient model in which access improves smoothly with local otolaryngologist density or payer generosity. Several explanations are compatible with this pattern: practices may operate similarly across diverse local contexts; the relevant barriers may act at the level of the individual practice—scheduling policy, subspecialty scope—rather than the community; or the study may be underpowered for modest contextual gradients, particularly in the sparse rural stratum. Distinguishing the</w:t>
      </w:r>
      <w:r>
        <w:t xml:space="preserve"> </w:t>
      </w:r>
      <w:r>
        <w:rPr>
          <w:i/>
          <w:iCs/>
        </w:rPr>
        <w:t xml:space="preserve">contextual gradient</w:t>
      </w:r>
      <w:r>
        <w:t xml:space="preserve"> </w:t>
      </w:r>
      <w:r>
        <w:t xml:space="preserve">examined here from the geographic</w:t>
      </w:r>
      <w:r>
        <w:t xml:space="preserve"> </w:t>
      </w:r>
      <w:r>
        <w:rPr>
          <w:i/>
          <w:iCs/>
        </w:rPr>
        <w:t xml:space="preserve">reach</w:t>
      </w:r>
      <w:r>
        <w:t xml:space="preserve"> </w:t>
      </w:r>
      <w:r>
        <w:t xml:space="preserve">of care—the travel burden a patient must overcome to arrive at a practice at all—is the subject of a companion geospatial analysis.</w:t>
      </w:r>
    </w:p>
    <w:p>
      <w:pPr>
        <w:pStyle w:val="BodyText"/>
      </w:pPr>
      <w:r>
        <w:t xml:space="preserve">These findings carry practical implications. Subspecialty-specific bottlenecks—prolonged waits for laryngology and pediatric otolaryngology—are concrete targets for referral triage, capacity planning, and telehealth, independent of where the patient lives. That contextual factors did not predict access is reassuring against one form of disparity but does not exclude others not measured here, including patient insurance type, which this phase did not vary.</w:t>
      </w:r>
    </w:p>
    <w:p>
      <w:pPr>
        <w:pStyle w:val="BodyText"/>
      </w:pPr>
      <w:r>
        <w:rPr>
          <w:b/>
          <w:bCs/>
        </w:rPr>
        <w:t xml:space="preserve">Strengths and limitations.</w:t>
      </w:r>
      <w:r>
        <w:t xml:space="preserve"> </w:t>
      </w:r>
      <w:r>
        <w:t xml:space="preserve">A central strength is the simulated-patient design itself: because offices were unaware of being observed, responses were insulated from the social-desirability and observation (Hawthorne) bias that affects surveys of practices aware they are being studied, yielding a more faithful measure of the experience a real new patient would encounter</w:t>
      </w:r>
      <w:hyperlink w:anchor="ref-rankin2022">
        <w:r>
          <w:rPr>
            <w:rStyle w:val="Hyperlink"/>
            <w:vertAlign w:val="superscript"/>
          </w:rPr>
          <w:t xml:space="preserve">4</w:t>
        </w:r>
      </w:hyperlink>
      <w:r>
        <w:t xml:space="preserve">. The realized sample achieved the pre-specified, near-optimal urban/rural balance (approximately 50/50 under the RUCA 1–3 vs 4–10 dichotomy) and exceeded the planned call budget. One appointment with an implausible date—a wait exceeding two years attributable to a data-entry error in the appointment year—was excluded from the timeliness analysis. Even so, the study was modestly underpowered for its primary rural-versus-urban timeliness contrast: the pre-specified target was a minimum detectable gap of about six business days, whereas the realized sample (426 recorded waits, reflecting an appointment-offer rate near three-fifths) supports detection of roughly a ten-day gap at 90% power and provides about 70% power for the originally anticipated eight-day gap. Reaching the six-day target would require on the order of 130 additional calls (approximately 1,090 total) at 80% power, or 490 additional calls (approximately 1,450 total) at 90% power. The observed rural–urban difference was small (about two business days) and non-significant. Each physician was contacted once, precluding within-physician inference; each call captured the response of a single office representative, whose account may not reflect the practice’s full scheduling behavior; contextual covariates were linked at the ZIP-code or county level and thus approximate a practice’s true environment; patient insurance was held constant (not varied) in this phase; and appointment availability reflects a single point in time.</w:t>
      </w:r>
    </w:p>
    <w:p>
      <w:pPr>
        <w:pStyle w:val="BodyText"/>
      </w:pPr>
      <w:r>
        <w:rPr>
          <w:b/>
          <w:bCs/>
        </w:rPr>
        <w:t xml:space="preserve">Future directions.</w:t>
      </w:r>
      <w:r>
        <w:t xml:space="preserve"> </w:t>
      </w:r>
      <w:r>
        <w:t xml:space="preserve">Several extensions follow directly from this design. First, because insurance was held constant, a natural next phase is to vary the payer (e.g., Medicaid vs commercial) within the same frame; a prior specialty-cancer mystery-caller study that likewise fixed insurance identified this as its principal next step</w:t>
      </w:r>
      <w:hyperlink w:anchor="ref-pollack2016">
        <w:r>
          <w:rPr>
            <w:rStyle w:val="Hyperlink"/>
            <w:vertAlign w:val="superscript"/>
          </w:rPr>
          <w:t xml:space="preserve">22</w:t>
        </w:r>
      </w:hyperlink>
      <w:r>
        <w:t xml:space="preserve">. Second, most otolaryngology care is physician-referred, so our patient-initiated calls capture a self-referral ceiling; a complementary arm in which the caller poses as a referring primary-care office would better reflect the true specialist-referral pathway</w:t>
      </w:r>
      <w:hyperlink w:anchor="ref-pollack2016">
        <w:r>
          <w:rPr>
            <w:rStyle w:val="Hyperlink"/>
            <w:vertAlign w:val="superscript"/>
          </w:rPr>
          <w:t xml:space="preserve">22</w:t>
        </w:r>
      </w:hyperlink>
      <w:r>
        <w:t xml:space="preserve">. Third, our secondary measures hint at an information-quality dimension we did not fully model—whether front-desk statements (that a practice does not see a complaint, or that a physician is unavailable) are accurate—which simulated-patient studies increasingly treat as a distinct outcome,</w:t>
      </w:r>
      <w:r>
        <w:t xml:space="preserve"> </w:t>
      </w:r>
      <w:r>
        <w:t xml:space="preserve">“available ≠ accessible ≠ accurately communicated”</w:t>
      </w:r>
      <w:hyperlink w:anchor="ref-wilkinson2018">
        <w:r>
          <w:rPr>
            <w:rStyle w:val="Hyperlink"/>
            <w:vertAlign w:val="superscript"/>
          </w:rPr>
          <w:t xml:space="preserve">23</w:t>
        </w:r>
      </w:hyperlink>
      <w:r>
        <w:t xml:space="preserve">. Comparing publicly listed directory or website information against phone-obtained access would quantify this gap directly</w:t>
      </w:r>
      <w:hyperlink w:anchor="ref-hodson2025">
        <w:r>
          <w:rPr>
            <w:rStyle w:val="Hyperlink"/>
            <w:vertAlign w:val="superscript"/>
          </w:rPr>
          <w:t xml:space="preserve">9</w:t>
        </w:r>
      </w:hyperlink>
      <w:r>
        <w:t xml:space="preserve">, and the frequency of</w:t>
      </w:r>
      <w:r>
        <w:t xml:space="preserve"> </w:t>
      </w:r>
      <w:r>
        <w:t xml:space="preserve">“retired or left”</w:t>
      </w:r>
      <w:r>
        <w:t xml:space="preserve"> </w:t>
      </w:r>
      <w:r>
        <w:t xml:space="preserve">responses in our data suggests provider directories materially overstate the reachable workforce. Finally, whether schedulers appropriately triage clinically urgent presentations—head-and-neck cancer red flags, for instance—is an access-quality axis beyond the offer and wait we measured</w:t>
      </w:r>
      <w:hyperlink w:anchor="ref-moriarty2003">
        <w:r>
          <w:rPr>
            <w:rStyle w:val="Hyperlink"/>
            <w:vertAlign w:val="superscript"/>
          </w:rPr>
          <w:t xml:space="preserve">8</w:t>
        </w:r>
      </w:hyperlink>
      <w:r>
        <w:t xml:space="preserve">.</w:t>
      </w:r>
    </w:p>
    <w:p>
      <w:pPr>
        <w:pStyle w:val="BodyText"/>
      </w:pPr>
      <w:r>
        <w:rPr>
          <w:b/>
          <w:bCs/>
        </w:rPr>
        <w:t xml:space="preserve">Conclusion.</w:t>
      </w:r>
      <w:r>
        <w:t xml:space="preserve"> </w:t>
      </w:r>
      <w:r>
        <w:t xml:space="preserve">In a national mystery-caller study, new-patient otolaryngology access was driven by the requested subspecialty rather than by local supply, insurance generosity, or social vulnerability, and the availability and timeliness of care diverged by subspecialty. Efforts to improve access should account for subspecialty-specific bottlenecks and should measure both whether patients can get in and how long they wait.</w:t>
      </w:r>
    </w:p>
    <w:bookmarkEnd w:id="34"/>
    <w:bookmarkStart w:id="35" w:name="author-contributions"/>
    <w:p>
      <w:pPr>
        <w:pStyle w:val="Heading2"/>
      </w:pPr>
      <w:r>
        <w:t xml:space="preserve">Author contributions</w:t>
      </w:r>
    </w:p>
    <w:p>
      <w:pPr>
        <w:pStyle w:val="FirstParagraph"/>
      </w:pPr>
      <w:r>
        <w:rPr>
          <w:b/>
          <w:bCs/>
        </w:rPr>
        <w:t xml:space="preserve">Grace E. Falk:</w:t>
      </w:r>
      <w:r>
        <w:t xml:space="preserve"> </w:t>
      </w:r>
      <w:r>
        <w:t xml:space="preserve">Investigation, Data curation, Project administration, Writing – original draft.</w:t>
      </w:r>
      <w:r>
        <w:t xml:space="preserve"> </w:t>
      </w:r>
      <w:r>
        <w:rPr>
          <w:b/>
          <w:bCs/>
        </w:rPr>
        <w:t xml:space="preserve">Eric J. Dobratz:</w:t>
      </w:r>
      <w:r>
        <w:t xml:space="preserve"> </w:t>
      </w:r>
      <w:r>
        <w:t xml:space="preserve">Conceptualization, Supervision, Resources, Project administration, Writing – review &amp; editing.</w:t>
      </w:r>
      <w:r>
        <w:t xml:space="preserve"> </w:t>
      </w:r>
      <w:r>
        <w:rPr>
          <w:b/>
          <w:bCs/>
        </w:rPr>
        <w:t xml:space="preserve">[Research-assistant co-authors: Chin, Deol, Gregg, Kim, Roesch, Walsh]:</w:t>
      </w:r>
      <w:r>
        <w:t xml:space="preserve"> </w:t>
      </w:r>
      <w:r>
        <w:t xml:space="preserve">Investigation (mystery-caller data collection).</w:t>
      </w:r>
      <w:r>
        <w:t xml:space="preserve"> </w:t>
      </w:r>
      <w:r>
        <w:rPr>
          <w:b/>
          <w:bCs/>
        </w:rPr>
        <w:t xml:space="preserve">Tyler M. Muffly:</w:t>
      </w:r>
      <w:r>
        <w:t xml:space="preserve"> </w:t>
      </w:r>
      <w:r>
        <w:t xml:space="preserve">Conceptualization, Methodology, Formal analysis, Software, Writing – review &amp; editing.</w:t>
      </w:r>
      <w:r>
        <w:t xml:space="preserve"> </w:t>
      </w:r>
      <w:r>
        <w:rPr>
          <w:b/>
          <w:bCs/>
        </w:rPr>
        <w:t xml:space="preserve">Cristina Cabrera-Muffly:</w:t>
      </w:r>
      <w:r>
        <w:t xml:space="preserve"> </w:t>
      </w:r>
      <w:r>
        <w:t xml:space="preserve">Conceptualization, Supervision, Writing – review &amp; editing. All authors reviewed and approved the final manuscript and accept responsibility for its submission.</w:t>
      </w:r>
    </w:p>
    <w:bookmarkEnd w:id="35"/>
    <w:bookmarkStart w:id="36"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6"/>
    <w:bookmarkStart w:id="37" w:name="conflicts-of-interest"/>
    <w:p>
      <w:pPr>
        <w:pStyle w:val="Heading2"/>
      </w:pPr>
      <w:r>
        <w:t xml:space="preserve">Conflicts of interest</w:t>
      </w:r>
    </w:p>
    <w:p>
      <w:pPr>
        <w:pStyle w:val="FirstParagraph"/>
      </w:pPr>
      <w:r>
        <w:t xml:space="preserve">The authors declare no competing interests.</w:t>
      </w:r>
    </w:p>
    <w:bookmarkEnd w:id="37"/>
    <w:bookmarkStart w:id="38" w:name="data-availability"/>
    <w:p>
      <w:pPr>
        <w:pStyle w:val="Heading2"/>
      </w:pPr>
      <w:r>
        <w:t xml:space="preserve">Data availability</w:t>
      </w:r>
    </w:p>
    <w:p>
      <w:pPr>
        <w:pStyle w:val="FirstParagraph"/>
      </w:pPr>
      <w:r>
        <w:t xml:space="preserve">De-identified data supporting the findings of this study, together with a data dictionary, are available from the corresponding author on reasonable request and under a data-sharing agreement, beginning 6 months and ending 36 months after publication. Analysis code is available at</w:t>
      </w:r>
      <w:r>
        <w:t xml:space="preserve"> </w:t>
      </w:r>
      <w:r>
        <w:rPr>
          <w:i/>
          <w:iCs/>
        </w:rPr>
        <w:t xml:space="preserve">[repository URL]</w:t>
      </w:r>
      <w:r>
        <w:t xml:space="preserve">.</w:t>
      </w:r>
    </w:p>
    <w:bookmarkEnd w:id="38"/>
    <w:bookmarkStart w:id="45" w:name="figures"/>
    <w:p>
      <w:pPr>
        <w:pStyle w:val="Heading2"/>
      </w:pPr>
      <w:r>
        <w:t xml:space="preserve">Figures</w:t>
      </w:r>
    </w:p>
    <w:p>
      <w:pPr>
        <w:pStyle w:val="FirstParagraph"/>
      </w:pPr>
      <w:r>
        <w:rPr>
          <w:b/>
          <w:bCs/>
        </w:rPr>
        <w:t xml:space="preserve">Figure 1. Participant flow (STROBE).</w:t>
      </w:r>
      <w:r>
        <w:t xml:space="preserve"> </w:t>
      </w:r>
      <w:r>
        <w:rPr>
          <w:i/>
          <w:iCs/>
        </w:rPr>
        <w:t xml:space="preserve">Generated with</w:t>
      </w:r>
      <w:r>
        <w:rPr>
          <w:i/>
          <w:iCs/>
        </w:rPr>
        <w:t xml:space="preserve"> </w:t>
      </w:r>
      <w:r>
        <w:rPr>
          <w:rStyle w:val="VerbatimChar"/>
          <w:i/>
          <w:iCs/>
        </w:rPr>
        <w:t xml:space="preserve">mysterycall_strobe_flow()</w:t>
      </w:r>
      <w:r>
        <w:rPr>
          <w:i/>
          <w:iCs/>
        </w:rPr>
        <w:t xml:space="preserve">.</w:t>
      </w:r>
    </w:p>
    <w:p>
      <w:pPr>
        <w:pStyle w:val="CaptionedFigure"/>
      </w:pPr>
      <w:r>
        <w:drawing>
          <wp:inline>
            <wp:extent cx="5334000" cy="6519333"/>
            <wp:effectExtent b="0" l="0" r="0" t="0"/>
            <wp:docPr descr="Figure 1. Participant flow from calls placed to the two analytic samples." title="" id="40" name="Picture"/>
            <a:graphic>
              <a:graphicData uri="http://schemas.openxmlformats.org/drawingml/2006/picture">
                <pic:pic>
                  <pic:nvPicPr>
                    <pic:cNvPr descr="model_output/strobe_flow_mysterycall.png" id="41" name="Picture"/>
                    <pic:cNvPicPr>
                      <a:picLocks noChangeArrowheads="1" noChangeAspect="1"/>
                    </pic:cNvPicPr>
                  </pic:nvPicPr>
                  <pic:blipFill>
                    <a:blip r:embed="rId39"/>
                    <a:stretch>
                      <a:fillRect/>
                    </a:stretch>
                  </pic:blipFill>
                  <pic:spPr bwMode="auto">
                    <a:xfrm>
                      <a:off x="0" y="0"/>
                      <a:ext cx="5334000" cy="6519333"/>
                    </a:xfrm>
                    <a:prstGeom prst="rect">
                      <a:avLst/>
                    </a:prstGeom>
                    <a:noFill/>
                    <a:ln w="9525">
                      <a:noFill/>
                      <a:headEnd/>
                      <a:tailEnd/>
                    </a:ln>
                  </pic:spPr>
                </pic:pic>
              </a:graphicData>
            </a:graphic>
          </wp:inline>
        </w:drawing>
      </w:r>
    </w:p>
    <w:p>
      <w:pPr>
        <w:pStyle w:val="ImageCaption"/>
      </w:pPr>
      <w:r>
        <w:t xml:space="preserve">Figure 1. Participant flow from calls placed to the two analytic samples.</w:t>
      </w:r>
    </w:p>
    <w:p>
      <w:pPr>
        <w:pStyle w:val="BodyText"/>
      </w:pPr>
      <w:r>
        <w:rPr>
          <w:b/>
          <w:bCs/>
        </w:rPr>
        <w:t xml:space="preserve">Figure 2. Access (odds ratios) and timeliness (incidence rate ratios).</w:t>
      </w:r>
    </w:p>
    <w:p>
      <w:pPr>
        <w:pStyle w:val="CaptionedFigure"/>
      </w:pPr>
      <w:r>
        <w:drawing>
          <wp:inline>
            <wp:extent cx="5334000" cy="3200400"/>
            <wp:effectExtent b="0" l="0" r="0" t="0"/>
            <wp:docPr descr="Figure 2. Adjusted access and timeliness effects." title="" id="43" name="Picture"/>
            <a:graphic>
              <a:graphicData uri="http://schemas.openxmlformats.org/drawingml/2006/picture">
                <pic:pic>
                  <pic:nvPicPr>
                    <pic:cNvPr descr="model_output/forest_access_timeliness.png" id="44" name="Picture"/>
                    <pic:cNvPicPr>
                      <a:picLocks noChangeArrowheads="1" noChangeAspect="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2. Adjusted access and timeliness effects.</w:t>
      </w:r>
    </w:p>
    <w:p>
      <w:r>
        <w:br w:type="page"/>
      </w:r>
    </w:p>
    <w:bookmarkEnd w:id="45"/>
    <w:bookmarkStart w:id="70" w:name="supplementary-material"/>
    <w:p>
      <w:pPr>
        <w:pStyle w:val="Heading1"/>
      </w:pPr>
      <w:r>
        <w:t xml:space="preserve">Supplementary Material</w:t>
      </w:r>
    </w:p>
    <w:bookmarkStart w:id="46" w:name="supplementary-tables"/>
    <w:p>
      <w:pPr>
        <w:pStyle w:val="Heading2"/>
      </w:pPr>
      <w:r>
        <w:t xml:space="preserve">Supplementary Tables</w:t>
      </w:r>
    </w:p>
    <w:p>
      <w:pPr>
        <w:pStyle w:val="TableCaption"/>
      </w:pPr>
      <w:r>
        <w:t xml:space="preserve">Table S1. Full access model (all odds ratios).</w:t>
      </w:r>
    </w:p>
    <w:tbl>
      <w:tblPr>
        <w:tblStyle w:val="Table"/>
        <w:tblW w:type="pct" w:w="5000"/>
        <w:tblLayout w:type="fixed"/>
        <w:tblLook w:firstRow="1" w:lastRow="0" w:firstColumn="0" w:lastColumn="0" w:noHBand="0" w:noVBand="0" w:val="0020"/>
        <w:tblCaption w:val="Table S1. Full access model (all odds ratios)."/>
      </w:tblPr>
      <w:tblGrid>
        <w:gridCol w:w="2768"/>
        <w:gridCol w:w="692"/>
        <w:gridCol w:w="461"/>
        <w:gridCol w:w="615"/>
        <w:gridCol w:w="615"/>
        <w:gridCol w:w="922"/>
        <w:gridCol w:w="461"/>
        <w:gridCol w:w="692"/>
        <w:gridCol w:w="692"/>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se</w:t>
            </w:r>
          </w:p>
        </w:tc>
        <w:tc>
          <w:tcPr/>
          <w:p>
            <w:pPr>
              <w:pStyle w:val="Compact"/>
              <w:jc w:val="right"/>
            </w:pPr>
            <w:r>
              <w:t xml:space="preserve">z_value</w:t>
            </w:r>
          </w:p>
        </w:tc>
        <w:tc>
          <w:tcPr/>
          <w:p>
            <w:pPr>
              <w:pStyle w:val="Compact"/>
              <w:jc w:val="right"/>
            </w:pPr>
            <w:r>
              <w:t xml:space="preserve">p_value</w:t>
            </w:r>
          </w:p>
        </w:tc>
        <w:tc>
          <w:tcPr/>
          <w:p>
            <w:pPr>
              <w:pStyle w:val="Compact"/>
              <w:jc w:val="left"/>
            </w:pPr>
            <w:r>
              <w:t xml:space="preserve">p_value_fmt</w:t>
            </w:r>
          </w:p>
        </w:tc>
        <w:tc>
          <w:tcPr/>
          <w:p>
            <w:pPr>
              <w:pStyle w:val="Compact"/>
              <w:jc w:val="right"/>
            </w:pPr>
            <w:r>
              <w:t xml:space="preserve">or</w:t>
            </w:r>
          </w:p>
        </w:tc>
        <w:tc>
          <w:tcPr/>
          <w:p>
            <w:pPr>
              <w:pStyle w:val="Compact"/>
              <w:jc w:val="right"/>
            </w:pPr>
            <w:r>
              <w:t xml:space="preserve">ci_lower</w:t>
            </w:r>
          </w:p>
        </w:tc>
        <w:tc>
          <w:tcPr/>
          <w:p>
            <w:pPr>
              <w:pStyle w:val="Compact"/>
              <w:jc w:val="right"/>
            </w:pPr>
            <w:r>
              <w:t xml:space="preserve">ci_upper</w:t>
            </w:r>
          </w:p>
        </w:tc>
      </w:tr>
      <w:tr>
        <w:tc>
          <w:tcPr/>
          <w:p>
            <w:pPr>
              <w:pStyle w:val="Compact"/>
              <w:jc w:val="left"/>
            </w:pPr>
            <w:r>
              <w:t xml:space="preserve">Intercept</w:t>
            </w:r>
          </w:p>
        </w:tc>
        <w:tc>
          <w:tcPr/>
          <w:p>
            <w:pPr>
              <w:pStyle w:val="Compact"/>
              <w:jc w:val="right"/>
            </w:pPr>
            <w:r>
              <w:t xml:space="preserve">-0.238</w:t>
            </w:r>
          </w:p>
        </w:tc>
        <w:tc>
          <w:tcPr/>
          <w:p>
            <w:pPr>
              <w:pStyle w:val="Compact"/>
              <w:jc w:val="right"/>
            </w:pPr>
            <w:r>
              <w:t xml:space="preserve">0.191</w:t>
            </w:r>
          </w:p>
        </w:tc>
        <w:tc>
          <w:tcPr/>
          <w:p>
            <w:pPr>
              <w:pStyle w:val="Compact"/>
              <w:jc w:val="right"/>
            </w:pPr>
            <w:r>
              <w:t xml:space="preserve">-1.250</w:t>
            </w:r>
          </w:p>
        </w:tc>
        <w:tc>
          <w:tcPr/>
          <w:p>
            <w:pPr>
              <w:pStyle w:val="Compact"/>
              <w:jc w:val="right"/>
            </w:pPr>
            <w:r>
              <w:t xml:space="preserve">0.211</w:t>
            </w:r>
          </w:p>
        </w:tc>
        <w:tc>
          <w:tcPr/>
          <w:p>
            <w:pPr>
              <w:pStyle w:val="Compact"/>
              <w:jc w:val="left"/>
            </w:pPr>
            <w:r>
              <w:t xml:space="preserve">0.211</w:t>
            </w:r>
          </w:p>
        </w:tc>
        <w:tc>
          <w:tcPr/>
          <w:p>
            <w:pPr>
              <w:pStyle w:val="Compact"/>
              <w:jc w:val="right"/>
            </w:pPr>
            <w:r>
              <w:t xml:space="preserve">0.788</w:t>
            </w:r>
          </w:p>
        </w:tc>
        <w:tc>
          <w:tcPr/>
          <w:p>
            <w:pPr>
              <w:pStyle w:val="Compact"/>
              <w:jc w:val="right"/>
            </w:pPr>
            <w:r>
              <w:t xml:space="preserve">0.542</w:t>
            </w:r>
          </w:p>
        </w:tc>
        <w:tc>
          <w:tcPr/>
          <w:p>
            <w:pPr>
              <w:pStyle w:val="Compact"/>
              <w:jc w:val="right"/>
            </w:pPr>
            <w:r>
              <w:t xml:space="preserve">1.145</w:t>
            </w:r>
          </w:p>
        </w:tc>
      </w:tr>
      <w:tr>
        <w:tc>
          <w:tcPr/>
          <w:p>
            <w:pPr>
              <w:pStyle w:val="Compact"/>
              <w:jc w:val="left"/>
            </w:pPr>
            <w:r>
              <w:t xml:space="preserve">Facial plastic surgery</w:t>
            </w:r>
          </w:p>
        </w:tc>
        <w:tc>
          <w:tcPr/>
          <w:p>
            <w:pPr>
              <w:pStyle w:val="Compact"/>
              <w:jc w:val="right"/>
            </w:pPr>
            <w:r>
              <w:t xml:space="preserve">0.002</w:t>
            </w:r>
          </w:p>
        </w:tc>
        <w:tc>
          <w:tcPr/>
          <w:p>
            <w:pPr>
              <w:pStyle w:val="Compact"/>
              <w:jc w:val="right"/>
            </w:pPr>
            <w:r>
              <w:t xml:space="preserve">0.268</w:t>
            </w:r>
          </w:p>
        </w:tc>
        <w:tc>
          <w:tcPr/>
          <w:p>
            <w:pPr>
              <w:pStyle w:val="Compact"/>
              <w:jc w:val="right"/>
            </w:pPr>
            <w:r>
              <w:t xml:space="preserve">0.007</w:t>
            </w:r>
          </w:p>
        </w:tc>
        <w:tc>
          <w:tcPr/>
          <w:p>
            <w:pPr>
              <w:pStyle w:val="Compact"/>
              <w:jc w:val="right"/>
            </w:pPr>
            <w:r>
              <w:t xml:space="preserve">0.995</w:t>
            </w:r>
          </w:p>
        </w:tc>
        <w:tc>
          <w:tcPr/>
          <w:p>
            <w:pPr>
              <w:pStyle w:val="Compact"/>
              <w:jc w:val="left"/>
            </w:pPr>
            <w:r>
              <w:t xml:space="preserve">0.995</w:t>
            </w:r>
          </w:p>
        </w:tc>
        <w:tc>
          <w:tcPr/>
          <w:p>
            <w:pPr>
              <w:pStyle w:val="Compact"/>
              <w:jc w:val="right"/>
            </w:pPr>
            <w:r>
              <w:t xml:space="preserve">1.002</w:t>
            </w:r>
          </w:p>
        </w:tc>
        <w:tc>
          <w:tcPr/>
          <w:p>
            <w:pPr>
              <w:pStyle w:val="Compact"/>
              <w:jc w:val="right"/>
            </w:pPr>
            <w:r>
              <w:t xml:space="preserve">0.593</w:t>
            </w:r>
          </w:p>
        </w:tc>
        <w:tc>
          <w:tcPr/>
          <w:p>
            <w:pPr>
              <w:pStyle w:val="Compact"/>
              <w:jc w:val="right"/>
            </w:pPr>
            <w:r>
              <w:t xml:space="preserve">1.693</w:t>
            </w:r>
          </w:p>
        </w:tc>
      </w:tr>
      <w:tr>
        <w:tc>
          <w:tcPr/>
          <w:p>
            <w:pPr>
              <w:pStyle w:val="Compact"/>
              <w:jc w:val="left"/>
            </w:pPr>
            <w:r>
              <w:t xml:space="preserve">Head and neck oncology</w:t>
            </w:r>
          </w:p>
        </w:tc>
        <w:tc>
          <w:tcPr/>
          <w:p>
            <w:pPr>
              <w:pStyle w:val="Compact"/>
              <w:jc w:val="right"/>
            </w:pPr>
            <w:r>
              <w:t xml:space="preserve">-0.194</w:t>
            </w:r>
          </w:p>
        </w:tc>
        <w:tc>
          <w:tcPr/>
          <w:p>
            <w:pPr>
              <w:pStyle w:val="Compact"/>
              <w:jc w:val="right"/>
            </w:pPr>
            <w:r>
              <w:t xml:space="preserve">0.427</w:t>
            </w:r>
          </w:p>
        </w:tc>
        <w:tc>
          <w:tcPr/>
          <w:p>
            <w:pPr>
              <w:pStyle w:val="Compact"/>
              <w:jc w:val="right"/>
            </w:pPr>
            <w:r>
              <w:t xml:space="preserve">-0.454</w:t>
            </w:r>
          </w:p>
        </w:tc>
        <w:tc>
          <w:tcPr/>
          <w:p>
            <w:pPr>
              <w:pStyle w:val="Compact"/>
              <w:jc w:val="right"/>
            </w:pPr>
            <w:r>
              <w:t xml:space="preserve">0.650</w:t>
            </w:r>
          </w:p>
        </w:tc>
        <w:tc>
          <w:tcPr/>
          <w:p>
            <w:pPr>
              <w:pStyle w:val="Compact"/>
              <w:jc w:val="left"/>
            </w:pPr>
            <w:r>
              <w:t xml:space="preserve">0.650</w:t>
            </w:r>
          </w:p>
        </w:tc>
        <w:tc>
          <w:tcPr/>
          <w:p>
            <w:pPr>
              <w:pStyle w:val="Compact"/>
              <w:jc w:val="right"/>
            </w:pPr>
            <w:r>
              <w:t xml:space="preserve">0.824</w:t>
            </w:r>
          </w:p>
        </w:tc>
        <w:tc>
          <w:tcPr/>
          <w:p>
            <w:pPr>
              <w:pStyle w:val="Compact"/>
              <w:jc w:val="right"/>
            </w:pPr>
            <w:r>
              <w:t xml:space="preserve">0.357</w:t>
            </w:r>
          </w:p>
        </w:tc>
        <w:tc>
          <w:tcPr/>
          <w:p>
            <w:pPr>
              <w:pStyle w:val="Compact"/>
              <w:jc w:val="right"/>
            </w:pPr>
            <w:r>
              <w:t xml:space="preserve">1.902</w:t>
            </w:r>
          </w:p>
        </w:tc>
      </w:tr>
      <w:tr>
        <w:tc>
          <w:tcPr/>
          <w:p>
            <w:pPr>
              <w:pStyle w:val="Compact"/>
              <w:jc w:val="left"/>
            </w:pPr>
            <w:r>
              <w:t xml:space="preserve">Laryngology</w:t>
            </w:r>
          </w:p>
        </w:tc>
        <w:tc>
          <w:tcPr/>
          <w:p>
            <w:pPr>
              <w:pStyle w:val="Compact"/>
              <w:jc w:val="right"/>
            </w:pPr>
            <w:r>
              <w:t xml:space="preserve">0.590</w:t>
            </w:r>
          </w:p>
        </w:tc>
        <w:tc>
          <w:tcPr/>
          <w:p>
            <w:pPr>
              <w:pStyle w:val="Compact"/>
              <w:jc w:val="right"/>
            </w:pPr>
            <w:r>
              <w:t xml:space="preserve">0.640</w:t>
            </w:r>
          </w:p>
        </w:tc>
        <w:tc>
          <w:tcPr/>
          <w:p>
            <w:pPr>
              <w:pStyle w:val="Compact"/>
              <w:jc w:val="right"/>
            </w:pPr>
            <w:r>
              <w:t xml:space="preserve">0.921</w:t>
            </w:r>
          </w:p>
        </w:tc>
        <w:tc>
          <w:tcPr/>
          <w:p>
            <w:pPr>
              <w:pStyle w:val="Compact"/>
              <w:jc w:val="right"/>
            </w:pPr>
            <w:r>
              <w:t xml:space="preserve">0.357</w:t>
            </w:r>
          </w:p>
        </w:tc>
        <w:tc>
          <w:tcPr/>
          <w:p>
            <w:pPr>
              <w:pStyle w:val="Compact"/>
              <w:jc w:val="left"/>
            </w:pPr>
            <w:r>
              <w:t xml:space="preserve">0.357</w:t>
            </w:r>
          </w:p>
        </w:tc>
        <w:tc>
          <w:tcPr/>
          <w:p>
            <w:pPr>
              <w:pStyle w:val="Compact"/>
              <w:jc w:val="right"/>
            </w:pPr>
            <w:r>
              <w:t xml:space="preserve">1.803</w:t>
            </w:r>
          </w:p>
        </w:tc>
        <w:tc>
          <w:tcPr/>
          <w:p>
            <w:pPr>
              <w:pStyle w:val="Compact"/>
              <w:jc w:val="right"/>
            </w:pPr>
            <w:r>
              <w:t xml:space="preserve">0.514</w:t>
            </w:r>
          </w:p>
        </w:tc>
        <w:tc>
          <w:tcPr/>
          <w:p>
            <w:pPr>
              <w:pStyle w:val="Compact"/>
              <w:jc w:val="right"/>
            </w:pPr>
            <w:r>
              <w:t xml:space="preserve">6.322</w:t>
            </w:r>
          </w:p>
        </w:tc>
      </w:tr>
      <w:tr>
        <w:tc>
          <w:tcPr/>
          <w:p>
            <w:pPr>
              <w:pStyle w:val="Compact"/>
              <w:jc w:val="left"/>
            </w:pPr>
            <w:r>
              <w:t xml:space="preserve">Otology/neurotology</w:t>
            </w:r>
          </w:p>
        </w:tc>
        <w:tc>
          <w:tcPr/>
          <w:p>
            <w:pPr>
              <w:pStyle w:val="Compact"/>
              <w:jc w:val="right"/>
            </w:pPr>
            <w:r>
              <w:t xml:space="preserve">-0.544</w:t>
            </w:r>
          </w:p>
        </w:tc>
        <w:tc>
          <w:tcPr/>
          <w:p>
            <w:pPr>
              <w:pStyle w:val="Compact"/>
              <w:jc w:val="right"/>
            </w:pPr>
            <w:r>
              <w:t xml:space="preserve">0.393</w:t>
            </w:r>
          </w:p>
        </w:tc>
        <w:tc>
          <w:tcPr/>
          <w:p>
            <w:pPr>
              <w:pStyle w:val="Compact"/>
              <w:jc w:val="right"/>
            </w:pPr>
            <w:r>
              <w:t xml:space="preserve">-1.383</w:t>
            </w:r>
          </w:p>
        </w:tc>
        <w:tc>
          <w:tcPr/>
          <w:p>
            <w:pPr>
              <w:pStyle w:val="Compact"/>
              <w:jc w:val="right"/>
            </w:pPr>
            <w:r>
              <w:t xml:space="preserve">0.167</w:t>
            </w:r>
          </w:p>
        </w:tc>
        <w:tc>
          <w:tcPr/>
          <w:p>
            <w:pPr>
              <w:pStyle w:val="Compact"/>
              <w:jc w:val="left"/>
            </w:pPr>
            <w:r>
              <w:t xml:space="preserve">0.167</w:t>
            </w:r>
          </w:p>
        </w:tc>
        <w:tc>
          <w:tcPr/>
          <w:p>
            <w:pPr>
              <w:pStyle w:val="Compact"/>
              <w:jc w:val="right"/>
            </w:pPr>
            <w:r>
              <w:t xml:space="preserve">0.580</w:t>
            </w:r>
          </w:p>
        </w:tc>
        <w:tc>
          <w:tcPr/>
          <w:p>
            <w:pPr>
              <w:pStyle w:val="Compact"/>
              <w:jc w:val="right"/>
            </w:pPr>
            <w:r>
              <w:t xml:space="preserve">0.268</w:t>
            </w:r>
          </w:p>
        </w:tc>
        <w:tc>
          <w:tcPr/>
          <w:p>
            <w:pPr>
              <w:pStyle w:val="Compact"/>
              <w:jc w:val="right"/>
            </w:pPr>
            <w:r>
              <w:t xml:space="preserve">1.255</w:t>
            </w:r>
          </w:p>
        </w:tc>
      </w:tr>
      <w:tr>
        <w:tc>
          <w:tcPr/>
          <w:p>
            <w:pPr>
              <w:pStyle w:val="Compact"/>
              <w:jc w:val="left"/>
            </w:pPr>
            <w:r>
              <w:t xml:space="preserve">Pediatric otolaryngology</w:t>
            </w:r>
          </w:p>
        </w:tc>
        <w:tc>
          <w:tcPr/>
          <w:p>
            <w:pPr>
              <w:pStyle w:val="Compact"/>
              <w:jc w:val="right"/>
            </w:pPr>
            <w:r>
              <w:t xml:space="preserve">0.829</w:t>
            </w:r>
          </w:p>
        </w:tc>
        <w:tc>
          <w:tcPr/>
          <w:p>
            <w:pPr>
              <w:pStyle w:val="Compact"/>
              <w:jc w:val="right"/>
            </w:pPr>
            <w:r>
              <w:t xml:space="preserve">0.378</w:t>
            </w:r>
          </w:p>
        </w:tc>
        <w:tc>
          <w:tcPr/>
          <w:p>
            <w:pPr>
              <w:pStyle w:val="Compact"/>
              <w:jc w:val="right"/>
            </w:pPr>
            <w:r>
              <w:t xml:space="preserve">2.194</w:t>
            </w:r>
          </w:p>
        </w:tc>
        <w:tc>
          <w:tcPr/>
          <w:p>
            <w:pPr>
              <w:pStyle w:val="Compact"/>
              <w:jc w:val="right"/>
            </w:pPr>
            <w:r>
              <w:t xml:space="preserve">0.028</w:t>
            </w:r>
          </w:p>
        </w:tc>
        <w:tc>
          <w:tcPr/>
          <w:p>
            <w:pPr>
              <w:pStyle w:val="Compact"/>
              <w:jc w:val="left"/>
            </w:pPr>
            <w:r>
              <w:t xml:space="preserve">0.028</w:t>
            </w:r>
          </w:p>
        </w:tc>
        <w:tc>
          <w:tcPr/>
          <w:p>
            <w:pPr>
              <w:pStyle w:val="Compact"/>
              <w:jc w:val="right"/>
            </w:pPr>
            <w:r>
              <w:t xml:space="preserve">2.291</w:t>
            </w:r>
          </w:p>
        </w:tc>
        <w:tc>
          <w:tcPr/>
          <w:p>
            <w:pPr>
              <w:pStyle w:val="Compact"/>
              <w:jc w:val="right"/>
            </w:pPr>
            <w:r>
              <w:t xml:space="preserve">1.093</w:t>
            </w:r>
          </w:p>
        </w:tc>
        <w:tc>
          <w:tcPr/>
          <w:p>
            <w:pPr>
              <w:pStyle w:val="Compact"/>
              <w:jc w:val="right"/>
            </w:pPr>
            <w:r>
              <w:t xml:space="preserve">4.804</w:t>
            </w:r>
          </w:p>
        </w:tc>
      </w:tr>
      <w:tr>
        <w:tc>
          <w:tcPr/>
          <w:p>
            <w:pPr>
              <w:pStyle w:val="Compact"/>
              <w:jc w:val="left"/>
            </w:pPr>
            <w:r>
              <w:t xml:space="preserve">Rhinology</w:t>
            </w:r>
          </w:p>
        </w:tc>
        <w:tc>
          <w:tcPr/>
          <w:p>
            <w:pPr>
              <w:pStyle w:val="Compact"/>
              <w:jc w:val="right"/>
            </w:pPr>
            <w:r>
              <w:t xml:space="preserve">0.792</w:t>
            </w:r>
          </w:p>
        </w:tc>
        <w:tc>
          <w:tcPr/>
          <w:p>
            <w:pPr>
              <w:pStyle w:val="Compact"/>
              <w:jc w:val="right"/>
            </w:pPr>
            <w:r>
              <w:t xml:space="preserve">0.551</w:t>
            </w:r>
          </w:p>
        </w:tc>
        <w:tc>
          <w:tcPr/>
          <w:p>
            <w:pPr>
              <w:pStyle w:val="Compact"/>
              <w:jc w:val="right"/>
            </w:pPr>
            <w:r>
              <w:t xml:space="preserve">1.437</w:t>
            </w:r>
          </w:p>
        </w:tc>
        <w:tc>
          <w:tcPr/>
          <w:p>
            <w:pPr>
              <w:pStyle w:val="Compact"/>
              <w:jc w:val="right"/>
            </w:pPr>
            <w:r>
              <w:t xml:space="preserve">0.151</w:t>
            </w:r>
          </w:p>
        </w:tc>
        <w:tc>
          <w:tcPr/>
          <w:p>
            <w:pPr>
              <w:pStyle w:val="Compact"/>
              <w:jc w:val="left"/>
            </w:pPr>
            <w:r>
              <w:t xml:space="preserve">0.151</w:t>
            </w:r>
          </w:p>
        </w:tc>
        <w:tc>
          <w:tcPr/>
          <w:p>
            <w:pPr>
              <w:pStyle w:val="Compact"/>
              <w:jc w:val="right"/>
            </w:pPr>
            <w:r>
              <w:t xml:space="preserve">2.208</w:t>
            </w:r>
          </w:p>
        </w:tc>
        <w:tc>
          <w:tcPr/>
          <w:p>
            <w:pPr>
              <w:pStyle w:val="Compact"/>
              <w:jc w:val="right"/>
            </w:pPr>
            <w:r>
              <w:t xml:space="preserve">0.750</w:t>
            </w:r>
          </w:p>
        </w:tc>
        <w:tc>
          <w:tcPr/>
          <w:p>
            <w:pPr>
              <w:pStyle w:val="Compact"/>
              <w:jc w:val="right"/>
            </w:pPr>
            <w:r>
              <w:t xml:space="preserve">6.503</w:t>
            </w:r>
          </w:p>
        </w:tc>
      </w:tr>
      <w:tr>
        <w:tc>
          <w:tcPr/>
          <w:p>
            <w:pPr>
              <w:pStyle w:val="Compact"/>
              <w:jc w:val="left"/>
            </w:pPr>
            <w:r>
              <w:t xml:space="preserve">Sleep medicine</w:t>
            </w:r>
          </w:p>
        </w:tc>
        <w:tc>
          <w:tcPr/>
          <w:p>
            <w:pPr>
              <w:pStyle w:val="Compact"/>
              <w:jc w:val="right"/>
            </w:pPr>
            <w:r>
              <w:t xml:space="preserve">0.538</w:t>
            </w:r>
          </w:p>
        </w:tc>
        <w:tc>
          <w:tcPr/>
          <w:p>
            <w:pPr>
              <w:pStyle w:val="Compact"/>
              <w:jc w:val="right"/>
            </w:pPr>
            <w:r>
              <w:t xml:space="preserve">0.568</w:t>
            </w:r>
          </w:p>
        </w:tc>
        <w:tc>
          <w:tcPr/>
          <w:p>
            <w:pPr>
              <w:pStyle w:val="Compact"/>
              <w:jc w:val="right"/>
            </w:pPr>
            <w:r>
              <w:t xml:space="preserve">0.947</w:t>
            </w:r>
          </w:p>
        </w:tc>
        <w:tc>
          <w:tcPr/>
          <w:p>
            <w:pPr>
              <w:pStyle w:val="Compact"/>
              <w:jc w:val="right"/>
            </w:pPr>
            <w:r>
              <w:t xml:space="preserve">0.344</w:t>
            </w:r>
          </w:p>
        </w:tc>
        <w:tc>
          <w:tcPr/>
          <w:p>
            <w:pPr>
              <w:pStyle w:val="Compact"/>
              <w:jc w:val="left"/>
            </w:pPr>
            <w:r>
              <w:t xml:space="preserve">0.344</w:t>
            </w:r>
          </w:p>
        </w:tc>
        <w:tc>
          <w:tcPr/>
          <w:p>
            <w:pPr>
              <w:pStyle w:val="Compact"/>
              <w:jc w:val="right"/>
            </w:pPr>
            <w:r>
              <w:t xml:space="preserve">1.712</w:t>
            </w:r>
          </w:p>
        </w:tc>
        <w:tc>
          <w:tcPr/>
          <w:p>
            <w:pPr>
              <w:pStyle w:val="Compact"/>
              <w:jc w:val="right"/>
            </w:pPr>
            <w:r>
              <w:t xml:space="preserve">0.562</w:t>
            </w:r>
          </w:p>
        </w:tc>
        <w:tc>
          <w:tcPr/>
          <w:p>
            <w:pPr>
              <w:pStyle w:val="Compact"/>
              <w:jc w:val="right"/>
            </w:pPr>
            <w:r>
              <w:t xml:space="preserve">5.210</w:t>
            </w:r>
          </w:p>
        </w:tc>
      </w:tr>
      <w:tr>
        <w:tc>
          <w:tcPr/>
          <w:p>
            <w:pPr>
              <w:pStyle w:val="Compact"/>
              <w:jc w:val="left"/>
            </w:pPr>
            <w:r>
              <w:t xml:space="preserve">Otolaryngologist density (per SD)</w:t>
            </w:r>
          </w:p>
        </w:tc>
        <w:tc>
          <w:tcPr/>
          <w:p>
            <w:pPr>
              <w:pStyle w:val="Compact"/>
              <w:jc w:val="right"/>
            </w:pPr>
            <w:r>
              <w:t xml:space="preserve">-0.042</w:t>
            </w:r>
          </w:p>
        </w:tc>
        <w:tc>
          <w:tcPr/>
          <w:p>
            <w:pPr>
              <w:pStyle w:val="Compact"/>
              <w:jc w:val="right"/>
            </w:pPr>
            <w:r>
              <w:t xml:space="preserve">0.084</w:t>
            </w:r>
          </w:p>
        </w:tc>
        <w:tc>
          <w:tcPr/>
          <w:p>
            <w:pPr>
              <w:pStyle w:val="Compact"/>
              <w:jc w:val="right"/>
            </w:pPr>
            <w:r>
              <w:t xml:space="preserve">-0.500</w:t>
            </w:r>
          </w:p>
        </w:tc>
        <w:tc>
          <w:tcPr/>
          <w:p>
            <w:pPr>
              <w:pStyle w:val="Compact"/>
              <w:jc w:val="right"/>
            </w:pPr>
            <w:r>
              <w:t xml:space="preserve">0.617</w:t>
            </w:r>
          </w:p>
        </w:tc>
        <w:tc>
          <w:tcPr/>
          <w:p>
            <w:pPr>
              <w:pStyle w:val="Compact"/>
              <w:jc w:val="left"/>
            </w:pPr>
            <w:r>
              <w:t xml:space="preserve">0.617</w:t>
            </w:r>
          </w:p>
        </w:tc>
        <w:tc>
          <w:tcPr/>
          <w:p>
            <w:pPr>
              <w:pStyle w:val="Compact"/>
              <w:jc w:val="right"/>
            </w:pPr>
            <w:r>
              <w:t xml:space="preserve">0.959</w:t>
            </w:r>
          </w:p>
        </w:tc>
        <w:tc>
          <w:tcPr/>
          <w:p>
            <w:pPr>
              <w:pStyle w:val="Compact"/>
              <w:jc w:val="right"/>
            </w:pPr>
            <w:r>
              <w:t xml:space="preserve">0.813</w:t>
            </w:r>
          </w:p>
        </w:tc>
        <w:tc>
          <w:tcPr/>
          <w:p>
            <w:pPr>
              <w:pStyle w:val="Compact"/>
              <w:jc w:val="right"/>
            </w:pPr>
            <w:r>
              <w:t xml:space="preserve">1.131</w:t>
            </w:r>
          </w:p>
        </w:tc>
      </w:tr>
      <w:tr>
        <w:tc>
          <w:tcPr/>
          <w:p>
            <w:pPr>
              <w:pStyle w:val="Compact"/>
              <w:jc w:val="left"/>
            </w:pPr>
            <w:r>
              <w:t xml:space="preserve">Medicaid fee index (per SD)</w:t>
            </w:r>
          </w:p>
        </w:tc>
        <w:tc>
          <w:tcPr/>
          <w:p>
            <w:pPr>
              <w:pStyle w:val="Compact"/>
              <w:jc w:val="right"/>
            </w:pPr>
            <w:r>
              <w:t xml:space="preserve">-0.109</w:t>
            </w:r>
          </w:p>
        </w:tc>
        <w:tc>
          <w:tcPr/>
          <w:p>
            <w:pPr>
              <w:pStyle w:val="Compact"/>
              <w:jc w:val="right"/>
            </w:pPr>
            <w:r>
              <w:t xml:space="preserve">0.083</w:t>
            </w:r>
          </w:p>
        </w:tc>
        <w:tc>
          <w:tcPr/>
          <w:p>
            <w:pPr>
              <w:pStyle w:val="Compact"/>
              <w:jc w:val="right"/>
            </w:pPr>
            <w:r>
              <w:t xml:space="preserve">-1.308</w:t>
            </w:r>
          </w:p>
        </w:tc>
        <w:tc>
          <w:tcPr/>
          <w:p>
            <w:pPr>
              <w:pStyle w:val="Compact"/>
              <w:jc w:val="right"/>
            </w:pPr>
            <w:r>
              <w:t xml:space="preserve">0.191</w:t>
            </w:r>
          </w:p>
        </w:tc>
        <w:tc>
          <w:tcPr/>
          <w:p>
            <w:pPr>
              <w:pStyle w:val="Compact"/>
              <w:jc w:val="left"/>
            </w:pPr>
            <w:r>
              <w:t xml:space="preserve">0.191</w:t>
            </w:r>
          </w:p>
        </w:tc>
        <w:tc>
          <w:tcPr/>
          <w:p>
            <w:pPr>
              <w:pStyle w:val="Compact"/>
              <w:jc w:val="right"/>
            </w:pPr>
            <w:r>
              <w:t xml:space="preserve">0.897</w:t>
            </w:r>
          </w:p>
        </w:tc>
        <w:tc>
          <w:tcPr/>
          <w:p>
            <w:pPr>
              <w:pStyle w:val="Compact"/>
              <w:jc w:val="right"/>
            </w:pPr>
            <w:r>
              <w:t xml:space="preserve">0.762</w:t>
            </w:r>
          </w:p>
        </w:tc>
        <w:tc>
          <w:tcPr/>
          <w:p>
            <w:pPr>
              <w:pStyle w:val="Compact"/>
              <w:jc w:val="right"/>
            </w:pPr>
            <w:r>
              <w:t xml:space="preserve">1.056</w:t>
            </w:r>
          </w:p>
        </w:tc>
      </w:tr>
      <w:tr>
        <w:tc>
          <w:tcPr/>
          <w:p>
            <w:pPr>
              <w:pStyle w:val="Compact"/>
              <w:jc w:val="left"/>
            </w:pPr>
            <w:r>
              <w:t xml:space="preserve">Social Vulnerability Index (per SD)</w:t>
            </w:r>
          </w:p>
        </w:tc>
        <w:tc>
          <w:tcPr/>
          <w:p>
            <w:pPr>
              <w:pStyle w:val="Compact"/>
              <w:jc w:val="right"/>
            </w:pPr>
            <w:r>
              <w:t xml:space="preserve">-0.071</w:t>
            </w:r>
          </w:p>
        </w:tc>
        <w:tc>
          <w:tcPr/>
          <w:p>
            <w:pPr>
              <w:pStyle w:val="Compact"/>
              <w:jc w:val="right"/>
            </w:pPr>
            <w:r>
              <w:t xml:space="preserve">0.089</w:t>
            </w:r>
          </w:p>
        </w:tc>
        <w:tc>
          <w:tcPr/>
          <w:p>
            <w:pPr>
              <w:pStyle w:val="Compact"/>
              <w:jc w:val="right"/>
            </w:pPr>
            <w:r>
              <w:t xml:space="preserve">-0.797</w:t>
            </w:r>
          </w:p>
        </w:tc>
        <w:tc>
          <w:tcPr/>
          <w:p>
            <w:pPr>
              <w:pStyle w:val="Compact"/>
              <w:jc w:val="right"/>
            </w:pPr>
            <w:r>
              <w:t xml:space="preserve">0.425</w:t>
            </w:r>
          </w:p>
        </w:tc>
        <w:tc>
          <w:tcPr/>
          <w:p>
            <w:pPr>
              <w:pStyle w:val="Compact"/>
              <w:jc w:val="left"/>
            </w:pPr>
            <w:r>
              <w:t xml:space="preserve">0.425</w:t>
            </w:r>
          </w:p>
        </w:tc>
        <w:tc>
          <w:tcPr/>
          <w:p>
            <w:pPr>
              <w:pStyle w:val="Compact"/>
              <w:jc w:val="right"/>
            </w:pPr>
            <w:r>
              <w:t xml:space="preserve">0.931</w:t>
            </w:r>
          </w:p>
        </w:tc>
        <w:tc>
          <w:tcPr/>
          <w:p>
            <w:pPr>
              <w:pStyle w:val="Compact"/>
              <w:jc w:val="right"/>
            </w:pPr>
            <w:r>
              <w:t xml:space="preserve">0.782</w:t>
            </w:r>
          </w:p>
        </w:tc>
        <w:tc>
          <w:tcPr/>
          <w:p>
            <w:pPr>
              <w:pStyle w:val="Compact"/>
              <w:jc w:val="right"/>
            </w:pPr>
            <w:r>
              <w:t xml:space="preserve">1.110</w:t>
            </w:r>
          </w:p>
        </w:tc>
      </w:tr>
      <w:tr>
        <w:tc>
          <w:tcPr/>
          <w:p>
            <w:pPr>
              <w:pStyle w:val="Compact"/>
              <w:jc w:val="left"/>
            </w:pPr>
            <w:r>
              <w:t xml:space="preserve">Dual-eligible share (per SD)</w:t>
            </w:r>
          </w:p>
        </w:tc>
        <w:tc>
          <w:tcPr/>
          <w:p>
            <w:pPr>
              <w:pStyle w:val="Compact"/>
              <w:jc w:val="right"/>
            </w:pPr>
            <w:r>
              <w:t xml:space="preserve">-0.022</w:t>
            </w:r>
          </w:p>
        </w:tc>
        <w:tc>
          <w:tcPr/>
          <w:p>
            <w:pPr>
              <w:pStyle w:val="Compact"/>
              <w:jc w:val="right"/>
            </w:pPr>
            <w:r>
              <w:t xml:space="preserve">0.093</w:t>
            </w:r>
          </w:p>
        </w:tc>
        <w:tc>
          <w:tcPr/>
          <w:p>
            <w:pPr>
              <w:pStyle w:val="Compact"/>
              <w:jc w:val="right"/>
            </w:pPr>
            <w:r>
              <w:t xml:space="preserve">-0.233</w:t>
            </w:r>
          </w:p>
        </w:tc>
        <w:tc>
          <w:tcPr/>
          <w:p>
            <w:pPr>
              <w:pStyle w:val="Compact"/>
              <w:jc w:val="right"/>
            </w:pPr>
            <w:r>
              <w:t xml:space="preserve">0.816</w:t>
            </w:r>
          </w:p>
        </w:tc>
        <w:tc>
          <w:tcPr/>
          <w:p>
            <w:pPr>
              <w:pStyle w:val="Compact"/>
              <w:jc w:val="left"/>
            </w:pPr>
            <w:r>
              <w:t xml:space="preserve">0.816</w:t>
            </w:r>
          </w:p>
        </w:tc>
        <w:tc>
          <w:tcPr/>
          <w:p>
            <w:pPr>
              <w:pStyle w:val="Compact"/>
              <w:jc w:val="right"/>
            </w:pPr>
            <w:r>
              <w:t xml:space="preserve">0.979</w:t>
            </w:r>
          </w:p>
        </w:tc>
        <w:tc>
          <w:tcPr/>
          <w:p>
            <w:pPr>
              <w:pStyle w:val="Compact"/>
              <w:jc w:val="right"/>
            </w:pPr>
            <w:r>
              <w:t xml:space="preserve">0.815</w:t>
            </w:r>
          </w:p>
        </w:tc>
        <w:tc>
          <w:tcPr/>
          <w:p>
            <w:pPr>
              <w:pStyle w:val="Compact"/>
              <w:jc w:val="right"/>
            </w:pPr>
            <w:r>
              <w:t xml:space="preserve">1.175</w:t>
            </w:r>
          </w:p>
        </w:tc>
      </w:tr>
      <w:tr>
        <w:tc>
          <w:tcPr/>
          <w:p>
            <w:pPr>
              <w:pStyle w:val="Compact"/>
              <w:jc w:val="left"/>
            </w:pPr>
            <w:r>
              <w:t xml:space="preserve">Rural (vs urban)</w:t>
            </w:r>
          </w:p>
        </w:tc>
        <w:tc>
          <w:tcPr/>
          <w:p>
            <w:pPr>
              <w:pStyle w:val="Compact"/>
              <w:jc w:val="right"/>
            </w:pPr>
            <w:r>
              <w:t xml:space="preserve">0.039</w:t>
            </w:r>
          </w:p>
        </w:tc>
        <w:tc>
          <w:tcPr/>
          <w:p>
            <w:pPr>
              <w:pStyle w:val="Compact"/>
              <w:jc w:val="right"/>
            </w:pPr>
            <w:r>
              <w:t xml:space="preserve">0.183</w:t>
            </w:r>
          </w:p>
        </w:tc>
        <w:tc>
          <w:tcPr/>
          <w:p>
            <w:pPr>
              <w:pStyle w:val="Compact"/>
              <w:jc w:val="right"/>
            </w:pPr>
            <w:r>
              <w:t xml:space="preserve">0.214</w:t>
            </w:r>
          </w:p>
        </w:tc>
        <w:tc>
          <w:tcPr/>
          <w:p>
            <w:pPr>
              <w:pStyle w:val="Compact"/>
              <w:jc w:val="right"/>
            </w:pPr>
            <w:r>
              <w:t xml:space="preserve">0.830</w:t>
            </w:r>
          </w:p>
        </w:tc>
        <w:tc>
          <w:tcPr/>
          <w:p>
            <w:pPr>
              <w:pStyle w:val="Compact"/>
              <w:jc w:val="left"/>
            </w:pPr>
            <w:r>
              <w:t xml:space="preserve">0.830</w:t>
            </w:r>
          </w:p>
        </w:tc>
        <w:tc>
          <w:tcPr/>
          <w:p>
            <w:pPr>
              <w:pStyle w:val="Compact"/>
              <w:jc w:val="right"/>
            </w:pPr>
            <w:r>
              <w:t xml:space="preserve">1.040</w:t>
            </w:r>
          </w:p>
        </w:tc>
        <w:tc>
          <w:tcPr/>
          <w:p>
            <w:pPr>
              <w:pStyle w:val="Compact"/>
              <w:jc w:val="right"/>
            </w:pPr>
            <w:r>
              <w:t xml:space="preserve">0.726</w:t>
            </w:r>
          </w:p>
        </w:tc>
        <w:tc>
          <w:tcPr/>
          <w:p>
            <w:pPr>
              <w:pStyle w:val="Compact"/>
              <w:jc w:val="right"/>
            </w:pPr>
            <w:r>
              <w:t xml:space="preserve">1.490</w:t>
            </w:r>
          </w:p>
        </w:tc>
      </w:tr>
      <w:tr>
        <w:tc>
          <w:tcPr/>
          <w:p>
            <w:pPr>
              <w:pStyle w:val="Compact"/>
              <w:jc w:val="left"/>
            </w:pPr>
            <w:r>
              <w:t xml:space="preserve">Caller: Deol</w:t>
            </w:r>
          </w:p>
        </w:tc>
        <w:tc>
          <w:tcPr/>
          <w:p>
            <w:pPr>
              <w:pStyle w:val="Compact"/>
              <w:jc w:val="right"/>
            </w:pPr>
            <w:r>
              <w:t xml:space="preserve">0.812</w:t>
            </w:r>
          </w:p>
        </w:tc>
        <w:tc>
          <w:tcPr/>
          <w:p>
            <w:pPr>
              <w:pStyle w:val="Compact"/>
              <w:jc w:val="right"/>
            </w:pPr>
            <w:r>
              <w:t xml:space="preserve">0.255</w:t>
            </w:r>
          </w:p>
        </w:tc>
        <w:tc>
          <w:tcPr/>
          <w:p>
            <w:pPr>
              <w:pStyle w:val="Compact"/>
              <w:jc w:val="right"/>
            </w:pPr>
            <w:r>
              <w:t xml:space="preserve">3.190</w:t>
            </w:r>
          </w:p>
        </w:tc>
        <w:tc>
          <w:tcPr/>
          <w:p>
            <w:pPr>
              <w:pStyle w:val="Compact"/>
              <w:jc w:val="right"/>
            </w:pPr>
            <w:r>
              <w:t xml:space="preserve">0.001</w:t>
            </w:r>
          </w:p>
        </w:tc>
        <w:tc>
          <w:tcPr/>
          <w:p>
            <w:pPr>
              <w:pStyle w:val="Compact"/>
              <w:jc w:val="left"/>
            </w:pPr>
            <w:r>
              <w:t xml:space="preserve">0.001</w:t>
            </w:r>
          </w:p>
        </w:tc>
        <w:tc>
          <w:tcPr/>
          <w:p>
            <w:pPr>
              <w:pStyle w:val="Compact"/>
              <w:jc w:val="right"/>
            </w:pPr>
            <w:r>
              <w:t xml:space="preserve">2.253</w:t>
            </w:r>
          </w:p>
        </w:tc>
        <w:tc>
          <w:tcPr/>
          <w:p>
            <w:pPr>
              <w:pStyle w:val="Compact"/>
              <w:jc w:val="right"/>
            </w:pPr>
            <w:r>
              <w:t xml:space="preserve">1.368</w:t>
            </w:r>
          </w:p>
        </w:tc>
        <w:tc>
          <w:tcPr/>
          <w:p>
            <w:pPr>
              <w:pStyle w:val="Compact"/>
              <w:jc w:val="right"/>
            </w:pPr>
            <w:r>
              <w:t xml:space="preserve">3.711</w:t>
            </w:r>
          </w:p>
        </w:tc>
      </w:tr>
      <w:tr>
        <w:tc>
          <w:tcPr/>
          <w:p>
            <w:pPr>
              <w:pStyle w:val="Compact"/>
              <w:jc w:val="left"/>
            </w:pPr>
            <w:r>
              <w:t xml:space="preserve">Caller: Falk</w:t>
            </w:r>
          </w:p>
        </w:tc>
        <w:tc>
          <w:tcPr/>
          <w:p>
            <w:pPr>
              <w:pStyle w:val="Compact"/>
              <w:jc w:val="right"/>
            </w:pPr>
            <w:r>
              <w:t xml:space="preserve">0.632</w:t>
            </w:r>
          </w:p>
        </w:tc>
        <w:tc>
          <w:tcPr/>
          <w:p>
            <w:pPr>
              <w:pStyle w:val="Compact"/>
              <w:jc w:val="right"/>
            </w:pPr>
            <w:r>
              <w:t xml:space="preserve">0.289</w:t>
            </w:r>
          </w:p>
        </w:tc>
        <w:tc>
          <w:tcPr/>
          <w:p>
            <w:pPr>
              <w:pStyle w:val="Compact"/>
              <w:jc w:val="right"/>
            </w:pPr>
            <w:r>
              <w:t xml:space="preserve">2.190</w:t>
            </w:r>
          </w:p>
        </w:tc>
        <w:tc>
          <w:tcPr/>
          <w:p>
            <w:pPr>
              <w:pStyle w:val="Compact"/>
              <w:jc w:val="right"/>
            </w:pPr>
            <w:r>
              <w:t xml:space="preserve">0.029</w:t>
            </w:r>
          </w:p>
        </w:tc>
        <w:tc>
          <w:tcPr/>
          <w:p>
            <w:pPr>
              <w:pStyle w:val="Compact"/>
              <w:jc w:val="left"/>
            </w:pPr>
            <w:r>
              <w:t xml:space="preserve">0.029</w:t>
            </w:r>
          </w:p>
        </w:tc>
        <w:tc>
          <w:tcPr/>
          <w:p>
            <w:pPr>
              <w:pStyle w:val="Compact"/>
              <w:jc w:val="right"/>
            </w:pPr>
            <w:r>
              <w:t xml:space="preserve">1.882</w:t>
            </w:r>
          </w:p>
        </w:tc>
        <w:tc>
          <w:tcPr/>
          <w:p>
            <w:pPr>
              <w:pStyle w:val="Compact"/>
              <w:jc w:val="right"/>
            </w:pPr>
            <w:r>
              <w:t xml:space="preserve">1.069</w:t>
            </w:r>
          </w:p>
        </w:tc>
        <w:tc>
          <w:tcPr/>
          <w:p>
            <w:pPr>
              <w:pStyle w:val="Compact"/>
              <w:jc w:val="right"/>
            </w:pPr>
            <w:r>
              <w:t xml:space="preserve">3.314</w:t>
            </w:r>
          </w:p>
        </w:tc>
      </w:tr>
      <w:tr>
        <w:tc>
          <w:tcPr/>
          <w:p>
            <w:pPr>
              <w:pStyle w:val="Compact"/>
              <w:jc w:val="left"/>
            </w:pPr>
            <w:r>
              <w:t xml:space="preserve">Caller: Gregg</w:t>
            </w:r>
          </w:p>
        </w:tc>
        <w:tc>
          <w:tcPr/>
          <w:p>
            <w:pPr>
              <w:pStyle w:val="Compact"/>
              <w:jc w:val="right"/>
            </w:pPr>
            <w:r>
              <w:t xml:space="preserve">0.634</w:t>
            </w:r>
          </w:p>
        </w:tc>
        <w:tc>
          <w:tcPr/>
          <w:p>
            <w:pPr>
              <w:pStyle w:val="Compact"/>
              <w:jc w:val="right"/>
            </w:pPr>
            <w:r>
              <w:t xml:space="preserve">0.255</w:t>
            </w:r>
          </w:p>
        </w:tc>
        <w:tc>
          <w:tcPr/>
          <w:p>
            <w:pPr>
              <w:pStyle w:val="Compact"/>
              <w:jc w:val="right"/>
            </w:pPr>
            <w:r>
              <w:t xml:space="preserve">2.487</w:t>
            </w:r>
          </w:p>
        </w:tc>
        <w:tc>
          <w:tcPr/>
          <w:p>
            <w:pPr>
              <w:pStyle w:val="Compact"/>
              <w:jc w:val="right"/>
            </w:pPr>
            <w:r>
              <w:t xml:space="preserve">0.013</w:t>
            </w:r>
          </w:p>
        </w:tc>
        <w:tc>
          <w:tcPr/>
          <w:p>
            <w:pPr>
              <w:pStyle w:val="Compact"/>
              <w:jc w:val="left"/>
            </w:pPr>
            <w:r>
              <w:t xml:space="preserve">0.013</w:t>
            </w:r>
          </w:p>
        </w:tc>
        <w:tc>
          <w:tcPr/>
          <w:p>
            <w:pPr>
              <w:pStyle w:val="Compact"/>
              <w:jc w:val="right"/>
            </w:pPr>
            <w:r>
              <w:t xml:space="preserve">1.886</w:t>
            </w:r>
          </w:p>
        </w:tc>
        <w:tc>
          <w:tcPr/>
          <w:p>
            <w:pPr>
              <w:pStyle w:val="Compact"/>
              <w:jc w:val="right"/>
            </w:pPr>
            <w:r>
              <w:t xml:space="preserve">1.144</w:t>
            </w:r>
          </w:p>
        </w:tc>
        <w:tc>
          <w:tcPr/>
          <w:p>
            <w:pPr>
              <w:pStyle w:val="Compact"/>
              <w:jc w:val="right"/>
            </w:pPr>
            <w:r>
              <w:t xml:space="preserve">3.109</w:t>
            </w:r>
          </w:p>
        </w:tc>
      </w:tr>
      <w:tr>
        <w:tc>
          <w:tcPr/>
          <w:p>
            <w:pPr>
              <w:pStyle w:val="Compact"/>
              <w:jc w:val="left"/>
            </w:pPr>
            <w:r>
              <w:t xml:space="preserve">Caller: Kim</w:t>
            </w:r>
          </w:p>
        </w:tc>
        <w:tc>
          <w:tcPr/>
          <w:p>
            <w:pPr>
              <w:pStyle w:val="Compact"/>
              <w:jc w:val="right"/>
            </w:pPr>
            <w:r>
              <w:t xml:space="preserve">0.725</w:t>
            </w:r>
          </w:p>
        </w:tc>
        <w:tc>
          <w:tcPr/>
          <w:p>
            <w:pPr>
              <w:pStyle w:val="Compact"/>
              <w:jc w:val="right"/>
            </w:pPr>
            <w:r>
              <w:t xml:space="preserve">0.256</w:t>
            </w:r>
          </w:p>
        </w:tc>
        <w:tc>
          <w:tcPr/>
          <w:p>
            <w:pPr>
              <w:pStyle w:val="Compact"/>
              <w:jc w:val="right"/>
            </w:pPr>
            <w:r>
              <w:t xml:space="preserve">2.830</w:t>
            </w:r>
          </w:p>
        </w:tc>
        <w:tc>
          <w:tcPr/>
          <w:p>
            <w:pPr>
              <w:pStyle w:val="Compact"/>
              <w:jc w:val="right"/>
            </w:pPr>
            <w:r>
              <w:t xml:space="preserve">0.005</w:t>
            </w:r>
          </w:p>
        </w:tc>
        <w:tc>
          <w:tcPr/>
          <w:p>
            <w:pPr>
              <w:pStyle w:val="Compact"/>
              <w:jc w:val="left"/>
            </w:pPr>
            <w:r>
              <w:t xml:space="preserve">0.005</w:t>
            </w:r>
          </w:p>
        </w:tc>
        <w:tc>
          <w:tcPr/>
          <w:p>
            <w:pPr>
              <w:pStyle w:val="Compact"/>
              <w:jc w:val="right"/>
            </w:pPr>
            <w:r>
              <w:t xml:space="preserve">2.065</w:t>
            </w:r>
          </w:p>
        </w:tc>
        <w:tc>
          <w:tcPr/>
          <w:p>
            <w:pPr>
              <w:pStyle w:val="Compact"/>
              <w:jc w:val="right"/>
            </w:pPr>
            <w:r>
              <w:t xml:space="preserve">1.250</w:t>
            </w:r>
          </w:p>
        </w:tc>
        <w:tc>
          <w:tcPr/>
          <w:p>
            <w:pPr>
              <w:pStyle w:val="Compact"/>
              <w:jc w:val="right"/>
            </w:pPr>
            <w:r>
              <w:t xml:space="preserve">3.412</w:t>
            </w:r>
          </w:p>
        </w:tc>
      </w:tr>
      <w:tr>
        <w:tc>
          <w:tcPr/>
          <w:p>
            <w:pPr>
              <w:pStyle w:val="Compact"/>
              <w:jc w:val="left"/>
            </w:pPr>
            <w:r>
              <w:t xml:space="preserve">Caller: Other</w:t>
            </w:r>
          </w:p>
        </w:tc>
        <w:tc>
          <w:tcPr/>
          <w:p>
            <w:pPr>
              <w:pStyle w:val="Compact"/>
              <w:jc w:val="right"/>
            </w:pPr>
            <w:r>
              <w:t xml:space="preserve">0.271</w:t>
            </w:r>
          </w:p>
        </w:tc>
        <w:tc>
          <w:tcPr/>
          <w:p>
            <w:pPr>
              <w:pStyle w:val="Compact"/>
              <w:jc w:val="right"/>
            </w:pPr>
            <w:r>
              <w:t xml:space="preserve">0.595</w:t>
            </w:r>
          </w:p>
        </w:tc>
        <w:tc>
          <w:tcPr/>
          <w:p>
            <w:pPr>
              <w:pStyle w:val="Compact"/>
              <w:jc w:val="right"/>
            </w:pPr>
            <w:r>
              <w:t xml:space="preserve">0.456</w:t>
            </w:r>
          </w:p>
        </w:tc>
        <w:tc>
          <w:tcPr/>
          <w:p>
            <w:pPr>
              <w:pStyle w:val="Compact"/>
              <w:jc w:val="right"/>
            </w:pPr>
            <w:r>
              <w:t xml:space="preserve">0.648</w:t>
            </w:r>
          </w:p>
        </w:tc>
        <w:tc>
          <w:tcPr/>
          <w:p>
            <w:pPr>
              <w:pStyle w:val="Compact"/>
              <w:jc w:val="left"/>
            </w:pPr>
            <w:r>
              <w:t xml:space="preserve">0.648</w:t>
            </w:r>
          </w:p>
        </w:tc>
        <w:tc>
          <w:tcPr/>
          <w:p>
            <w:pPr>
              <w:pStyle w:val="Compact"/>
              <w:jc w:val="right"/>
            </w:pPr>
            <w:r>
              <w:t xml:space="preserve">1.312</w:t>
            </w:r>
          </w:p>
        </w:tc>
        <w:tc>
          <w:tcPr/>
          <w:p>
            <w:pPr>
              <w:pStyle w:val="Compact"/>
              <w:jc w:val="right"/>
            </w:pPr>
            <w:r>
              <w:t xml:space="preserve">0.409</w:t>
            </w:r>
          </w:p>
        </w:tc>
        <w:tc>
          <w:tcPr/>
          <w:p>
            <w:pPr>
              <w:pStyle w:val="Compact"/>
              <w:jc w:val="right"/>
            </w:pPr>
            <w:r>
              <w:t xml:space="preserve">4.211</w:t>
            </w:r>
          </w:p>
        </w:tc>
      </w:tr>
      <w:tr>
        <w:tc>
          <w:tcPr/>
          <w:p>
            <w:pPr>
              <w:pStyle w:val="Compact"/>
              <w:jc w:val="left"/>
            </w:pPr>
            <w:r>
              <w:t xml:space="preserve">Caller: Walsh</w:t>
            </w:r>
          </w:p>
        </w:tc>
        <w:tc>
          <w:tcPr/>
          <w:p>
            <w:pPr>
              <w:pStyle w:val="Compact"/>
              <w:jc w:val="right"/>
            </w:pPr>
            <w:r>
              <w:t xml:space="preserve">0.842</w:t>
            </w:r>
          </w:p>
        </w:tc>
        <w:tc>
          <w:tcPr/>
          <w:p>
            <w:pPr>
              <w:pStyle w:val="Compact"/>
              <w:jc w:val="right"/>
            </w:pPr>
            <w:r>
              <w:t xml:space="preserve">0.252</w:t>
            </w:r>
          </w:p>
        </w:tc>
        <w:tc>
          <w:tcPr/>
          <w:p>
            <w:pPr>
              <w:pStyle w:val="Compact"/>
              <w:jc w:val="right"/>
            </w:pPr>
            <w:r>
              <w:t xml:space="preserve">3.344</w:t>
            </w:r>
          </w:p>
        </w:tc>
        <w:tc>
          <w:tcPr/>
          <w:p>
            <w:pPr>
              <w:pStyle w:val="Compact"/>
              <w:jc w:val="right"/>
            </w:pPr>
            <w:r>
              <w:t xml:space="preserve">0.001</w:t>
            </w:r>
          </w:p>
        </w:tc>
        <w:tc>
          <w:tcPr/>
          <w:p>
            <w:pPr>
              <w:pStyle w:val="Compact"/>
              <w:jc w:val="left"/>
            </w:pPr>
            <w:r>
              <w:t xml:space="preserve">&lt; 0.001</w:t>
            </w:r>
          </w:p>
        </w:tc>
        <w:tc>
          <w:tcPr/>
          <w:p>
            <w:pPr>
              <w:pStyle w:val="Compact"/>
              <w:jc w:val="right"/>
            </w:pPr>
            <w:r>
              <w:t xml:space="preserve">2.320</w:t>
            </w:r>
          </w:p>
        </w:tc>
        <w:tc>
          <w:tcPr/>
          <w:p>
            <w:pPr>
              <w:pStyle w:val="Compact"/>
              <w:jc w:val="right"/>
            </w:pPr>
            <w:r>
              <w:t xml:space="preserve">1.417</w:t>
            </w:r>
          </w:p>
        </w:tc>
        <w:tc>
          <w:tcPr/>
          <w:p>
            <w:pPr>
              <w:pStyle w:val="Compact"/>
              <w:jc w:val="right"/>
            </w:pPr>
            <w:r>
              <w:t xml:space="preserve">3.800</w:t>
            </w:r>
          </w:p>
        </w:tc>
      </w:tr>
    </w:tbl>
    <w:p/>
    <w:p>
      <w:pPr>
        <w:pStyle w:val="TableCaption"/>
      </w:pPr>
      <w:r>
        <w:t xml:space="preserve">Table S2. Full timeliness model (all rate ratios).</w:t>
      </w:r>
    </w:p>
    <w:tbl>
      <w:tblPr>
        <w:tblStyle w:val="Table"/>
        <w:tblW w:type="auto" w:w="0"/>
        <w:tblLook w:firstRow="1" w:lastRow="0" w:firstColumn="0" w:lastColumn="0" w:noHBand="0" w:noVBand="0" w:val="0020"/>
        <w:tblCaption w:val="Table S2. Full timeliness model (all rate ratios)."/>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IRR (95% CI)</w:t>
            </w:r>
          </w:p>
        </w:tc>
        <w:tc>
          <w:tcPr/>
          <w:p>
            <w:pPr>
              <w:pStyle w:val="Compact"/>
              <w:jc w:val="right"/>
            </w:pPr>
            <w:r>
              <w:t xml:space="preserve">p-value</w:t>
            </w:r>
          </w:p>
        </w:tc>
      </w:tr>
      <w:tr>
        <w:tc>
          <w:tcPr/>
          <w:p>
            <w:pPr>
              <w:pStyle w:val="Compact"/>
              <w:jc w:val="left"/>
            </w:pPr>
            <w:r>
              <w:t xml:space="preserve">Facial plastic surgery</w:t>
            </w:r>
          </w:p>
        </w:tc>
        <w:tc>
          <w:tcPr/>
          <w:p>
            <w:pPr>
              <w:pStyle w:val="Compact"/>
              <w:jc w:val="left"/>
            </w:pPr>
            <w:r>
              <w:t xml:space="preserve">1.06 (0.74-1.52)</w:t>
            </w:r>
          </w:p>
        </w:tc>
        <w:tc>
          <w:tcPr/>
          <w:p>
            <w:pPr>
              <w:pStyle w:val="Compact"/>
              <w:jc w:val="right"/>
            </w:pPr>
            <w:r>
              <w:t xml:space="preserve">0.743</w:t>
            </w:r>
          </w:p>
        </w:tc>
      </w:tr>
      <w:tr>
        <w:tc>
          <w:tcPr/>
          <w:p>
            <w:pPr>
              <w:pStyle w:val="Compact"/>
              <w:jc w:val="left"/>
            </w:pPr>
            <w:r>
              <w:t xml:space="preserve">Head and neck oncology</w:t>
            </w:r>
          </w:p>
        </w:tc>
        <w:tc>
          <w:tcPr/>
          <w:p>
            <w:pPr>
              <w:pStyle w:val="Compact"/>
              <w:jc w:val="left"/>
            </w:pPr>
            <w:r>
              <w:t xml:space="preserve">1.29 (0.74-2.26)</w:t>
            </w:r>
          </w:p>
        </w:tc>
        <w:tc>
          <w:tcPr/>
          <w:p>
            <w:pPr>
              <w:pStyle w:val="Compact"/>
              <w:jc w:val="right"/>
            </w:pPr>
            <w:r>
              <w:t xml:space="preserve">0.369</w:t>
            </w:r>
          </w:p>
        </w:tc>
      </w:tr>
      <w:tr>
        <w:tc>
          <w:tcPr/>
          <w:p>
            <w:pPr>
              <w:pStyle w:val="Compact"/>
              <w:jc w:val="left"/>
            </w:pPr>
            <w:r>
              <w:t xml:space="preserve">Laryngology</w:t>
            </w:r>
          </w:p>
        </w:tc>
        <w:tc>
          <w:tcPr/>
          <w:p>
            <w:pPr>
              <w:pStyle w:val="Compact"/>
              <w:jc w:val="left"/>
            </w:pPr>
            <w:r>
              <w:t xml:space="preserve">2.24 (1.13-4.41)</w:t>
            </w:r>
          </w:p>
        </w:tc>
        <w:tc>
          <w:tcPr/>
          <w:p>
            <w:pPr>
              <w:pStyle w:val="Compact"/>
              <w:jc w:val="right"/>
            </w:pPr>
            <w:r>
              <w:t xml:space="preserve">0.020</w:t>
            </w:r>
          </w:p>
        </w:tc>
      </w:tr>
      <w:tr>
        <w:tc>
          <w:tcPr/>
          <w:p>
            <w:pPr>
              <w:pStyle w:val="Compact"/>
              <w:jc w:val="left"/>
            </w:pPr>
            <w:r>
              <w:t xml:space="preserve">Otology/neurotology</w:t>
            </w:r>
          </w:p>
        </w:tc>
        <w:tc>
          <w:tcPr/>
          <w:p>
            <w:pPr>
              <w:pStyle w:val="Compact"/>
              <w:jc w:val="left"/>
            </w:pPr>
            <w:r>
              <w:t xml:space="preserve">1.31 (0.72-2.41)</w:t>
            </w:r>
          </w:p>
        </w:tc>
        <w:tc>
          <w:tcPr/>
          <w:p>
            <w:pPr>
              <w:pStyle w:val="Compact"/>
              <w:jc w:val="right"/>
            </w:pPr>
            <w:r>
              <w:t xml:space="preserve">0.377</w:t>
            </w:r>
          </w:p>
        </w:tc>
      </w:tr>
      <w:tr>
        <w:tc>
          <w:tcPr/>
          <w:p>
            <w:pPr>
              <w:pStyle w:val="Compact"/>
              <w:jc w:val="left"/>
            </w:pPr>
            <w:r>
              <w:t xml:space="preserve">Pediatric otolaryngology</w:t>
            </w:r>
          </w:p>
        </w:tc>
        <w:tc>
          <w:tcPr/>
          <w:p>
            <w:pPr>
              <w:pStyle w:val="Compact"/>
              <w:jc w:val="left"/>
            </w:pPr>
            <w:r>
              <w:t xml:space="preserve">1.62 (1.11-2.38)</w:t>
            </w:r>
          </w:p>
        </w:tc>
        <w:tc>
          <w:tcPr/>
          <w:p>
            <w:pPr>
              <w:pStyle w:val="Compact"/>
              <w:jc w:val="right"/>
            </w:pPr>
            <w:r>
              <w:t xml:space="preserve">0.013</w:t>
            </w:r>
          </w:p>
        </w:tc>
      </w:tr>
      <w:tr>
        <w:tc>
          <w:tcPr/>
          <w:p>
            <w:pPr>
              <w:pStyle w:val="Compact"/>
              <w:jc w:val="left"/>
            </w:pPr>
            <w:r>
              <w:t xml:space="preserve">Rhinology</w:t>
            </w:r>
          </w:p>
        </w:tc>
        <w:tc>
          <w:tcPr/>
          <w:p>
            <w:pPr>
              <w:pStyle w:val="Compact"/>
              <w:jc w:val="left"/>
            </w:pPr>
            <w:r>
              <w:t xml:space="preserve">1.56 (0.90-2.68)</w:t>
            </w:r>
          </w:p>
        </w:tc>
        <w:tc>
          <w:tcPr/>
          <w:p>
            <w:pPr>
              <w:pStyle w:val="Compact"/>
              <w:jc w:val="right"/>
            </w:pPr>
            <w:r>
              <w:t xml:space="preserve">0.110</w:t>
            </w:r>
          </w:p>
        </w:tc>
      </w:tr>
      <w:tr>
        <w:tc>
          <w:tcPr/>
          <w:p>
            <w:pPr>
              <w:pStyle w:val="Compact"/>
              <w:jc w:val="left"/>
            </w:pPr>
            <w:r>
              <w:t xml:space="preserve">Sleep medicine</w:t>
            </w:r>
          </w:p>
        </w:tc>
        <w:tc>
          <w:tcPr/>
          <w:p>
            <w:pPr>
              <w:pStyle w:val="Compact"/>
              <w:jc w:val="left"/>
            </w:pPr>
            <w:r>
              <w:t xml:space="preserve">1.21 (0.64-2.30)</w:t>
            </w:r>
          </w:p>
        </w:tc>
        <w:tc>
          <w:tcPr/>
          <w:p>
            <w:pPr>
              <w:pStyle w:val="Compact"/>
              <w:jc w:val="right"/>
            </w:pPr>
            <w:r>
              <w:t xml:space="preserve">0.551</w:t>
            </w:r>
          </w:p>
        </w:tc>
      </w:tr>
      <w:tr>
        <w:tc>
          <w:tcPr/>
          <w:p>
            <w:pPr>
              <w:pStyle w:val="Compact"/>
              <w:jc w:val="left"/>
            </w:pPr>
            <w:r>
              <w:t xml:space="preserve">Otolaryngologist density (per SD)</w:t>
            </w:r>
          </w:p>
        </w:tc>
        <w:tc>
          <w:tcPr/>
          <w:p>
            <w:pPr>
              <w:pStyle w:val="Compact"/>
              <w:jc w:val="left"/>
            </w:pPr>
            <w:r>
              <w:t xml:space="preserve">0.94 (0.82-1.08)</w:t>
            </w:r>
          </w:p>
        </w:tc>
        <w:tc>
          <w:tcPr/>
          <w:p>
            <w:pPr>
              <w:pStyle w:val="Compact"/>
              <w:jc w:val="right"/>
            </w:pPr>
            <w:r>
              <w:t xml:space="preserve">0.391</w:t>
            </w:r>
          </w:p>
        </w:tc>
      </w:tr>
      <w:tr>
        <w:tc>
          <w:tcPr/>
          <w:p>
            <w:pPr>
              <w:pStyle w:val="Compact"/>
              <w:jc w:val="left"/>
            </w:pPr>
            <w:r>
              <w:t xml:space="preserve">Medicaid fee index (per SD)</w:t>
            </w:r>
          </w:p>
        </w:tc>
        <w:tc>
          <w:tcPr/>
          <w:p>
            <w:pPr>
              <w:pStyle w:val="Compact"/>
              <w:jc w:val="left"/>
            </w:pPr>
            <w:r>
              <w:t xml:space="preserve">0.94 (0.83-1.06)</w:t>
            </w:r>
          </w:p>
        </w:tc>
        <w:tc>
          <w:tcPr/>
          <w:p>
            <w:pPr>
              <w:pStyle w:val="Compact"/>
              <w:jc w:val="right"/>
            </w:pPr>
            <w:r>
              <w:t xml:space="preserve">0.318</w:t>
            </w:r>
          </w:p>
        </w:tc>
      </w:tr>
      <w:tr>
        <w:tc>
          <w:tcPr/>
          <w:p>
            <w:pPr>
              <w:pStyle w:val="Compact"/>
              <w:jc w:val="left"/>
            </w:pPr>
            <w:r>
              <w:t xml:space="preserve">Social Vulnerability Index (per SD)</w:t>
            </w:r>
          </w:p>
        </w:tc>
        <w:tc>
          <w:tcPr/>
          <w:p>
            <w:pPr>
              <w:pStyle w:val="Compact"/>
              <w:jc w:val="left"/>
            </w:pPr>
            <w:r>
              <w:t xml:space="preserve">0.96 (0.85-1.08)</w:t>
            </w:r>
          </w:p>
        </w:tc>
        <w:tc>
          <w:tcPr/>
          <w:p>
            <w:pPr>
              <w:pStyle w:val="Compact"/>
              <w:jc w:val="right"/>
            </w:pPr>
            <w:r>
              <w:t xml:space="preserve">0.489</w:t>
            </w:r>
          </w:p>
        </w:tc>
      </w:tr>
      <w:tr>
        <w:tc>
          <w:tcPr/>
          <w:p>
            <w:pPr>
              <w:pStyle w:val="Compact"/>
              <w:jc w:val="left"/>
            </w:pPr>
            <w:r>
              <w:t xml:space="preserve">Dual-eligible share (per SD)</w:t>
            </w:r>
          </w:p>
        </w:tc>
        <w:tc>
          <w:tcPr/>
          <w:p>
            <w:pPr>
              <w:pStyle w:val="Compact"/>
              <w:jc w:val="left"/>
            </w:pPr>
            <w:r>
              <w:t xml:space="preserve">0.99 (0.87-1.12)</w:t>
            </w:r>
          </w:p>
        </w:tc>
        <w:tc>
          <w:tcPr/>
          <w:p>
            <w:pPr>
              <w:pStyle w:val="Compact"/>
              <w:jc w:val="right"/>
            </w:pPr>
            <w:r>
              <w:t xml:space="preserve">0.832</w:t>
            </w:r>
          </w:p>
        </w:tc>
      </w:tr>
      <w:tr>
        <w:tc>
          <w:tcPr/>
          <w:p>
            <w:pPr>
              <w:pStyle w:val="Compact"/>
              <w:jc w:val="left"/>
            </w:pPr>
            <w:r>
              <w:t xml:space="preserve">Rural (vs urban)</w:t>
            </w:r>
          </w:p>
        </w:tc>
        <w:tc>
          <w:tcPr/>
          <w:p>
            <w:pPr>
              <w:pStyle w:val="Compact"/>
              <w:jc w:val="left"/>
            </w:pPr>
            <w:r>
              <w:t xml:space="preserve">1.19 (0.92-1.53)</w:t>
            </w:r>
          </w:p>
        </w:tc>
        <w:tc>
          <w:tcPr/>
          <w:p>
            <w:pPr>
              <w:pStyle w:val="Compact"/>
              <w:jc w:val="right"/>
            </w:pPr>
            <w:r>
              <w:t xml:space="preserve">0.191</w:t>
            </w:r>
          </w:p>
        </w:tc>
      </w:tr>
      <w:tr>
        <w:tc>
          <w:tcPr/>
          <w:p>
            <w:pPr>
              <w:pStyle w:val="Compact"/>
              <w:jc w:val="left"/>
            </w:pPr>
            <w:r>
              <w:t xml:space="preserve">Caller: Deol</w:t>
            </w:r>
          </w:p>
        </w:tc>
        <w:tc>
          <w:tcPr/>
          <w:p>
            <w:pPr>
              <w:pStyle w:val="Compact"/>
              <w:jc w:val="left"/>
            </w:pPr>
            <w:r>
              <w:t xml:space="preserve">0.83 (0.60-1.14)</w:t>
            </w:r>
          </w:p>
        </w:tc>
        <w:tc>
          <w:tcPr/>
          <w:p>
            <w:pPr>
              <w:pStyle w:val="Compact"/>
              <w:jc w:val="right"/>
            </w:pPr>
            <w:r>
              <w:t xml:space="preserve">0.258</w:t>
            </w:r>
          </w:p>
        </w:tc>
      </w:tr>
      <w:tr>
        <w:tc>
          <w:tcPr/>
          <w:p>
            <w:pPr>
              <w:pStyle w:val="Compact"/>
              <w:jc w:val="left"/>
            </w:pPr>
            <w:r>
              <w:t xml:space="preserve">Caller: Falk</w:t>
            </w:r>
          </w:p>
        </w:tc>
        <w:tc>
          <w:tcPr/>
          <w:p>
            <w:pPr>
              <w:pStyle w:val="Compact"/>
              <w:jc w:val="left"/>
            </w:pPr>
            <w:r>
              <w:t xml:space="preserve">0.64 (0.43-0.93)</w:t>
            </w:r>
          </w:p>
        </w:tc>
        <w:tc>
          <w:tcPr/>
          <w:p>
            <w:pPr>
              <w:pStyle w:val="Compact"/>
              <w:jc w:val="right"/>
            </w:pPr>
            <w:r>
              <w:t xml:space="preserve">0.020</w:t>
            </w:r>
          </w:p>
        </w:tc>
      </w:tr>
      <w:tr>
        <w:tc>
          <w:tcPr/>
          <w:p>
            <w:pPr>
              <w:pStyle w:val="Compact"/>
              <w:jc w:val="left"/>
            </w:pPr>
            <w:r>
              <w:t xml:space="preserve">Caller: Gregg</w:t>
            </w:r>
          </w:p>
        </w:tc>
        <w:tc>
          <w:tcPr/>
          <w:p>
            <w:pPr>
              <w:pStyle w:val="Compact"/>
              <w:jc w:val="left"/>
            </w:pPr>
            <w:r>
              <w:t xml:space="preserve">0.90 (0.65-1.25)</w:t>
            </w:r>
          </w:p>
        </w:tc>
        <w:tc>
          <w:tcPr/>
          <w:p>
            <w:pPr>
              <w:pStyle w:val="Compact"/>
              <w:jc w:val="right"/>
            </w:pPr>
            <w:r>
              <w:t xml:space="preserve">0.528</w:t>
            </w:r>
          </w:p>
        </w:tc>
      </w:tr>
      <w:tr>
        <w:tc>
          <w:tcPr/>
          <w:p>
            <w:pPr>
              <w:pStyle w:val="Compact"/>
              <w:jc w:val="left"/>
            </w:pPr>
            <w:r>
              <w:t xml:space="preserve">Caller: Kim</w:t>
            </w:r>
          </w:p>
        </w:tc>
        <w:tc>
          <w:tcPr/>
          <w:p>
            <w:pPr>
              <w:pStyle w:val="Compact"/>
              <w:jc w:val="left"/>
            </w:pPr>
            <w:r>
              <w:t xml:space="preserve">0.98 (0.70-1.37)</w:t>
            </w:r>
          </w:p>
        </w:tc>
        <w:tc>
          <w:tcPr/>
          <w:p>
            <w:pPr>
              <w:pStyle w:val="Compact"/>
              <w:jc w:val="right"/>
            </w:pPr>
            <w:r>
              <w:t xml:space="preserve">0.896</w:t>
            </w:r>
          </w:p>
        </w:tc>
      </w:tr>
      <w:tr>
        <w:tc>
          <w:tcPr/>
          <w:p>
            <w:pPr>
              <w:pStyle w:val="Compact"/>
              <w:jc w:val="left"/>
            </w:pPr>
            <w:r>
              <w:t xml:space="preserve">Caller: Other</w:t>
            </w:r>
          </w:p>
        </w:tc>
        <w:tc>
          <w:tcPr/>
          <w:p>
            <w:pPr>
              <w:pStyle w:val="Compact"/>
              <w:jc w:val="left"/>
            </w:pPr>
            <w:r>
              <w:t xml:space="preserve">0.66 (0.23-1.87)</w:t>
            </w:r>
          </w:p>
        </w:tc>
        <w:tc>
          <w:tcPr/>
          <w:p>
            <w:pPr>
              <w:pStyle w:val="Compact"/>
              <w:jc w:val="right"/>
            </w:pPr>
            <w:r>
              <w:t xml:space="preserve">0.436</w:t>
            </w:r>
          </w:p>
        </w:tc>
      </w:tr>
      <w:tr>
        <w:tc>
          <w:tcPr/>
          <w:p>
            <w:pPr>
              <w:pStyle w:val="Compact"/>
              <w:jc w:val="left"/>
            </w:pPr>
            <w:r>
              <w:t xml:space="preserve">Caller: Walsh</w:t>
            </w:r>
          </w:p>
        </w:tc>
        <w:tc>
          <w:tcPr/>
          <w:p>
            <w:pPr>
              <w:pStyle w:val="Compact"/>
              <w:jc w:val="left"/>
            </w:pPr>
            <w:r>
              <w:t xml:space="preserve">0.89 (0.64-1.23)</w:t>
            </w:r>
          </w:p>
        </w:tc>
        <w:tc>
          <w:tcPr/>
          <w:p>
            <w:pPr>
              <w:pStyle w:val="Compact"/>
              <w:jc w:val="right"/>
            </w:pPr>
            <w:r>
              <w:t xml:space="preserve">0.465</w:t>
            </w:r>
          </w:p>
        </w:tc>
      </w:tr>
    </w:tbl>
    <w:p/>
    <w:p>
      <w:pPr>
        <w:pStyle w:val="TableCaption"/>
      </w:pPr>
      <w:r>
        <w:t xml:space="preserve">Table S3. Business-day wait by subspecialty.</w:t>
      </w:r>
    </w:p>
    <w:tbl>
      <w:tblPr>
        <w:tblStyle w:val="Table"/>
        <w:tblW w:type="auto" w:w="0"/>
        <w:tblLook w:firstRow="1" w:lastRow="0" w:firstColumn="0" w:lastColumn="0" w:noHBand="0" w:noVBand="0" w:val="0020"/>
        <w:tblCaption w:val="Table S3. Business-day wait by subspecialty."/>
      </w:tblPr>
      <w:tblGrid>
        <w:gridCol w:w="1584"/>
        <w:gridCol w:w="1584"/>
        <w:gridCol w:w="1584"/>
        <w:gridCol w:w="1584"/>
        <w:gridCol w:w="1584"/>
      </w:tblGrid>
      <w:tr>
        <w:trPr>
          <w:tblHeader w:val="on"/>
        </w:trPr>
        <w:tc>
          <w:tcPr/>
          <w:p>
            <w:pPr>
              <w:pStyle w:val="Compact"/>
              <w:jc w:val="left"/>
            </w:pPr>
            <w:r>
              <w:t xml:space="preserve">Subspecialty</w:t>
            </w:r>
          </w:p>
        </w:tc>
        <w:tc>
          <w:tcPr/>
          <w:p>
            <w:pPr>
              <w:pStyle w:val="Compact"/>
              <w:jc w:val="right"/>
            </w:pPr>
            <w:r>
              <w:t xml:space="preserve">median_days</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n</w:t>
            </w:r>
          </w:p>
        </w:tc>
      </w:tr>
      <w:tr>
        <w:tc>
          <w:tcPr/>
          <w:p>
            <w:pPr>
              <w:pStyle w:val="Compact"/>
              <w:jc w:val="left"/>
            </w:pPr>
            <w:r>
              <w:t xml:space="preserve">General otolaryngology</w:t>
            </w:r>
          </w:p>
        </w:tc>
        <w:tc>
          <w:tcPr/>
          <w:p>
            <w:pPr>
              <w:pStyle w:val="Compact"/>
              <w:jc w:val="right"/>
            </w:pPr>
            <w:r>
              <w:t xml:space="preserve">14.0</w:t>
            </w:r>
          </w:p>
        </w:tc>
        <w:tc>
          <w:tcPr/>
          <w:p>
            <w:pPr>
              <w:pStyle w:val="Compact"/>
              <w:jc w:val="right"/>
            </w:pPr>
            <w:r>
              <w:t xml:space="preserve">5</w:t>
            </w:r>
          </w:p>
        </w:tc>
        <w:tc>
          <w:tcPr/>
          <w:p>
            <w:pPr>
              <w:pStyle w:val="Compact"/>
              <w:jc w:val="right"/>
            </w:pPr>
            <w:r>
              <w:t xml:space="preserve">26</w:t>
            </w:r>
          </w:p>
        </w:tc>
        <w:tc>
          <w:tcPr/>
          <w:p>
            <w:pPr>
              <w:pStyle w:val="Compact"/>
              <w:jc w:val="right"/>
            </w:pPr>
            <w:r>
              <w:t xml:space="preserve">286</w:t>
            </w:r>
          </w:p>
        </w:tc>
      </w:tr>
      <w:tr>
        <w:tc>
          <w:tcPr/>
          <w:p>
            <w:pPr>
              <w:pStyle w:val="Compact"/>
              <w:jc w:val="left"/>
            </w:pPr>
            <w:r>
              <w:t xml:space="preserve">Facial plastic surgery</w:t>
            </w:r>
          </w:p>
        </w:tc>
        <w:tc>
          <w:tcPr/>
          <w:p>
            <w:pPr>
              <w:pStyle w:val="Compact"/>
              <w:jc w:val="right"/>
            </w:pPr>
            <w:r>
              <w:t xml:space="preserve">11.5</w:t>
            </w:r>
          </w:p>
        </w:tc>
        <w:tc>
          <w:tcPr/>
          <w:p>
            <w:pPr>
              <w:pStyle w:val="Compact"/>
              <w:jc w:val="right"/>
            </w:pPr>
            <w:r>
              <w:t xml:space="preserve">5</w:t>
            </w:r>
          </w:p>
        </w:tc>
        <w:tc>
          <w:tcPr/>
          <w:p>
            <w:pPr>
              <w:pStyle w:val="Compact"/>
              <w:jc w:val="right"/>
            </w:pPr>
            <w:r>
              <w:t xml:space="preserve">22</w:t>
            </w:r>
          </w:p>
        </w:tc>
        <w:tc>
          <w:tcPr/>
          <w:p>
            <w:pPr>
              <w:pStyle w:val="Compact"/>
              <w:jc w:val="right"/>
            </w:pPr>
            <w:r>
              <w:t xml:space="preserve">44</w:t>
            </w:r>
          </w:p>
        </w:tc>
      </w:tr>
      <w:tr>
        <w:tc>
          <w:tcPr/>
          <w:p>
            <w:pPr>
              <w:pStyle w:val="Compact"/>
              <w:jc w:val="left"/>
            </w:pPr>
            <w:r>
              <w:t xml:space="preserve">Head and neck oncology</w:t>
            </w:r>
          </w:p>
        </w:tc>
        <w:tc>
          <w:tcPr/>
          <w:p>
            <w:pPr>
              <w:pStyle w:val="Compact"/>
              <w:jc w:val="right"/>
            </w:pPr>
            <w:r>
              <w:t xml:space="preserve">11.0</w:t>
            </w:r>
          </w:p>
        </w:tc>
        <w:tc>
          <w:tcPr/>
          <w:p>
            <w:pPr>
              <w:pStyle w:val="Compact"/>
              <w:jc w:val="right"/>
            </w:pPr>
            <w:r>
              <w:t xml:space="preserve">6</w:t>
            </w:r>
          </w:p>
        </w:tc>
        <w:tc>
          <w:tcPr/>
          <w:p>
            <w:pPr>
              <w:pStyle w:val="Compact"/>
              <w:jc w:val="right"/>
            </w:pPr>
            <w:r>
              <w:t xml:space="preserve">22</w:t>
            </w:r>
          </w:p>
        </w:tc>
        <w:tc>
          <w:tcPr/>
          <w:p>
            <w:pPr>
              <w:pStyle w:val="Compact"/>
              <w:jc w:val="right"/>
            </w:pPr>
            <w:r>
              <w:t xml:space="preserve">15</w:t>
            </w:r>
          </w:p>
        </w:tc>
      </w:tr>
      <w:tr>
        <w:tc>
          <w:tcPr/>
          <w:p>
            <w:pPr>
              <w:pStyle w:val="Compact"/>
              <w:jc w:val="left"/>
            </w:pPr>
            <w:r>
              <w:t xml:space="preserve">Laryngology</w:t>
            </w:r>
          </w:p>
        </w:tc>
        <w:tc>
          <w:tcPr/>
          <w:p>
            <w:pPr>
              <w:pStyle w:val="Compact"/>
              <w:jc w:val="right"/>
            </w:pPr>
            <w:r>
              <w:t xml:space="preserve">32.0</w:t>
            </w:r>
          </w:p>
        </w:tc>
        <w:tc>
          <w:tcPr/>
          <w:p>
            <w:pPr>
              <w:pStyle w:val="Compact"/>
              <w:jc w:val="right"/>
            </w:pPr>
            <w:r>
              <w:t xml:space="preserve">13</w:t>
            </w:r>
          </w:p>
        </w:tc>
        <w:tc>
          <w:tcPr/>
          <w:p>
            <w:pPr>
              <w:pStyle w:val="Compact"/>
              <w:jc w:val="right"/>
            </w:pPr>
            <w:r>
              <w:t xml:space="preserve">41</w:t>
            </w:r>
          </w:p>
        </w:tc>
        <w:tc>
          <w:tcPr/>
          <w:p>
            <w:pPr>
              <w:pStyle w:val="Compact"/>
              <w:jc w:val="right"/>
            </w:pPr>
            <w:r>
              <w:t xml:space="preserve">9</w:t>
            </w:r>
          </w:p>
        </w:tc>
      </w:tr>
      <w:tr>
        <w:tc>
          <w:tcPr/>
          <w:p>
            <w:pPr>
              <w:pStyle w:val="Compact"/>
              <w:jc w:val="left"/>
            </w:pPr>
            <w:r>
              <w:t xml:space="preserve">Otology/neurotology</w:t>
            </w:r>
          </w:p>
        </w:tc>
        <w:tc>
          <w:tcPr/>
          <w:p>
            <w:pPr>
              <w:pStyle w:val="Compact"/>
              <w:jc w:val="right"/>
            </w:pPr>
            <w:r>
              <w:t xml:space="preserve">22.0</w:t>
            </w:r>
          </w:p>
        </w:tc>
        <w:tc>
          <w:tcPr/>
          <w:p>
            <w:pPr>
              <w:pStyle w:val="Compact"/>
              <w:jc w:val="right"/>
            </w:pPr>
            <w:r>
              <w:t xml:space="preserve">5</w:t>
            </w:r>
          </w:p>
        </w:tc>
        <w:tc>
          <w:tcPr/>
          <w:p>
            <w:pPr>
              <w:pStyle w:val="Compact"/>
              <w:jc w:val="right"/>
            </w:pPr>
            <w:r>
              <w:t xml:space="preserve">42</w:t>
            </w:r>
          </w:p>
        </w:tc>
        <w:tc>
          <w:tcPr/>
          <w:p>
            <w:pPr>
              <w:pStyle w:val="Compact"/>
              <w:jc w:val="right"/>
            </w:pPr>
            <w:r>
              <w:t xml:space="preserve">13</w:t>
            </w:r>
          </w:p>
        </w:tc>
      </w:tr>
      <w:tr>
        <w:tc>
          <w:tcPr/>
          <w:p>
            <w:pPr>
              <w:pStyle w:val="Compact"/>
              <w:jc w:val="left"/>
            </w:pPr>
            <w:r>
              <w:t xml:space="preserve">Pediatric otolaryngology</w:t>
            </w:r>
          </w:p>
        </w:tc>
        <w:tc>
          <w:tcPr/>
          <w:p>
            <w:pPr>
              <w:pStyle w:val="Compact"/>
              <w:jc w:val="right"/>
            </w:pPr>
            <w:r>
              <w:t xml:space="preserve">25.5</w:t>
            </w:r>
          </w:p>
        </w:tc>
        <w:tc>
          <w:tcPr/>
          <w:p>
            <w:pPr>
              <w:pStyle w:val="Compact"/>
              <w:jc w:val="right"/>
            </w:pPr>
            <w:r>
              <w:t xml:space="preserve">7</w:t>
            </w:r>
          </w:p>
        </w:tc>
        <w:tc>
          <w:tcPr/>
          <w:p>
            <w:pPr>
              <w:pStyle w:val="Compact"/>
              <w:jc w:val="right"/>
            </w:pPr>
            <w:r>
              <w:t xml:space="preserve">46</w:t>
            </w:r>
          </w:p>
        </w:tc>
        <w:tc>
          <w:tcPr/>
          <w:p>
            <w:pPr>
              <w:pStyle w:val="Compact"/>
              <w:jc w:val="right"/>
            </w:pPr>
            <w:r>
              <w:t xml:space="preserve">34</w:t>
            </w:r>
          </w:p>
        </w:tc>
      </w:tr>
      <w:tr>
        <w:tc>
          <w:tcPr/>
          <w:p>
            <w:pPr>
              <w:pStyle w:val="Compact"/>
              <w:jc w:val="left"/>
            </w:pPr>
            <w:r>
              <w:t xml:space="preserve">Rhinology</w:t>
            </w:r>
          </w:p>
        </w:tc>
        <w:tc>
          <w:tcPr/>
          <w:p>
            <w:pPr>
              <w:pStyle w:val="Compact"/>
              <w:jc w:val="right"/>
            </w:pPr>
            <w:r>
              <w:t xml:space="preserve">15.5</w:t>
            </w:r>
          </w:p>
        </w:tc>
        <w:tc>
          <w:tcPr/>
          <w:p>
            <w:pPr>
              <w:pStyle w:val="Compact"/>
              <w:jc w:val="right"/>
            </w:pPr>
            <w:r>
              <w:t xml:space="preserve">10</w:t>
            </w:r>
          </w:p>
        </w:tc>
        <w:tc>
          <w:tcPr/>
          <w:p>
            <w:pPr>
              <w:pStyle w:val="Compact"/>
              <w:jc w:val="right"/>
            </w:pPr>
            <w:r>
              <w:t xml:space="preserve">39</w:t>
            </w:r>
          </w:p>
        </w:tc>
        <w:tc>
          <w:tcPr/>
          <w:p>
            <w:pPr>
              <w:pStyle w:val="Compact"/>
              <w:jc w:val="right"/>
            </w:pPr>
            <w:r>
              <w:t xml:space="preserve">14</w:t>
            </w:r>
          </w:p>
        </w:tc>
      </w:tr>
      <w:tr>
        <w:tc>
          <w:tcPr/>
          <w:p>
            <w:pPr>
              <w:pStyle w:val="Compact"/>
              <w:jc w:val="left"/>
            </w:pPr>
            <w:r>
              <w:t xml:space="preserve">Sleep medicine</w:t>
            </w:r>
          </w:p>
        </w:tc>
        <w:tc>
          <w:tcPr/>
          <w:p>
            <w:pPr>
              <w:pStyle w:val="Compact"/>
              <w:jc w:val="right"/>
            </w:pPr>
            <w:r>
              <w:t xml:space="preserve">15.0</w:t>
            </w:r>
          </w:p>
        </w:tc>
        <w:tc>
          <w:tcPr/>
          <w:p>
            <w:pPr>
              <w:pStyle w:val="Compact"/>
              <w:jc w:val="right"/>
            </w:pPr>
            <w:r>
              <w:t xml:space="preserve">6</w:t>
            </w:r>
          </w:p>
        </w:tc>
        <w:tc>
          <w:tcPr/>
          <w:p>
            <w:pPr>
              <w:pStyle w:val="Compact"/>
              <w:jc w:val="right"/>
            </w:pPr>
            <w:r>
              <w:t xml:space="preserve">34</w:t>
            </w:r>
          </w:p>
        </w:tc>
        <w:tc>
          <w:tcPr/>
          <w:p>
            <w:pPr>
              <w:pStyle w:val="Compact"/>
              <w:jc w:val="right"/>
            </w:pPr>
            <w:r>
              <w:t xml:space="preserve">11</w:t>
            </w:r>
          </w:p>
        </w:tc>
      </w:tr>
    </w:tbl>
    <w:p/>
    <w:p>
      <w:pPr>
        <w:pStyle w:val="TableCaption"/>
      </w:pPr>
      <w:r>
        <w:t xml:space="preserve">Table S4. Business-day wait by rurality.</w:t>
      </w:r>
    </w:p>
    <w:tbl>
      <w:tblPr>
        <w:tblStyle w:val="Table"/>
        <w:tblW w:type="auto" w:w="0"/>
        <w:tblLook w:firstRow="1" w:lastRow="0" w:firstColumn="0" w:lastColumn="0" w:noHBand="0" w:noVBand="0" w:val="0020"/>
        <w:tblCaption w:val="Table S4. Business-day wait by rurality."/>
      </w:tblPr>
      <w:tblGrid>
        <w:gridCol w:w="1584"/>
        <w:gridCol w:w="1584"/>
        <w:gridCol w:w="1584"/>
        <w:gridCol w:w="1584"/>
        <w:gridCol w:w="1584"/>
      </w:tblGrid>
      <w:tr>
        <w:trPr>
          <w:tblHeader w:val="on"/>
        </w:trPr>
        <w:tc>
          <w:tcPr/>
          <w:p>
            <w:pPr>
              <w:pStyle w:val="Compact"/>
              <w:jc w:val="left"/>
            </w:pPr>
            <w:r>
              <w:t xml:space="preserve">rural</w:t>
            </w:r>
          </w:p>
        </w:tc>
        <w:tc>
          <w:tcPr/>
          <w:p>
            <w:pPr>
              <w:pStyle w:val="Compact"/>
              <w:jc w:val="right"/>
            </w:pPr>
            <w:r>
              <w:t xml:space="preserve">median_days</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n</w:t>
            </w:r>
          </w:p>
        </w:tc>
      </w:tr>
      <w:tr>
        <w:tc>
          <w:tcPr/>
          <w:p>
            <w:pPr>
              <w:pStyle w:val="Compact"/>
              <w:jc w:val="left"/>
            </w:pPr>
            <w:r>
              <w:t xml:space="preserve">Urban</w:t>
            </w:r>
          </w:p>
        </w:tc>
        <w:tc>
          <w:tcPr/>
          <w:p>
            <w:pPr>
              <w:pStyle w:val="Compact"/>
              <w:jc w:val="right"/>
            </w:pPr>
            <w:r>
              <w:t xml:space="preserve">13</w:t>
            </w:r>
          </w:p>
        </w:tc>
        <w:tc>
          <w:tcPr/>
          <w:p>
            <w:pPr>
              <w:pStyle w:val="Compact"/>
              <w:jc w:val="right"/>
            </w:pPr>
            <w:r>
              <w:t xml:space="preserve">5</w:t>
            </w:r>
          </w:p>
        </w:tc>
        <w:tc>
          <w:tcPr/>
          <w:p>
            <w:pPr>
              <w:pStyle w:val="Compact"/>
              <w:jc w:val="right"/>
            </w:pPr>
            <w:r>
              <w:t xml:space="preserve">30</w:t>
            </w:r>
          </w:p>
        </w:tc>
        <w:tc>
          <w:tcPr/>
          <w:p>
            <w:pPr>
              <w:pStyle w:val="Compact"/>
              <w:jc w:val="right"/>
            </w:pPr>
            <w:r>
              <w:t xml:space="preserve">217</w:t>
            </w:r>
          </w:p>
        </w:tc>
      </w:tr>
      <w:tr>
        <w:tc>
          <w:tcPr/>
          <w:p>
            <w:pPr>
              <w:pStyle w:val="Compact"/>
              <w:jc w:val="left"/>
            </w:pPr>
            <w:r>
              <w:t xml:space="preserve">Rural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30</w:t>
            </w:r>
          </w:p>
        </w:tc>
        <w:tc>
          <w:tcPr/>
          <w:p>
            <w:pPr>
              <w:pStyle w:val="Compact"/>
              <w:jc w:val="right"/>
            </w:pPr>
            <w:r>
              <w:t xml:space="preserve">209</w:t>
            </w:r>
          </w:p>
        </w:tc>
      </w:tr>
    </w:tbl>
    <w:p/>
    <w:p>
      <w:pPr>
        <w:pStyle w:val="TableCaption"/>
      </w:pPr>
      <w:r>
        <w:t xml:space="preserve">Table S5. Business-day wait by AAO-HNS region.</w:t>
      </w:r>
    </w:p>
    <w:tbl>
      <w:tblPr>
        <w:tblStyle w:val="Table"/>
        <w:tblW w:type="auto" w:w="0"/>
        <w:tblLook w:firstRow="1" w:lastRow="0" w:firstColumn="0" w:lastColumn="0" w:noHBand="0" w:noVBand="0" w:val="0020"/>
        <w:tblCaption w:val="Table S5. Business-day wait by AAO-HNS region."/>
      </w:tblPr>
      <w:tblGrid>
        <w:gridCol w:w="1584"/>
        <w:gridCol w:w="1584"/>
        <w:gridCol w:w="1584"/>
        <w:gridCol w:w="1584"/>
        <w:gridCol w:w="1584"/>
      </w:tblGrid>
      <w:tr>
        <w:trPr>
          <w:tblHeader w:val="on"/>
        </w:trPr>
        <w:tc>
          <w:tcPr/>
          <w:p>
            <w:pPr>
              <w:pStyle w:val="Compact"/>
              <w:jc w:val="left"/>
            </w:pPr>
            <w:r>
              <w:t xml:space="preserve">aao_hns_region</w:t>
            </w:r>
          </w:p>
        </w:tc>
        <w:tc>
          <w:tcPr/>
          <w:p>
            <w:pPr>
              <w:pStyle w:val="Compact"/>
              <w:jc w:val="right"/>
            </w:pPr>
            <w:r>
              <w:t xml:space="preserve">median_days</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n</w:t>
            </w:r>
          </w:p>
        </w:tc>
      </w:tr>
      <w:tr>
        <w:tc>
          <w:tcPr/>
          <w:p>
            <w:pPr>
              <w:pStyle w:val="Compact"/>
              <w:jc w:val="left"/>
            </w:pPr>
            <w:r>
              <w:t xml:space="preserve">Central</w:t>
            </w:r>
          </w:p>
        </w:tc>
        <w:tc>
          <w:tcPr/>
          <w:p>
            <w:pPr>
              <w:pStyle w:val="Compact"/>
              <w:jc w:val="right"/>
            </w:pPr>
            <w:r>
              <w:t xml:space="preserve">14.0</w:t>
            </w:r>
          </w:p>
        </w:tc>
        <w:tc>
          <w:tcPr/>
          <w:p>
            <w:pPr>
              <w:pStyle w:val="Compact"/>
              <w:jc w:val="right"/>
            </w:pPr>
            <w:r>
              <w:t xml:space="preserve">5</w:t>
            </w:r>
          </w:p>
        </w:tc>
        <w:tc>
          <w:tcPr/>
          <w:p>
            <w:pPr>
              <w:pStyle w:val="Compact"/>
              <w:jc w:val="right"/>
            </w:pPr>
            <w:r>
              <w:t xml:space="preserve">33</w:t>
            </w:r>
          </w:p>
        </w:tc>
        <w:tc>
          <w:tcPr/>
          <w:p>
            <w:pPr>
              <w:pStyle w:val="Compact"/>
              <w:jc w:val="right"/>
            </w:pPr>
            <w:r>
              <w:t xml:space="preserve">73</w:t>
            </w:r>
          </w:p>
        </w:tc>
      </w:tr>
      <w:tr>
        <w:tc>
          <w:tcPr/>
          <w:p>
            <w:pPr>
              <w:pStyle w:val="Compact"/>
              <w:jc w:val="left"/>
            </w:pPr>
            <w:r>
              <w:t xml:space="preserve">Mid-Atlantic/Southeast</w:t>
            </w:r>
          </w:p>
        </w:tc>
        <w:tc>
          <w:tcPr/>
          <w:p>
            <w:pPr>
              <w:pStyle w:val="Compact"/>
              <w:jc w:val="right"/>
            </w:pPr>
            <w:r>
              <w:t xml:space="preserve">12.0</w:t>
            </w:r>
          </w:p>
        </w:tc>
        <w:tc>
          <w:tcPr/>
          <w:p>
            <w:pPr>
              <w:pStyle w:val="Compact"/>
              <w:jc w:val="right"/>
            </w:pPr>
            <w:r>
              <w:t xml:space="preserve">5</w:t>
            </w:r>
          </w:p>
        </w:tc>
        <w:tc>
          <w:tcPr/>
          <w:p>
            <w:pPr>
              <w:pStyle w:val="Compact"/>
              <w:jc w:val="right"/>
            </w:pPr>
            <w:r>
              <w:t xml:space="preserve">24</w:t>
            </w:r>
          </w:p>
        </w:tc>
        <w:tc>
          <w:tcPr/>
          <w:p>
            <w:pPr>
              <w:pStyle w:val="Compact"/>
              <w:jc w:val="right"/>
            </w:pPr>
            <w:r>
              <w:t xml:space="preserve">38</w:t>
            </w:r>
          </w:p>
        </w:tc>
      </w:tr>
      <w:tr>
        <w:tc>
          <w:tcPr/>
          <w:p>
            <w:pPr>
              <w:pStyle w:val="Compact"/>
              <w:jc w:val="left"/>
            </w:pPr>
            <w:r>
              <w:t xml:space="preserve">Middle Atlantic</w:t>
            </w:r>
          </w:p>
        </w:tc>
        <w:tc>
          <w:tcPr/>
          <w:p>
            <w:pPr>
              <w:pStyle w:val="Compact"/>
              <w:jc w:val="right"/>
            </w:pPr>
            <w:r>
              <w:t xml:space="preserve">14.0</w:t>
            </w:r>
          </w:p>
        </w:tc>
        <w:tc>
          <w:tcPr/>
          <w:p>
            <w:pPr>
              <w:pStyle w:val="Compact"/>
              <w:jc w:val="right"/>
            </w:pPr>
            <w:r>
              <w:t xml:space="preserve">5</w:t>
            </w:r>
          </w:p>
        </w:tc>
        <w:tc>
          <w:tcPr/>
          <w:p>
            <w:pPr>
              <w:pStyle w:val="Compact"/>
              <w:jc w:val="right"/>
            </w:pPr>
            <w:r>
              <w:t xml:space="preserve">32</w:t>
            </w:r>
          </w:p>
        </w:tc>
        <w:tc>
          <w:tcPr/>
          <w:p>
            <w:pPr>
              <w:pStyle w:val="Compact"/>
              <w:jc w:val="right"/>
            </w:pPr>
            <w:r>
              <w:t xml:space="preserve">43</w:t>
            </w:r>
          </w:p>
        </w:tc>
      </w:tr>
      <w:tr>
        <w:tc>
          <w:tcPr/>
          <w:p>
            <w:pPr>
              <w:pStyle w:val="Compact"/>
              <w:jc w:val="left"/>
            </w:pPr>
            <w:r>
              <w:t xml:space="preserve">Midwest</w:t>
            </w:r>
          </w:p>
        </w:tc>
        <w:tc>
          <w:tcPr/>
          <w:p>
            <w:pPr>
              <w:pStyle w:val="Compact"/>
              <w:jc w:val="right"/>
            </w:pPr>
            <w:r>
              <w:t xml:space="preserve">16.5</w:t>
            </w:r>
          </w:p>
        </w:tc>
        <w:tc>
          <w:tcPr/>
          <w:p>
            <w:pPr>
              <w:pStyle w:val="Compact"/>
              <w:jc w:val="right"/>
            </w:pPr>
            <w:r>
              <w:t xml:space="preserve">10</w:t>
            </w:r>
          </w:p>
        </w:tc>
        <w:tc>
          <w:tcPr/>
          <w:p>
            <w:pPr>
              <w:pStyle w:val="Compact"/>
              <w:jc w:val="right"/>
            </w:pPr>
            <w:r>
              <w:t xml:space="preserve">32</w:t>
            </w:r>
          </w:p>
        </w:tc>
        <w:tc>
          <w:tcPr/>
          <w:p>
            <w:pPr>
              <w:pStyle w:val="Compact"/>
              <w:jc w:val="right"/>
            </w:pPr>
            <w:r>
              <w:t xml:space="preserve">96</w:t>
            </w:r>
          </w:p>
        </w:tc>
      </w:tr>
      <w:tr>
        <w:tc>
          <w:tcPr/>
          <w:p>
            <w:pPr>
              <w:pStyle w:val="Compact"/>
              <w:jc w:val="left"/>
            </w:pPr>
            <w:r>
              <w:t xml:space="preserve">Mountain/Southwest</w:t>
            </w:r>
          </w:p>
        </w:tc>
        <w:tc>
          <w:tcPr/>
          <w:p>
            <w:pPr>
              <w:pStyle w:val="Compact"/>
              <w:jc w:val="right"/>
            </w:pPr>
            <w:r>
              <w:t xml:space="preserve">14.0</w:t>
            </w:r>
          </w:p>
        </w:tc>
        <w:tc>
          <w:tcPr/>
          <w:p>
            <w:pPr>
              <w:pStyle w:val="Compact"/>
              <w:jc w:val="right"/>
            </w:pPr>
            <w:r>
              <w:t xml:space="preserve">12</w:t>
            </w:r>
          </w:p>
        </w:tc>
        <w:tc>
          <w:tcPr/>
          <w:p>
            <w:pPr>
              <w:pStyle w:val="Compact"/>
              <w:jc w:val="right"/>
            </w:pPr>
            <w:r>
              <w:t xml:space="preserve">20</w:t>
            </w:r>
          </w:p>
        </w:tc>
        <w:tc>
          <w:tcPr/>
          <w:p>
            <w:pPr>
              <w:pStyle w:val="Compact"/>
              <w:jc w:val="right"/>
            </w:pPr>
            <w:r>
              <w:t xml:space="preserve">21</w:t>
            </w:r>
          </w:p>
        </w:tc>
      </w:tr>
      <w:tr>
        <w:tc>
          <w:tcPr/>
          <w:p>
            <w:pPr>
              <w:pStyle w:val="Compact"/>
              <w:jc w:val="left"/>
            </w:pPr>
            <w:r>
              <w:t xml:space="preserve">New England</w:t>
            </w:r>
          </w:p>
        </w:tc>
        <w:tc>
          <w:tcPr/>
          <w:p>
            <w:pPr>
              <w:pStyle w:val="Compact"/>
              <w:jc w:val="right"/>
            </w:pPr>
            <w:r>
              <w:t xml:space="preserve">29.5</w:t>
            </w:r>
          </w:p>
        </w:tc>
        <w:tc>
          <w:tcPr/>
          <w:p>
            <w:pPr>
              <w:pStyle w:val="Compact"/>
              <w:jc w:val="right"/>
            </w:pPr>
            <w:r>
              <w:t xml:space="preserve">14</w:t>
            </w:r>
          </w:p>
        </w:tc>
        <w:tc>
          <w:tcPr/>
          <w:p>
            <w:pPr>
              <w:pStyle w:val="Compact"/>
              <w:jc w:val="right"/>
            </w:pPr>
            <w:r>
              <w:t xml:space="preserve">51</w:t>
            </w:r>
          </w:p>
        </w:tc>
        <w:tc>
          <w:tcPr/>
          <w:p>
            <w:pPr>
              <w:pStyle w:val="Compact"/>
              <w:jc w:val="right"/>
            </w:pPr>
            <w:r>
              <w:t xml:space="preserve">26</w:t>
            </w:r>
          </w:p>
        </w:tc>
      </w:tr>
      <w:tr>
        <w:tc>
          <w:tcPr/>
          <w:p>
            <w:pPr>
              <w:pStyle w:val="Compact"/>
              <w:jc w:val="left"/>
            </w:pPr>
            <w:r>
              <w:t xml:space="preserve">Pacific</w:t>
            </w:r>
          </w:p>
        </w:tc>
        <w:tc>
          <w:tcPr/>
          <w:p>
            <w:pPr>
              <w:pStyle w:val="Compact"/>
              <w:jc w:val="right"/>
            </w:pPr>
            <w:r>
              <w:t xml:space="preserve">14.0</w:t>
            </w:r>
          </w:p>
        </w:tc>
        <w:tc>
          <w:tcPr/>
          <w:p>
            <w:pPr>
              <w:pStyle w:val="Compact"/>
              <w:jc w:val="right"/>
            </w:pPr>
            <w:r>
              <w:t xml:space="preserve">5</w:t>
            </w:r>
          </w:p>
        </w:tc>
        <w:tc>
          <w:tcPr/>
          <w:p>
            <w:pPr>
              <w:pStyle w:val="Compact"/>
              <w:jc w:val="right"/>
            </w:pPr>
            <w:r>
              <w:t xml:space="preserve">30</w:t>
            </w:r>
          </w:p>
        </w:tc>
        <w:tc>
          <w:tcPr/>
          <w:p>
            <w:pPr>
              <w:pStyle w:val="Compact"/>
              <w:jc w:val="right"/>
            </w:pPr>
            <w:r>
              <w:t xml:space="preserve">48</w:t>
            </w:r>
          </w:p>
        </w:tc>
      </w:tr>
      <w:tr>
        <w:tc>
          <w:tcPr/>
          <w:p>
            <w:pPr>
              <w:pStyle w:val="Compact"/>
              <w:jc w:val="left"/>
            </w:pPr>
            <w:r>
              <w:t xml:space="preserve">Southeast</w:t>
            </w:r>
          </w:p>
        </w:tc>
        <w:tc>
          <w:tcPr/>
          <w:p>
            <w:pPr>
              <w:pStyle w:val="Compact"/>
              <w:jc w:val="right"/>
            </w:pPr>
            <w:r>
              <w:t xml:space="preserve">9.0</w:t>
            </w:r>
          </w:p>
        </w:tc>
        <w:tc>
          <w:tcPr/>
          <w:p>
            <w:pPr>
              <w:pStyle w:val="Compact"/>
              <w:jc w:val="right"/>
            </w:pPr>
            <w:r>
              <w:t xml:space="preserve">4</w:t>
            </w:r>
          </w:p>
        </w:tc>
        <w:tc>
          <w:tcPr/>
          <w:p>
            <w:pPr>
              <w:pStyle w:val="Compact"/>
              <w:jc w:val="right"/>
            </w:pPr>
            <w:r>
              <w:t xml:space="preserve">20</w:t>
            </w:r>
          </w:p>
        </w:tc>
        <w:tc>
          <w:tcPr/>
          <w:p>
            <w:pPr>
              <w:pStyle w:val="Compact"/>
              <w:jc w:val="right"/>
            </w:pPr>
            <w:r>
              <w:t xml:space="preserve">81</w:t>
            </w:r>
          </w:p>
        </w:tc>
      </w:tr>
    </w:tbl>
    <w:p/>
    <w:p>
      <w:pPr>
        <w:pStyle w:val="TableCaption"/>
      </w:pPr>
      <w:r>
        <w:t xml:space="preserve">Table S6. Appointment offer-rate disparities by region.</w:t>
      </w:r>
    </w:p>
    <w:tbl>
      <w:tblPr>
        <w:tblStyle w:val="Table"/>
        <w:tblW w:type="pct" w:w="5000"/>
        <w:tblLayout w:type="fixed"/>
        <w:tblLook w:firstRow="1" w:lastRow="0" w:firstColumn="0" w:lastColumn="0" w:noHBand="0" w:noVBand="0" w:val="0020"/>
        <w:tblCaption w:val="Table S6. Appointment offer-rate disparities by region."/>
      </w:tblPr>
      <w:tblGrid>
        <w:gridCol w:w="1543"/>
        <w:gridCol w:w="268"/>
        <w:gridCol w:w="738"/>
        <w:gridCol w:w="402"/>
        <w:gridCol w:w="604"/>
        <w:gridCol w:w="604"/>
        <w:gridCol w:w="604"/>
        <w:gridCol w:w="604"/>
        <w:gridCol w:w="604"/>
        <w:gridCol w:w="604"/>
        <w:gridCol w:w="536"/>
        <w:gridCol w:w="805"/>
      </w:tblGrid>
      <w:tr>
        <w:trPr>
          <w:tblHeader w:val="on"/>
        </w:trPr>
        <w:tc>
          <w:tcPr/>
          <w:p>
            <w:pPr>
              <w:pStyle w:val="Compact"/>
              <w:jc w:val="left"/>
            </w:pPr>
            <w:r>
              <w:t xml:space="preserve">group</w:t>
            </w:r>
          </w:p>
        </w:tc>
        <w:tc>
          <w:tcPr/>
          <w:p>
            <w:pPr>
              <w:pStyle w:val="Compact"/>
              <w:jc w:val="right"/>
            </w:pPr>
            <w:r>
              <w:t xml:space="preserve">n</w:t>
            </w:r>
          </w:p>
        </w:tc>
        <w:tc>
          <w:tcPr/>
          <w:p>
            <w:pPr>
              <w:pStyle w:val="Compact"/>
              <w:jc w:val="right"/>
            </w:pPr>
            <w:r>
              <w:t xml:space="preserve">n_accepted</w:t>
            </w:r>
          </w:p>
        </w:tc>
        <w:tc>
          <w:tcPr/>
          <w:p>
            <w:pPr>
              <w:pStyle w:val="Compact"/>
              <w:jc w:val="right"/>
            </w:pPr>
            <w:r>
              <w:t xml:space="preserve">rate</w:t>
            </w:r>
          </w:p>
        </w:tc>
        <w:tc>
          <w:tcPr/>
          <w:p>
            <w:pPr>
              <w:pStyle w:val="Compact"/>
              <w:jc w:val="right"/>
            </w:pPr>
            <w:r>
              <w:t xml:space="preserve">lower_ci</w:t>
            </w:r>
          </w:p>
        </w:tc>
        <w:tc>
          <w:tcPr/>
          <w:p>
            <w:pPr>
              <w:pStyle w:val="Compact"/>
              <w:jc w:val="right"/>
            </w:pPr>
            <w:r>
              <w:t xml:space="preserve">upper_ci</w:t>
            </w:r>
          </w:p>
        </w:tc>
        <w:tc>
          <w:tcPr/>
          <w:p>
            <w:pPr>
              <w:pStyle w:val="Compact"/>
              <w:jc w:val="right"/>
            </w:pPr>
            <w:r>
              <w:t xml:space="preserve">abs_diff</w:t>
            </w:r>
          </w:p>
        </w:tc>
        <w:tc>
          <w:tcPr/>
          <w:p>
            <w:pPr>
              <w:pStyle w:val="Compact"/>
              <w:jc w:val="right"/>
            </w:pPr>
            <w:r>
              <w:t xml:space="preserve">rel_risk</w:t>
            </w:r>
          </w:p>
        </w:tc>
        <w:tc>
          <w:tcPr/>
          <w:p>
            <w:pPr>
              <w:pStyle w:val="Compact"/>
              <w:jc w:val="right"/>
            </w:pPr>
            <w:r>
              <w:t xml:space="preserve">rr_lower</w:t>
            </w:r>
          </w:p>
        </w:tc>
        <w:tc>
          <w:tcPr/>
          <w:p>
            <w:pPr>
              <w:pStyle w:val="Compact"/>
              <w:jc w:val="right"/>
            </w:pPr>
            <w:r>
              <w:t xml:space="preserve">rr_upper</w:t>
            </w:r>
          </w:p>
        </w:tc>
        <w:tc>
          <w:tcPr/>
          <w:p>
            <w:pPr>
              <w:pStyle w:val="Compact"/>
              <w:jc w:val="right"/>
            </w:pPr>
            <w:r>
              <w:t xml:space="preserve">p_value</w:t>
            </w:r>
          </w:p>
        </w:tc>
        <w:tc>
          <w:tcPr/>
          <w:p>
            <w:pPr>
              <w:pStyle w:val="Compact"/>
              <w:jc w:val="left"/>
            </w:pPr>
            <w:r>
              <w:t xml:space="preserve">p_value_fmt</w:t>
            </w:r>
          </w:p>
        </w:tc>
      </w:tr>
      <w:tr>
        <w:tc>
          <w:tcPr/>
          <w:p>
            <w:pPr>
              <w:pStyle w:val="Compact"/>
              <w:jc w:val="left"/>
            </w:pPr>
            <w:r>
              <w:t xml:space="preserve">New England</w:t>
            </w:r>
          </w:p>
        </w:tc>
        <w:tc>
          <w:tcPr/>
          <w:p>
            <w:pPr>
              <w:pStyle w:val="Compact"/>
              <w:jc w:val="right"/>
            </w:pPr>
            <w:r>
              <w:t xml:space="preserve">48</w:t>
            </w:r>
          </w:p>
        </w:tc>
        <w:tc>
          <w:tcPr/>
          <w:p>
            <w:pPr>
              <w:pStyle w:val="Compact"/>
              <w:jc w:val="right"/>
            </w:pPr>
            <w:r>
              <w:t xml:space="preserve">26</w:t>
            </w:r>
          </w:p>
        </w:tc>
        <w:tc>
          <w:tcPr/>
          <w:p>
            <w:pPr>
              <w:pStyle w:val="Compact"/>
              <w:jc w:val="right"/>
            </w:pPr>
            <w:r>
              <w:t xml:space="preserve">0.542</w:t>
            </w:r>
          </w:p>
        </w:tc>
        <w:tc>
          <w:tcPr/>
          <w:p>
            <w:pPr>
              <w:pStyle w:val="Compact"/>
              <w:jc w:val="right"/>
            </w:pPr>
            <w:r>
              <w:t xml:space="preserve">0.403</w:t>
            </w:r>
          </w:p>
        </w:tc>
        <w:tc>
          <w:tcPr/>
          <w:p>
            <w:pPr>
              <w:pStyle w:val="Compact"/>
              <w:jc w:val="right"/>
            </w:pPr>
            <w:r>
              <w:t xml:space="preserve">0.674</w:t>
            </w:r>
          </w:p>
        </w:tc>
        <w:tc>
          <w:tcPr/>
          <w:p>
            <w:pPr>
              <w:pStyle w:val="Compact"/>
              <w:jc w:val="right"/>
            </w:pPr>
            <w:r>
              <w:t xml:space="preserve">0.000</w:t>
            </w:r>
          </w:p>
        </w:tc>
        <w:tc>
          <w:tcPr/>
          <w:p>
            <w:pPr>
              <w:pStyle w:val="Compact"/>
              <w:jc w:val="right"/>
            </w:pPr>
            <w:r>
              <w:t xml:space="preserve">1.000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NA</w:t>
            </w:r>
          </w:p>
        </w:tc>
      </w:tr>
      <w:tr>
        <w:tc>
          <w:tcPr/>
          <w:p>
            <w:pPr>
              <w:pStyle w:val="Compact"/>
              <w:jc w:val="left"/>
            </w:pPr>
            <w:r>
              <w:t xml:space="preserve">Central</w:t>
            </w:r>
          </w:p>
        </w:tc>
        <w:tc>
          <w:tcPr/>
          <w:p>
            <w:pPr>
              <w:pStyle w:val="Compact"/>
              <w:jc w:val="right"/>
            </w:pPr>
            <w:r>
              <w:t xml:space="preserve">109</w:t>
            </w:r>
          </w:p>
        </w:tc>
        <w:tc>
          <w:tcPr/>
          <w:p>
            <w:pPr>
              <w:pStyle w:val="Compact"/>
              <w:jc w:val="right"/>
            </w:pPr>
            <w:r>
              <w:t xml:space="preserve">74</w:t>
            </w:r>
          </w:p>
        </w:tc>
        <w:tc>
          <w:tcPr/>
          <w:p>
            <w:pPr>
              <w:pStyle w:val="Compact"/>
              <w:jc w:val="right"/>
            </w:pPr>
            <w:r>
              <w:t xml:space="preserve">0.679</w:t>
            </w:r>
          </w:p>
        </w:tc>
        <w:tc>
          <w:tcPr/>
          <w:p>
            <w:pPr>
              <w:pStyle w:val="Compact"/>
              <w:jc w:val="right"/>
            </w:pPr>
            <w:r>
              <w:t xml:space="preserve">0.586</w:t>
            </w:r>
          </w:p>
        </w:tc>
        <w:tc>
          <w:tcPr/>
          <w:p>
            <w:pPr>
              <w:pStyle w:val="Compact"/>
              <w:jc w:val="right"/>
            </w:pPr>
            <w:r>
              <w:t xml:space="preserve">0.759</w:t>
            </w:r>
          </w:p>
        </w:tc>
        <w:tc>
          <w:tcPr/>
          <w:p>
            <w:pPr>
              <w:pStyle w:val="Compact"/>
              <w:jc w:val="right"/>
            </w:pPr>
            <w:r>
              <w:t xml:space="preserve">13.723</w:t>
            </w:r>
          </w:p>
        </w:tc>
        <w:tc>
          <w:tcPr/>
          <w:p>
            <w:pPr>
              <w:pStyle w:val="Compact"/>
              <w:jc w:val="right"/>
            </w:pPr>
            <w:r>
              <w:t xml:space="preserve">1.253</w:t>
            </w:r>
          </w:p>
        </w:tc>
        <w:tc>
          <w:tcPr/>
          <w:p>
            <w:pPr>
              <w:pStyle w:val="Compact"/>
              <w:jc w:val="right"/>
            </w:pPr>
            <w:r>
              <w:t xml:space="preserve">0.937</w:t>
            </w:r>
          </w:p>
        </w:tc>
        <w:tc>
          <w:tcPr/>
          <w:p>
            <w:pPr>
              <w:pStyle w:val="Compact"/>
              <w:jc w:val="right"/>
            </w:pPr>
            <w:r>
              <w:t xml:space="preserve">1.676</w:t>
            </w:r>
          </w:p>
        </w:tc>
        <w:tc>
          <w:tcPr/>
          <w:p>
            <w:pPr>
              <w:pStyle w:val="Compact"/>
              <w:jc w:val="right"/>
            </w:pPr>
            <w:r>
              <w:t xml:space="preserve">0.099</w:t>
            </w:r>
          </w:p>
        </w:tc>
        <w:tc>
          <w:tcPr/>
          <w:p>
            <w:pPr>
              <w:pStyle w:val="Compact"/>
              <w:jc w:val="left"/>
            </w:pPr>
            <w:r>
              <w:t xml:space="preserve">p = 0.099</w:t>
            </w:r>
          </w:p>
        </w:tc>
      </w:tr>
      <w:tr>
        <w:tc>
          <w:tcPr/>
          <w:p>
            <w:pPr>
              <w:pStyle w:val="Compact"/>
              <w:jc w:val="left"/>
            </w:pPr>
            <w:r>
              <w:t xml:space="preserve">Midwest</w:t>
            </w:r>
          </w:p>
        </w:tc>
        <w:tc>
          <w:tcPr/>
          <w:p>
            <w:pPr>
              <w:pStyle w:val="Compact"/>
              <w:jc w:val="right"/>
            </w:pPr>
            <w:r>
              <w:t xml:space="preserve">154</w:t>
            </w:r>
          </w:p>
        </w:tc>
        <w:tc>
          <w:tcPr/>
          <w:p>
            <w:pPr>
              <w:pStyle w:val="Compact"/>
              <w:jc w:val="right"/>
            </w:pPr>
            <w:r>
              <w:t xml:space="preserve">100</w:t>
            </w:r>
          </w:p>
        </w:tc>
        <w:tc>
          <w:tcPr/>
          <w:p>
            <w:pPr>
              <w:pStyle w:val="Compact"/>
              <w:jc w:val="right"/>
            </w:pPr>
            <w:r>
              <w:t xml:space="preserve">0.649</w:t>
            </w:r>
          </w:p>
        </w:tc>
        <w:tc>
          <w:tcPr/>
          <w:p>
            <w:pPr>
              <w:pStyle w:val="Compact"/>
              <w:jc w:val="right"/>
            </w:pPr>
            <w:r>
              <w:t xml:space="preserve">0.571</w:t>
            </w:r>
          </w:p>
        </w:tc>
        <w:tc>
          <w:tcPr/>
          <w:p>
            <w:pPr>
              <w:pStyle w:val="Compact"/>
              <w:jc w:val="right"/>
            </w:pPr>
            <w:r>
              <w:t xml:space="preserve">0.720</w:t>
            </w:r>
          </w:p>
        </w:tc>
        <w:tc>
          <w:tcPr/>
          <w:p>
            <w:pPr>
              <w:pStyle w:val="Compact"/>
              <w:jc w:val="right"/>
            </w:pPr>
            <w:r>
              <w:t xml:space="preserve">10.768</w:t>
            </w:r>
          </w:p>
        </w:tc>
        <w:tc>
          <w:tcPr/>
          <w:p>
            <w:pPr>
              <w:pStyle w:val="Compact"/>
              <w:jc w:val="right"/>
            </w:pPr>
            <w:r>
              <w:t xml:space="preserve">1.199</w:t>
            </w:r>
          </w:p>
        </w:tc>
        <w:tc>
          <w:tcPr/>
          <w:p>
            <w:pPr>
              <w:pStyle w:val="Compact"/>
              <w:jc w:val="right"/>
            </w:pPr>
            <w:r>
              <w:t xml:space="preserve">0.902</w:t>
            </w:r>
          </w:p>
        </w:tc>
        <w:tc>
          <w:tcPr/>
          <w:p>
            <w:pPr>
              <w:pStyle w:val="Compact"/>
              <w:jc w:val="right"/>
            </w:pPr>
            <w:r>
              <w:t xml:space="preserve">1.594</w:t>
            </w:r>
          </w:p>
        </w:tc>
        <w:tc>
          <w:tcPr/>
          <w:p>
            <w:pPr>
              <w:pStyle w:val="Compact"/>
              <w:jc w:val="right"/>
            </w:pPr>
            <w:r>
              <w:t xml:space="preserve">0.179</w:t>
            </w:r>
          </w:p>
        </w:tc>
        <w:tc>
          <w:tcPr/>
          <w:p>
            <w:pPr>
              <w:pStyle w:val="Compact"/>
              <w:jc w:val="left"/>
            </w:pPr>
            <w:r>
              <w:t xml:space="preserve">p = 0.179</w:t>
            </w:r>
          </w:p>
        </w:tc>
      </w:tr>
      <w:tr>
        <w:tc>
          <w:tcPr/>
          <w:p>
            <w:pPr>
              <w:pStyle w:val="Compact"/>
              <w:jc w:val="left"/>
            </w:pPr>
            <w:r>
              <w:t xml:space="preserve">Southeast</w:t>
            </w:r>
          </w:p>
        </w:tc>
        <w:tc>
          <w:tcPr/>
          <w:p>
            <w:pPr>
              <w:pStyle w:val="Compact"/>
              <w:jc w:val="right"/>
            </w:pPr>
            <w:r>
              <w:t xml:space="preserve">129</w:t>
            </w:r>
          </w:p>
        </w:tc>
        <w:tc>
          <w:tcPr/>
          <w:p>
            <w:pPr>
              <w:pStyle w:val="Compact"/>
              <w:jc w:val="right"/>
            </w:pPr>
            <w:r>
              <w:t xml:space="preserve">81</w:t>
            </w:r>
          </w:p>
        </w:tc>
        <w:tc>
          <w:tcPr/>
          <w:p>
            <w:pPr>
              <w:pStyle w:val="Compact"/>
              <w:jc w:val="right"/>
            </w:pPr>
            <w:r>
              <w:t xml:space="preserve">0.628</w:t>
            </w:r>
          </w:p>
        </w:tc>
        <w:tc>
          <w:tcPr/>
          <w:p>
            <w:pPr>
              <w:pStyle w:val="Compact"/>
              <w:jc w:val="right"/>
            </w:pPr>
            <w:r>
              <w:t xml:space="preserve">0.542</w:t>
            </w:r>
          </w:p>
        </w:tc>
        <w:tc>
          <w:tcPr/>
          <w:p>
            <w:pPr>
              <w:pStyle w:val="Compact"/>
              <w:jc w:val="right"/>
            </w:pPr>
            <w:r>
              <w:t xml:space="preserve">0.706</w:t>
            </w:r>
          </w:p>
        </w:tc>
        <w:tc>
          <w:tcPr/>
          <w:p>
            <w:pPr>
              <w:pStyle w:val="Compact"/>
              <w:jc w:val="right"/>
            </w:pPr>
            <w:r>
              <w:t xml:space="preserve">8.624</w:t>
            </w:r>
          </w:p>
        </w:tc>
        <w:tc>
          <w:tcPr/>
          <w:p>
            <w:pPr>
              <w:pStyle w:val="Compact"/>
              <w:jc w:val="right"/>
            </w:pPr>
            <w:r>
              <w:t xml:space="preserve">1.159</w:t>
            </w:r>
          </w:p>
        </w:tc>
        <w:tc>
          <w:tcPr/>
          <w:p>
            <w:pPr>
              <w:pStyle w:val="Compact"/>
              <w:jc w:val="right"/>
            </w:pPr>
            <w:r>
              <w:t xml:space="preserve">0.866</w:t>
            </w:r>
          </w:p>
        </w:tc>
        <w:tc>
          <w:tcPr/>
          <w:p>
            <w:pPr>
              <w:pStyle w:val="Compact"/>
              <w:jc w:val="right"/>
            </w:pPr>
            <w:r>
              <w:t xml:space="preserve">1.553</w:t>
            </w:r>
          </w:p>
        </w:tc>
        <w:tc>
          <w:tcPr/>
          <w:p>
            <w:pPr>
              <w:pStyle w:val="Compact"/>
              <w:jc w:val="right"/>
            </w:pPr>
            <w:r>
              <w:t xml:space="preserve">0.297</w:t>
            </w:r>
          </w:p>
        </w:tc>
        <w:tc>
          <w:tcPr/>
          <w:p>
            <w:pPr>
              <w:pStyle w:val="Compact"/>
              <w:jc w:val="left"/>
            </w:pPr>
            <w:r>
              <w:t xml:space="preserve">p = 0.297</w:t>
            </w:r>
          </w:p>
        </w:tc>
      </w:tr>
      <w:tr>
        <w:tc>
          <w:tcPr/>
          <w:p>
            <w:pPr>
              <w:pStyle w:val="Compact"/>
              <w:jc w:val="left"/>
            </w:pPr>
            <w:r>
              <w:t xml:space="preserve">Mid-Atlantic/Southeast</w:t>
            </w:r>
          </w:p>
        </w:tc>
        <w:tc>
          <w:tcPr/>
          <w:p>
            <w:pPr>
              <w:pStyle w:val="Compact"/>
              <w:jc w:val="right"/>
            </w:pPr>
            <w:r>
              <w:t xml:space="preserve">67</w:t>
            </w:r>
          </w:p>
        </w:tc>
        <w:tc>
          <w:tcPr/>
          <w:p>
            <w:pPr>
              <w:pStyle w:val="Compact"/>
              <w:jc w:val="right"/>
            </w:pPr>
            <w:r>
              <w:t xml:space="preserve">39</w:t>
            </w:r>
          </w:p>
        </w:tc>
        <w:tc>
          <w:tcPr/>
          <w:p>
            <w:pPr>
              <w:pStyle w:val="Compact"/>
              <w:jc w:val="right"/>
            </w:pPr>
            <w:r>
              <w:t xml:space="preserve">0.582</w:t>
            </w:r>
          </w:p>
        </w:tc>
        <w:tc>
          <w:tcPr/>
          <w:p>
            <w:pPr>
              <w:pStyle w:val="Compact"/>
              <w:jc w:val="right"/>
            </w:pPr>
            <w:r>
              <w:t xml:space="preserve">0.463</w:t>
            </w:r>
          </w:p>
        </w:tc>
        <w:tc>
          <w:tcPr/>
          <w:p>
            <w:pPr>
              <w:pStyle w:val="Compact"/>
              <w:jc w:val="right"/>
            </w:pPr>
            <w:r>
              <w:t xml:space="preserve">0.693</w:t>
            </w:r>
          </w:p>
        </w:tc>
        <w:tc>
          <w:tcPr/>
          <w:p>
            <w:pPr>
              <w:pStyle w:val="Compact"/>
              <w:jc w:val="right"/>
            </w:pPr>
            <w:r>
              <w:t xml:space="preserve">4.042</w:t>
            </w:r>
          </w:p>
        </w:tc>
        <w:tc>
          <w:tcPr/>
          <w:p>
            <w:pPr>
              <w:pStyle w:val="Compact"/>
              <w:jc w:val="right"/>
            </w:pPr>
            <w:r>
              <w:t xml:space="preserve">1.075</w:t>
            </w:r>
          </w:p>
        </w:tc>
        <w:tc>
          <w:tcPr/>
          <w:p>
            <w:pPr>
              <w:pStyle w:val="Compact"/>
              <w:jc w:val="right"/>
            </w:pPr>
            <w:r>
              <w:t xml:space="preserve">0.773</w:t>
            </w:r>
          </w:p>
        </w:tc>
        <w:tc>
          <w:tcPr/>
          <w:p>
            <w:pPr>
              <w:pStyle w:val="Compact"/>
              <w:jc w:val="right"/>
            </w:pPr>
            <w:r>
              <w:t xml:space="preserve">1.495</w:t>
            </w:r>
          </w:p>
        </w:tc>
        <w:tc>
          <w:tcPr/>
          <w:p>
            <w:pPr>
              <w:pStyle w:val="Compact"/>
              <w:jc w:val="right"/>
            </w:pPr>
            <w:r>
              <w:t xml:space="preserve">0.666</w:t>
            </w:r>
          </w:p>
        </w:tc>
        <w:tc>
          <w:tcPr/>
          <w:p>
            <w:pPr>
              <w:pStyle w:val="Compact"/>
              <w:jc w:val="left"/>
            </w:pPr>
            <w:r>
              <w:t xml:space="preserve">p = 0.666</w:t>
            </w:r>
          </w:p>
        </w:tc>
      </w:tr>
      <w:tr>
        <w:tc>
          <w:tcPr/>
          <w:p>
            <w:pPr>
              <w:pStyle w:val="Compact"/>
              <w:jc w:val="left"/>
            </w:pPr>
            <w:r>
              <w:t xml:space="preserve">Pacific</w:t>
            </w:r>
          </w:p>
        </w:tc>
        <w:tc>
          <w:tcPr/>
          <w:p>
            <w:pPr>
              <w:pStyle w:val="Compact"/>
              <w:jc w:val="right"/>
            </w:pPr>
            <w:r>
              <w:t xml:space="preserve">88</w:t>
            </w:r>
          </w:p>
        </w:tc>
        <w:tc>
          <w:tcPr/>
          <w:p>
            <w:pPr>
              <w:pStyle w:val="Compact"/>
              <w:jc w:val="right"/>
            </w:pPr>
            <w:r>
              <w:t xml:space="preserve">50</w:t>
            </w:r>
          </w:p>
        </w:tc>
        <w:tc>
          <w:tcPr/>
          <w:p>
            <w:pPr>
              <w:pStyle w:val="Compact"/>
              <w:jc w:val="right"/>
            </w:pPr>
            <w:r>
              <w:t xml:space="preserve">0.568</w:t>
            </w:r>
          </w:p>
        </w:tc>
        <w:tc>
          <w:tcPr/>
          <w:p>
            <w:pPr>
              <w:pStyle w:val="Compact"/>
              <w:jc w:val="right"/>
            </w:pPr>
            <w:r>
              <w:t xml:space="preserve">0.464</w:t>
            </w:r>
          </w:p>
        </w:tc>
        <w:tc>
          <w:tcPr/>
          <w:p>
            <w:pPr>
              <w:pStyle w:val="Compact"/>
              <w:jc w:val="right"/>
            </w:pPr>
            <w:r>
              <w:t xml:space="preserve">0.667</w:t>
            </w:r>
          </w:p>
        </w:tc>
        <w:tc>
          <w:tcPr/>
          <w:p>
            <w:pPr>
              <w:pStyle w:val="Compact"/>
              <w:jc w:val="right"/>
            </w:pPr>
            <w:r>
              <w:t xml:space="preserve">2.652</w:t>
            </w:r>
          </w:p>
        </w:tc>
        <w:tc>
          <w:tcPr/>
          <w:p>
            <w:pPr>
              <w:pStyle w:val="Compact"/>
              <w:jc w:val="right"/>
            </w:pPr>
            <w:r>
              <w:t xml:space="preserve">1.049</w:t>
            </w:r>
          </w:p>
        </w:tc>
        <w:tc>
          <w:tcPr/>
          <w:p>
            <w:pPr>
              <w:pStyle w:val="Compact"/>
              <w:jc w:val="right"/>
            </w:pPr>
            <w:r>
              <w:t xml:space="preserve">0.763</w:t>
            </w:r>
          </w:p>
        </w:tc>
        <w:tc>
          <w:tcPr/>
          <w:p>
            <w:pPr>
              <w:pStyle w:val="Compact"/>
              <w:jc w:val="right"/>
            </w:pPr>
            <w:r>
              <w:t xml:space="preserve">1.441</w:t>
            </w:r>
          </w:p>
        </w:tc>
        <w:tc>
          <w:tcPr/>
          <w:p>
            <w:pPr>
              <w:pStyle w:val="Compact"/>
              <w:jc w:val="right"/>
            </w:pPr>
            <w:r>
              <w:t xml:space="preserve">0.766</w:t>
            </w:r>
          </w:p>
        </w:tc>
        <w:tc>
          <w:tcPr/>
          <w:p>
            <w:pPr>
              <w:pStyle w:val="Compact"/>
              <w:jc w:val="left"/>
            </w:pPr>
            <w:r>
              <w:t xml:space="preserve">p = 0.766</w:t>
            </w:r>
          </w:p>
        </w:tc>
      </w:tr>
      <w:tr>
        <w:tc>
          <w:tcPr/>
          <w:p>
            <w:pPr>
              <w:pStyle w:val="Compact"/>
              <w:jc w:val="left"/>
            </w:pPr>
            <w:r>
              <w:t xml:space="preserve">Middle Atlantic</w:t>
            </w:r>
          </w:p>
        </w:tc>
        <w:tc>
          <w:tcPr/>
          <w:p>
            <w:pPr>
              <w:pStyle w:val="Compact"/>
              <w:jc w:val="right"/>
            </w:pPr>
            <w:r>
              <w:t xml:space="preserve">91</w:t>
            </w:r>
          </w:p>
        </w:tc>
        <w:tc>
          <w:tcPr/>
          <w:p>
            <w:pPr>
              <w:pStyle w:val="Compact"/>
              <w:jc w:val="right"/>
            </w:pPr>
            <w:r>
              <w:t xml:space="preserve">45</w:t>
            </w:r>
          </w:p>
        </w:tc>
        <w:tc>
          <w:tcPr/>
          <w:p>
            <w:pPr>
              <w:pStyle w:val="Compact"/>
              <w:jc w:val="right"/>
            </w:pPr>
            <w:r>
              <w:t xml:space="preserve">0.495</w:t>
            </w:r>
          </w:p>
        </w:tc>
        <w:tc>
          <w:tcPr/>
          <w:p>
            <w:pPr>
              <w:pStyle w:val="Compact"/>
              <w:jc w:val="right"/>
            </w:pPr>
            <w:r>
              <w:t xml:space="preserve">0.394</w:t>
            </w:r>
          </w:p>
        </w:tc>
        <w:tc>
          <w:tcPr/>
          <w:p>
            <w:pPr>
              <w:pStyle w:val="Compact"/>
              <w:jc w:val="right"/>
            </w:pPr>
            <w:r>
              <w:t xml:space="preserve">0.595</w:t>
            </w:r>
          </w:p>
        </w:tc>
        <w:tc>
          <w:tcPr/>
          <w:p>
            <w:pPr>
              <w:pStyle w:val="Compact"/>
              <w:jc w:val="right"/>
            </w:pPr>
            <w:r>
              <w:t xml:space="preserve">-4.716</w:t>
            </w:r>
          </w:p>
        </w:tc>
        <w:tc>
          <w:tcPr/>
          <w:p>
            <w:pPr>
              <w:pStyle w:val="Compact"/>
              <w:jc w:val="right"/>
            </w:pPr>
            <w:r>
              <w:t xml:space="preserve">0.913</w:t>
            </w:r>
          </w:p>
        </w:tc>
        <w:tc>
          <w:tcPr/>
          <w:p>
            <w:pPr>
              <w:pStyle w:val="Compact"/>
              <w:jc w:val="right"/>
            </w:pPr>
            <w:r>
              <w:t xml:space="preserve">0.654</w:t>
            </w:r>
          </w:p>
        </w:tc>
        <w:tc>
          <w:tcPr/>
          <w:p>
            <w:pPr>
              <w:pStyle w:val="Compact"/>
              <w:jc w:val="right"/>
            </w:pPr>
            <w:r>
              <w:t xml:space="preserve">1.274</w:t>
            </w:r>
          </w:p>
        </w:tc>
        <w:tc>
          <w:tcPr/>
          <w:p>
            <w:pPr>
              <w:pStyle w:val="Compact"/>
              <w:jc w:val="right"/>
            </w:pPr>
            <w:r>
              <w:t xml:space="preserve">0.597</w:t>
            </w:r>
          </w:p>
        </w:tc>
        <w:tc>
          <w:tcPr/>
          <w:p>
            <w:pPr>
              <w:pStyle w:val="Compact"/>
              <w:jc w:val="left"/>
            </w:pPr>
            <w:r>
              <w:t xml:space="preserve">p = 0.597</w:t>
            </w:r>
          </w:p>
        </w:tc>
      </w:tr>
      <w:tr>
        <w:tc>
          <w:tcPr/>
          <w:p>
            <w:pPr>
              <w:pStyle w:val="Compact"/>
              <w:jc w:val="left"/>
            </w:pPr>
            <w:r>
              <w:t xml:space="preserve">Mountain/Southwest</w:t>
            </w:r>
          </w:p>
        </w:tc>
        <w:tc>
          <w:tcPr/>
          <w:p>
            <w:pPr>
              <w:pStyle w:val="Compact"/>
              <w:jc w:val="right"/>
            </w:pPr>
            <w:r>
              <w:t xml:space="preserve">45</w:t>
            </w:r>
          </w:p>
        </w:tc>
        <w:tc>
          <w:tcPr/>
          <w:p>
            <w:pPr>
              <w:pStyle w:val="Compact"/>
              <w:jc w:val="right"/>
            </w:pPr>
            <w:r>
              <w:t xml:space="preserve">21</w:t>
            </w:r>
          </w:p>
        </w:tc>
        <w:tc>
          <w:tcPr/>
          <w:p>
            <w:pPr>
              <w:pStyle w:val="Compact"/>
              <w:jc w:val="right"/>
            </w:pPr>
            <w:r>
              <w:t xml:space="preserve">0.467</w:t>
            </w:r>
          </w:p>
        </w:tc>
        <w:tc>
          <w:tcPr/>
          <w:p>
            <w:pPr>
              <w:pStyle w:val="Compact"/>
              <w:jc w:val="right"/>
            </w:pPr>
            <w:r>
              <w:t xml:space="preserve">0.329</w:t>
            </w:r>
          </w:p>
        </w:tc>
        <w:tc>
          <w:tcPr/>
          <w:p>
            <w:pPr>
              <w:pStyle w:val="Compact"/>
              <w:jc w:val="right"/>
            </w:pPr>
            <w:r>
              <w:t xml:space="preserve">0.609</w:t>
            </w:r>
          </w:p>
        </w:tc>
        <w:tc>
          <w:tcPr/>
          <w:p>
            <w:pPr>
              <w:pStyle w:val="Compact"/>
              <w:jc w:val="right"/>
            </w:pPr>
            <w:r>
              <w:t xml:space="preserve">-7.500</w:t>
            </w:r>
          </w:p>
        </w:tc>
        <w:tc>
          <w:tcPr/>
          <w:p>
            <w:pPr>
              <w:pStyle w:val="Compact"/>
              <w:jc w:val="right"/>
            </w:pPr>
            <w:r>
              <w:t xml:space="preserve">0.862</w:t>
            </w:r>
          </w:p>
        </w:tc>
        <w:tc>
          <w:tcPr/>
          <w:p>
            <w:pPr>
              <w:pStyle w:val="Compact"/>
              <w:jc w:val="right"/>
            </w:pPr>
            <w:r>
              <w:t xml:space="preserve">0.574</w:t>
            </w:r>
          </w:p>
        </w:tc>
        <w:tc>
          <w:tcPr/>
          <w:p>
            <w:pPr>
              <w:pStyle w:val="Compact"/>
              <w:jc w:val="right"/>
            </w:pPr>
            <w:r>
              <w:t xml:space="preserve">1.294</w:t>
            </w:r>
          </w:p>
        </w:tc>
        <w:tc>
          <w:tcPr/>
          <w:p>
            <w:pPr>
              <w:pStyle w:val="Compact"/>
              <w:jc w:val="right"/>
            </w:pPr>
            <w:r>
              <w:t xml:space="preserve">0.470</w:t>
            </w:r>
          </w:p>
        </w:tc>
        <w:tc>
          <w:tcPr/>
          <w:p>
            <w:pPr>
              <w:pStyle w:val="Compact"/>
              <w:jc w:val="left"/>
            </w:pPr>
            <w:r>
              <w:t xml:space="preserve">p = 0.470</w:t>
            </w:r>
          </w:p>
        </w:tc>
      </w:tr>
    </w:tbl>
    <w:p/>
    <w:p>
      <w:pPr>
        <w:pStyle w:val="TableCaption"/>
      </w:pPr>
      <w:r>
        <w:t xml:space="preserve">Table S7. Access vs. timeliness models, side by side.</w:t>
      </w:r>
    </w:p>
    <w:tbl>
      <w:tblPr>
        <w:tblStyle w:val="Table"/>
        <w:tblW w:type="pct" w:w="5000"/>
        <w:tblLayout w:type="fixed"/>
        <w:tblLook w:firstRow="1" w:lastRow="0" w:firstColumn="0" w:lastColumn="0" w:noHBand="0" w:noVBand="0" w:val="0020"/>
        <w:tblCaption w:val="Table S7. Access vs. timeliness models, side by side."/>
      </w:tblPr>
      <w:tblGrid>
        <w:gridCol w:w="3168"/>
        <w:gridCol w:w="2464"/>
        <w:gridCol w:w="2288"/>
      </w:tblGrid>
      <w:tr>
        <w:trPr>
          <w:tblHeader w:val="on"/>
        </w:trPr>
        <w:tc>
          <w:tcPr/>
          <w:p>
            <w:pPr>
              <w:pStyle w:val="Compact"/>
              <w:jc w:val="left"/>
            </w:pPr>
            <w:r>
              <w:t xml:space="preserve">Term</w:t>
            </w:r>
          </w:p>
        </w:tc>
        <w:tc>
          <w:tcPr/>
          <w:p>
            <w:pPr>
              <w:pStyle w:val="Compact"/>
              <w:jc w:val="left"/>
            </w:pPr>
            <w:r>
              <w:t xml:space="preserve">Access [Logistic]</w:t>
            </w:r>
          </w:p>
        </w:tc>
        <w:tc>
          <w:tcPr/>
          <w:p>
            <w:pPr>
              <w:pStyle w:val="Compact"/>
              <w:jc w:val="left"/>
            </w:pPr>
            <w:r>
              <w:t xml:space="preserve">Timeliness [NB]</w:t>
            </w:r>
          </w:p>
        </w:tc>
      </w:tr>
      <w:tr>
        <w:tc>
          <w:tcPr/>
          <w:p>
            <w:pPr>
              <w:pStyle w:val="Compact"/>
              <w:jc w:val="left"/>
            </w:pPr>
            <w:r>
              <w:t xml:space="preserve">General otolaryngology (reference)</w:t>
            </w:r>
          </w:p>
        </w:tc>
        <w:tc>
          <w:tcPr/>
          <w:p>
            <w:pPr>
              <w:pStyle w:val="Compact"/>
              <w:jc w:val="left"/>
            </w:pPr>
            <w:r>
              <w:t xml:space="preserve">Ref.</w:t>
            </w:r>
          </w:p>
        </w:tc>
        <w:tc>
          <w:tcPr/>
          <w:p>
            <w:pPr>
              <w:pStyle w:val="Compact"/>
              <w:jc w:val="left"/>
            </w:pPr>
            <w:r>
              <w:t xml:space="preserve">Ref.</w:t>
            </w:r>
          </w:p>
        </w:tc>
      </w:tr>
      <w:tr>
        <w:tc>
          <w:tcPr/>
          <w:p>
            <w:pPr>
              <w:pStyle w:val="Compact"/>
              <w:jc w:val="left"/>
            </w:pPr>
            <w:r>
              <w:t xml:space="preserve">Facial plastic surgery</w:t>
            </w:r>
          </w:p>
        </w:tc>
        <w:tc>
          <w:tcPr/>
          <w:p>
            <w:pPr>
              <w:pStyle w:val="Compact"/>
              <w:jc w:val="left"/>
            </w:pPr>
            <w:r>
              <w:t xml:space="preserve">1.00 (0.59-1.69), p=0.995</w:t>
            </w:r>
          </w:p>
        </w:tc>
        <w:tc>
          <w:tcPr/>
          <w:p>
            <w:pPr>
              <w:pStyle w:val="Compact"/>
              <w:jc w:val="left"/>
            </w:pPr>
            <w:r>
              <w:t xml:space="preserve">1.06 (0.74-1.52), p=0.743</w:t>
            </w:r>
          </w:p>
        </w:tc>
      </w:tr>
      <w:tr>
        <w:tc>
          <w:tcPr/>
          <w:p>
            <w:pPr>
              <w:pStyle w:val="Compact"/>
              <w:jc w:val="left"/>
            </w:pPr>
            <w:r>
              <w:t xml:space="preserve">Head and neck oncology</w:t>
            </w:r>
          </w:p>
        </w:tc>
        <w:tc>
          <w:tcPr/>
          <w:p>
            <w:pPr>
              <w:pStyle w:val="Compact"/>
              <w:jc w:val="left"/>
            </w:pPr>
            <w:r>
              <w:t xml:space="preserve">0.82 (0.36-1.90), p=0.650</w:t>
            </w:r>
          </w:p>
        </w:tc>
        <w:tc>
          <w:tcPr/>
          <w:p>
            <w:pPr>
              <w:pStyle w:val="Compact"/>
              <w:jc w:val="left"/>
            </w:pPr>
            <w:r>
              <w:t xml:space="preserve">1.29 (0.74-2.26), p=0.369</w:t>
            </w:r>
          </w:p>
        </w:tc>
      </w:tr>
      <w:tr>
        <w:tc>
          <w:tcPr/>
          <w:p>
            <w:pPr>
              <w:pStyle w:val="Compact"/>
              <w:jc w:val="left"/>
            </w:pPr>
            <w:r>
              <w:t xml:space="preserve">Laryngology</w:t>
            </w:r>
          </w:p>
        </w:tc>
        <w:tc>
          <w:tcPr/>
          <w:p>
            <w:pPr>
              <w:pStyle w:val="Compact"/>
              <w:jc w:val="left"/>
            </w:pPr>
            <w:r>
              <w:t xml:space="preserve">1.80 (0.51-6.32), p=0.357</w:t>
            </w:r>
          </w:p>
        </w:tc>
        <w:tc>
          <w:tcPr/>
          <w:p>
            <w:pPr>
              <w:pStyle w:val="Compact"/>
              <w:jc w:val="left"/>
            </w:pPr>
            <w:r>
              <w:t xml:space="preserve">2.24 (1.13-4.41), p=0.020</w:t>
            </w:r>
          </w:p>
        </w:tc>
      </w:tr>
      <w:tr>
        <w:tc>
          <w:tcPr/>
          <w:p>
            <w:pPr>
              <w:pStyle w:val="Compact"/>
              <w:jc w:val="left"/>
            </w:pPr>
            <w:r>
              <w:t xml:space="preserve">Otology/neurotology</w:t>
            </w:r>
          </w:p>
        </w:tc>
        <w:tc>
          <w:tcPr/>
          <w:p>
            <w:pPr>
              <w:pStyle w:val="Compact"/>
              <w:jc w:val="left"/>
            </w:pPr>
            <w:r>
              <w:t xml:space="preserve">0.58 (0.27-1.25), p=0.167</w:t>
            </w:r>
          </w:p>
        </w:tc>
        <w:tc>
          <w:tcPr/>
          <w:p>
            <w:pPr>
              <w:pStyle w:val="Compact"/>
              <w:jc w:val="left"/>
            </w:pPr>
            <w:r>
              <w:t xml:space="preserve">1.31 (0.72-2.41), p=0.377</w:t>
            </w:r>
          </w:p>
        </w:tc>
      </w:tr>
      <w:tr>
        <w:tc>
          <w:tcPr/>
          <w:p>
            <w:pPr>
              <w:pStyle w:val="Compact"/>
              <w:jc w:val="left"/>
            </w:pPr>
            <w:r>
              <w:t xml:space="preserve">Pediatric otolaryngology</w:t>
            </w:r>
          </w:p>
        </w:tc>
        <w:tc>
          <w:tcPr/>
          <w:p>
            <w:pPr>
              <w:pStyle w:val="Compact"/>
              <w:jc w:val="left"/>
            </w:pPr>
            <w:r>
              <w:t xml:space="preserve">2.29 (1.09-4.80), p=0.028</w:t>
            </w:r>
          </w:p>
        </w:tc>
        <w:tc>
          <w:tcPr/>
          <w:p>
            <w:pPr>
              <w:pStyle w:val="Compact"/>
              <w:jc w:val="left"/>
            </w:pPr>
            <w:r>
              <w:t xml:space="preserve">1.62 (1.11-2.38), p=0.013</w:t>
            </w:r>
          </w:p>
        </w:tc>
      </w:tr>
      <w:tr>
        <w:tc>
          <w:tcPr/>
          <w:p>
            <w:pPr>
              <w:pStyle w:val="Compact"/>
              <w:jc w:val="left"/>
            </w:pPr>
            <w:r>
              <w:t xml:space="preserve">Rhinology</w:t>
            </w:r>
          </w:p>
        </w:tc>
        <w:tc>
          <w:tcPr/>
          <w:p>
            <w:pPr>
              <w:pStyle w:val="Compact"/>
              <w:jc w:val="left"/>
            </w:pPr>
            <w:r>
              <w:t xml:space="preserve">2.21 (0.75-6.50), p=0.151</w:t>
            </w:r>
          </w:p>
        </w:tc>
        <w:tc>
          <w:tcPr/>
          <w:p>
            <w:pPr>
              <w:pStyle w:val="Compact"/>
              <w:jc w:val="left"/>
            </w:pPr>
            <w:r>
              <w:t xml:space="preserve">1.56 (0.90-2.68), p=0.110</w:t>
            </w:r>
          </w:p>
        </w:tc>
      </w:tr>
      <w:tr>
        <w:tc>
          <w:tcPr/>
          <w:p>
            <w:pPr>
              <w:pStyle w:val="Compact"/>
              <w:jc w:val="left"/>
            </w:pPr>
            <w:r>
              <w:t xml:space="preserve">Sleep medicine</w:t>
            </w:r>
          </w:p>
        </w:tc>
        <w:tc>
          <w:tcPr/>
          <w:p>
            <w:pPr>
              <w:pStyle w:val="Compact"/>
              <w:jc w:val="left"/>
            </w:pPr>
            <w:r>
              <w:t xml:space="preserve">1.71 (0.56-5.21), p=0.344</w:t>
            </w:r>
          </w:p>
        </w:tc>
        <w:tc>
          <w:tcPr/>
          <w:p>
            <w:pPr>
              <w:pStyle w:val="Compact"/>
              <w:jc w:val="left"/>
            </w:pPr>
            <w:r>
              <w:t xml:space="preserve">1.21 (0.64-2.30), p=0.551</w:t>
            </w:r>
          </w:p>
        </w:tc>
      </w:tr>
      <w:tr>
        <w:tc>
          <w:tcPr/>
          <w:p>
            <w:pPr>
              <w:pStyle w:val="Compact"/>
              <w:jc w:val="left"/>
            </w:pPr>
            <w:r>
              <w:t xml:space="preserve">Otolaryngologist density (per SD)</w:t>
            </w:r>
          </w:p>
        </w:tc>
        <w:tc>
          <w:tcPr/>
          <w:p>
            <w:pPr>
              <w:pStyle w:val="Compact"/>
              <w:jc w:val="left"/>
            </w:pPr>
            <w:r>
              <w:t xml:space="preserve">0.96 (0.81-1.13), p=0.617</w:t>
            </w:r>
          </w:p>
        </w:tc>
        <w:tc>
          <w:tcPr/>
          <w:p>
            <w:pPr>
              <w:pStyle w:val="Compact"/>
              <w:jc w:val="left"/>
            </w:pPr>
            <w:r>
              <w:t xml:space="preserve">0.94 (0.82-1.08), p=0.391</w:t>
            </w:r>
          </w:p>
        </w:tc>
      </w:tr>
      <w:tr>
        <w:tc>
          <w:tcPr/>
          <w:p>
            <w:pPr>
              <w:pStyle w:val="Compact"/>
              <w:jc w:val="left"/>
            </w:pPr>
            <w:r>
              <w:t xml:space="preserve">Medicaid fee index (per SD)</w:t>
            </w:r>
          </w:p>
        </w:tc>
        <w:tc>
          <w:tcPr/>
          <w:p>
            <w:pPr>
              <w:pStyle w:val="Compact"/>
              <w:jc w:val="left"/>
            </w:pPr>
            <w:r>
              <w:t xml:space="preserve">0.90 (0.76-1.06), p=0.191</w:t>
            </w:r>
          </w:p>
        </w:tc>
        <w:tc>
          <w:tcPr/>
          <w:p>
            <w:pPr>
              <w:pStyle w:val="Compact"/>
              <w:jc w:val="left"/>
            </w:pPr>
            <w:r>
              <w:t xml:space="preserve">0.94 (0.83-1.06), p=0.318</w:t>
            </w:r>
          </w:p>
        </w:tc>
      </w:tr>
      <w:tr>
        <w:tc>
          <w:tcPr/>
          <w:p>
            <w:pPr>
              <w:pStyle w:val="Compact"/>
              <w:jc w:val="left"/>
            </w:pPr>
            <w:r>
              <w:t xml:space="preserve">Social Vulnerability Index (per SD)</w:t>
            </w:r>
          </w:p>
        </w:tc>
        <w:tc>
          <w:tcPr/>
          <w:p>
            <w:pPr>
              <w:pStyle w:val="Compact"/>
              <w:jc w:val="left"/>
            </w:pPr>
            <w:r>
              <w:t xml:space="preserve">0.93 (0.78-1.11), p=0.425</w:t>
            </w:r>
          </w:p>
        </w:tc>
        <w:tc>
          <w:tcPr/>
          <w:p>
            <w:pPr>
              <w:pStyle w:val="Compact"/>
              <w:jc w:val="left"/>
            </w:pPr>
            <w:r>
              <w:t xml:space="preserve">0.96 (0.85-1.08), p=0.489</w:t>
            </w:r>
          </w:p>
        </w:tc>
      </w:tr>
      <w:tr>
        <w:tc>
          <w:tcPr/>
          <w:p>
            <w:pPr>
              <w:pStyle w:val="Compact"/>
              <w:jc w:val="left"/>
            </w:pPr>
            <w:r>
              <w:t xml:space="preserve">Dual-eligible share (per SD)</w:t>
            </w:r>
          </w:p>
        </w:tc>
        <w:tc>
          <w:tcPr/>
          <w:p>
            <w:pPr>
              <w:pStyle w:val="Compact"/>
              <w:jc w:val="left"/>
            </w:pPr>
            <w:r>
              <w:t xml:space="preserve">0.98 (0.82-1.17), p=0.816</w:t>
            </w:r>
          </w:p>
        </w:tc>
        <w:tc>
          <w:tcPr/>
          <w:p>
            <w:pPr>
              <w:pStyle w:val="Compact"/>
              <w:jc w:val="left"/>
            </w:pPr>
            <w:r>
              <w:t xml:space="preserve">0.99 (0.87-1.12), p=0.832</w:t>
            </w:r>
          </w:p>
        </w:tc>
      </w:tr>
      <w:tr>
        <w:tc>
          <w:tcPr/>
          <w:p>
            <w:pPr>
              <w:pStyle w:val="Compact"/>
              <w:jc w:val="left"/>
            </w:pPr>
            <w:r>
              <w:t xml:space="preserve">ruralUrban</w:t>
            </w:r>
          </w:p>
        </w:tc>
        <w:tc>
          <w:tcPr/>
          <w:p>
            <w:pPr>
              <w:pStyle w:val="Compact"/>
              <w:jc w:val="left"/>
            </w:pPr>
            <w:r>
              <w:t xml:space="preserve">Ref.</w:t>
            </w:r>
          </w:p>
        </w:tc>
        <w:tc>
          <w:tcPr/>
          <w:p>
            <w:pPr>
              <w:pStyle w:val="Compact"/>
              <w:jc w:val="left"/>
            </w:pPr>
            <w:r>
              <w:t xml:space="preserve">Ref.</w:t>
            </w:r>
          </w:p>
        </w:tc>
      </w:tr>
      <w:tr>
        <w:tc>
          <w:tcPr/>
          <w:p>
            <w:pPr>
              <w:pStyle w:val="Compact"/>
              <w:jc w:val="left"/>
            </w:pPr>
            <w:r>
              <w:t xml:space="preserve">Rural (vs urban)</w:t>
            </w:r>
          </w:p>
        </w:tc>
        <w:tc>
          <w:tcPr/>
          <w:p>
            <w:pPr>
              <w:pStyle w:val="Compact"/>
              <w:jc w:val="left"/>
            </w:pPr>
            <w:r>
              <w:t xml:space="preserve">1.04 (0.73-1.49), p=0.830</w:t>
            </w:r>
          </w:p>
        </w:tc>
        <w:tc>
          <w:tcPr/>
          <w:p>
            <w:pPr>
              <w:pStyle w:val="Compact"/>
              <w:jc w:val="left"/>
            </w:pPr>
            <w:r>
              <w:t xml:space="preserve">1.19 (0.92-1.53), p=0.191</w:t>
            </w:r>
          </w:p>
        </w:tc>
      </w:tr>
      <w:tr>
        <w:tc>
          <w:tcPr/>
          <w:p>
            <w:pPr>
              <w:pStyle w:val="Compact"/>
              <w:jc w:val="left"/>
            </w:pPr>
            <w:r>
              <w:t xml:space="preserve">Caller: Roesch</w:t>
            </w:r>
          </w:p>
        </w:tc>
        <w:tc>
          <w:tcPr/>
          <w:p>
            <w:pPr>
              <w:pStyle w:val="Compact"/>
              <w:jc w:val="left"/>
            </w:pPr>
            <w:r>
              <w:t xml:space="preserve">Ref.</w:t>
            </w:r>
          </w:p>
        </w:tc>
        <w:tc>
          <w:tcPr/>
          <w:p>
            <w:pPr>
              <w:pStyle w:val="Compact"/>
              <w:jc w:val="left"/>
            </w:pPr>
            <w:r>
              <w:t xml:space="preserve">Ref.</w:t>
            </w:r>
          </w:p>
        </w:tc>
      </w:tr>
      <w:tr>
        <w:tc>
          <w:tcPr/>
          <w:p>
            <w:pPr>
              <w:pStyle w:val="Compact"/>
              <w:jc w:val="left"/>
            </w:pPr>
            <w:r>
              <w:t xml:space="preserve">Caller: Deol</w:t>
            </w:r>
          </w:p>
        </w:tc>
        <w:tc>
          <w:tcPr/>
          <w:p>
            <w:pPr>
              <w:pStyle w:val="Compact"/>
              <w:jc w:val="left"/>
            </w:pPr>
            <w:r>
              <w:t xml:space="preserve">2.25 (1.37-3.71), p=0.001</w:t>
            </w:r>
          </w:p>
        </w:tc>
        <w:tc>
          <w:tcPr/>
          <w:p>
            <w:pPr>
              <w:pStyle w:val="Compact"/>
              <w:jc w:val="left"/>
            </w:pPr>
            <w:r>
              <w:t xml:space="preserve">0.83 (0.60-1.14), p=0.258</w:t>
            </w:r>
          </w:p>
        </w:tc>
      </w:tr>
      <w:tr>
        <w:tc>
          <w:tcPr/>
          <w:p>
            <w:pPr>
              <w:pStyle w:val="Compact"/>
              <w:jc w:val="left"/>
            </w:pPr>
            <w:r>
              <w:t xml:space="preserve">Caller: Falk</w:t>
            </w:r>
          </w:p>
        </w:tc>
        <w:tc>
          <w:tcPr/>
          <w:p>
            <w:pPr>
              <w:pStyle w:val="Compact"/>
              <w:jc w:val="left"/>
            </w:pPr>
            <w:r>
              <w:t xml:space="preserve">1.88 (1.07-3.31), p=0.029</w:t>
            </w:r>
          </w:p>
        </w:tc>
        <w:tc>
          <w:tcPr/>
          <w:p>
            <w:pPr>
              <w:pStyle w:val="Compact"/>
              <w:jc w:val="left"/>
            </w:pPr>
            <w:r>
              <w:t xml:space="preserve">0.64 (0.43-0.93), p=0.020</w:t>
            </w:r>
          </w:p>
        </w:tc>
      </w:tr>
      <w:tr>
        <w:tc>
          <w:tcPr/>
          <w:p>
            <w:pPr>
              <w:pStyle w:val="Compact"/>
              <w:jc w:val="left"/>
            </w:pPr>
            <w:r>
              <w:t xml:space="preserve">Caller: Gregg</w:t>
            </w:r>
          </w:p>
        </w:tc>
        <w:tc>
          <w:tcPr/>
          <w:p>
            <w:pPr>
              <w:pStyle w:val="Compact"/>
              <w:jc w:val="left"/>
            </w:pPr>
            <w:r>
              <w:t xml:space="preserve">1.89 (1.14-3.11), p=0.013</w:t>
            </w:r>
          </w:p>
        </w:tc>
        <w:tc>
          <w:tcPr/>
          <w:p>
            <w:pPr>
              <w:pStyle w:val="Compact"/>
              <w:jc w:val="left"/>
            </w:pPr>
            <w:r>
              <w:t xml:space="preserve">0.90 (0.65-1.25), p=0.528</w:t>
            </w:r>
          </w:p>
        </w:tc>
      </w:tr>
      <w:tr>
        <w:tc>
          <w:tcPr/>
          <w:p>
            <w:pPr>
              <w:pStyle w:val="Compact"/>
              <w:jc w:val="left"/>
            </w:pPr>
            <w:r>
              <w:t xml:space="preserve">Caller: Kim</w:t>
            </w:r>
          </w:p>
        </w:tc>
        <w:tc>
          <w:tcPr/>
          <w:p>
            <w:pPr>
              <w:pStyle w:val="Compact"/>
              <w:jc w:val="left"/>
            </w:pPr>
            <w:r>
              <w:t xml:space="preserve">2.06 (1.25-3.41), p=0.005</w:t>
            </w:r>
          </w:p>
        </w:tc>
        <w:tc>
          <w:tcPr/>
          <w:p>
            <w:pPr>
              <w:pStyle w:val="Compact"/>
              <w:jc w:val="left"/>
            </w:pPr>
            <w:r>
              <w:t xml:space="preserve">0.98 (0.70-1.37), p=0.896</w:t>
            </w:r>
          </w:p>
        </w:tc>
      </w:tr>
      <w:tr>
        <w:tc>
          <w:tcPr/>
          <w:p>
            <w:pPr>
              <w:pStyle w:val="Compact"/>
              <w:jc w:val="left"/>
            </w:pPr>
            <w:r>
              <w:t xml:space="preserve">Caller: Other</w:t>
            </w:r>
          </w:p>
        </w:tc>
        <w:tc>
          <w:tcPr/>
          <w:p>
            <w:pPr>
              <w:pStyle w:val="Compact"/>
              <w:jc w:val="left"/>
            </w:pPr>
            <w:r>
              <w:t xml:space="preserve">1.31 (0.41-4.21), p=0.648</w:t>
            </w:r>
          </w:p>
        </w:tc>
        <w:tc>
          <w:tcPr/>
          <w:p>
            <w:pPr>
              <w:pStyle w:val="Compact"/>
              <w:jc w:val="left"/>
            </w:pPr>
            <w:r>
              <w:t xml:space="preserve">0.66 (0.23-1.87), p=0.436</w:t>
            </w:r>
          </w:p>
        </w:tc>
      </w:tr>
      <w:tr>
        <w:tc>
          <w:tcPr/>
          <w:p>
            <w:pPr>
              <w:pStyle w:val="Compact"/>
              <w:jc w:val="left"/>
            </w:pPr>
            <w:r>
              <w:t xml:space="preserve">Caller: Walsh</w:t>
            </w:r>
          </w:p>
        </w:tc>
        <w:tc>
          <w:tcPr/>
          <w:p>
            <w:pPr>
              <w:pStyle w:val="Compact"/>
              <w:jc w:val="left"/>
            </w:pPr>
            <w:r>
              <w:t xml:space="preserve">2.32 (1.42-3.80), p=&lt; 0.001</w:t>
            </w:r>
          </w:p>
        </w:tc>
        <w:tc>
          <w:tcPr/>
          <w:p>
            <w:pPr>
              <w:pStyle w:val="Compact"/>
              <w:jc w:val="left"/>
            </w:pPr>
            <w:r>
              <w:t xml:space="preserve">0.89 (0.64-1.23), p=0.465</w:t>
            </w:r>
          </w:p>
        </w:tc>
      </w:tr>
      <w:tr>
        <w:tc>
          <w:tcPr/>
          <w:p>
            <w:pPr>
              <w:pStyle w:val="Compact"/>
              <w:jc w:val="left"/>
            </w:pPr>
            <w:r>
              <w:t xml:space="preserve">N</w:t>
            </w:r>
          </w:p>
        </w:tc>
        <w:tc>
          <w:tcPr/>
          <w:p>
            <w:pPr>
              <w:pStyle w:val="Compact"/>
              <w:jc w:val="left"/>
            </w:pPr>
            <w:r>
              <w:t xml:space="preserve">731</w:t>
            </w:r>
          </w:p>
        </w:tc>
        <w:tc>
          <w:tcPr/>
          <w:p>
            <w:pPr>
              <w:pStyle w:val="Compact"/>
              <w:jc w:val="left"/>
            </w:pPr>
            <w:r>
              <w:t xml:space="preserve">426</w:t>
            </w:r>
          </w:p>
        </w:tc>
      </w:tr>
      <w:tr>
        <w:tc>
          <w:tcPr/>
          <w:p>
            <w:pPr>
              <w:pStyle w:val="Compact"/>
              <w:jc w:val="left"/>
            </w:pPr>
            <w:r>
              <w:t xml:space="preserve">AIC</w:t>
            </w:r>
          </w:p>
        </w:tc>
        <w:tc>
          <w:tcPr/>
          <w:p>
            <w:pPr>
              <w:pStyle w:val="Compact"/>
              <w:jc w:val="left"/>
            </w:pPr>
            <w:r>
              <w:t xml:space="preserve">991.4</w:t>
            </w:r>
          </w:p>
        </w:tc>
        <w:tc>
          <w:tcPr/>
          <w:p>
            <w:pPr>
              <w:pStyle w:val="Compact"/>
              <w:jc w:val="left"/>
            </w:pPr>
            <w:r>
              <w:t xml:space="preserve">3514.6</w:t>
            </w:r>
          </w:p>
        </w:tc>
      </w:tr>
    </w:tbl>
    <w:p/>
    <w:p>
      <w:pPr>
        <w:pStyle w:val="TableCaption"/>
      </w:pPr>
      <w:r>
        <w:t xml:space="preserve">Table S8. Sensitivity analyses: three-level RUCA and complete-case (key coefficients vs primary model).</w:t>
      </w:r>
    </w:p>
    <w:tbl>
      <w:tblPr>
        <w:tblStyle w:val="Table"/>
        <w:tblW w:type="pct" w:w="5000"/>
        <w:tblLayout w:type="fixed"/>
        <w:tblLook w:firstRow="1" w:lastRow="0" w:firstColumn="0" w:lastColumn="0" w:noHBand="0" w:noVBand="0" w:val="0020"/>
        <w:tblCaption w:val="Table S8. Sensitivity analyses: three-level RUCA and complete-case (key coefficients vs primary model)."/>
      </w:tblPr>
      <w:tblGrid>
        <w:gridCol w:w="1964"/>
        <w:gridCol w:w="1077"/>
        <w:gridCol w:w="1900"/>
        <w:gridCol w:w="570"/>
        <w:gridCol w:w="633"/>
        <w:gridCol w:w="380"/>
        <w:gridCol w:w="570"/>
        <w:gridCol w:w="823"/>
      </w:tblGrid>
      <w:tr>
        <w:trPr>
          <w:tblHeader w:val="on"/>
        </w:trPr>
        <w:tc>
          <w:tcPr/>
          <w:p>
            <w:pPr>
              <w:pStyle w:val="Compact"/>
              <w:jc w:val="left"/>
            </w:pPr>
            <w:r>
              <w:t xml:space="preserve">spec</w:t>
            </w:r>
          </w:p>
        </w:tc>
        <w:tc>
          <w:tcPr/>
          <w:p>
            <w:pPr>
              <w:pStyle w:val="Compact"/>
              <w:jc w:val="left"/>
            </w:pPr>
            <w:r>
              <w:t xml:space="preserve">part</w:t>
            </w:r>
          </w:p>
        </w:tc>
        <w:tc>
          <w:tcPr/>
          <w:p>
            <w:pPr>
              <w:pStyle w:val="Compact"/>
              <w:jc w:val="left"/>
            </w:pPr>
            <w:r>
              <w:t xml:space="preserve">term</w:t>
            </w:r>
          </w:p>
        </w:tc>
        <w:tc>
          <w:tcPr/>
          <w:p>
            <w:pPr>
              <w:pStyle w:val="Compact"/>
              <w:jc w:val="right"/>
            </w:pPr>
            <w:r>
              <w:t xml:space="preserve">estimate</w:t>
            </w:r>
          </w:p>
        </w:tc>
        <w:tc>
          <w:tcPr/>
          <w:p>
            <w:pPr>
              <w:pStyle w:val="Compact"/>
              <w:jc w:val="left"/>
            </w:pPr>
            <w:r>
              <w:t xml:space="preserve">ci</w:t>
            </w:r>
          </w:p>
        </w:tc>
        <w:tc>
          <w:tcPr/>
          <w:p>
            <w:pPr>
              <w:pStyle w:val="Compact"/>
              <w:jc w:val="right"/>
            </w:pPr>
            <w:r>
              <w:t xml:space="preserve">p</w:t>
            </w:r>
          </w:p>
        </w:tc>
        <w:tc>
          <w:tcPr/>
          <w:p>
            <w:pPr>
              <w:pStyle w:val="Compact"/>
              <w:jc w:val="right"/>
            </w:pPr>
            <w:r>
              <w:t xml:space="preserve">n_access</w:t>
            </w:r>
          </w:p>
        </w:tc>
        <w:tc>
          <w:tcPr/>
          <w:p>
            <w:pPr>
              <w:pStyle w:val="Compact"/>
              <w:jc w:val="right"/>
            </w:pPr>
            <w:r>
              <w:t xml:space="preserve">n_timeliness</w:t>
            </w:r>
          </w:p>
        </w:tc>
      </w:tr>
      <w:tr>
        <w:tc>
          <w:tcPr/>
          <w:p>
            <w:pPr>
              <w:pStyle w:val="Compact"/>
              <w:jc w:val="left"/>
            </w:pPr>
            <w:r>
              <w:t xml:space="preserve">Primary (binary RUCA, imputed)</w:t>
            </w:r>
          </w:p>
        </w:tc>
        <w:tc>
          <w:tcPr/>
          <w:p>
            <w:pPr>
              <w:pStyle w:val="Compact"/>
              <w:jc w:val="left"/>
            </w:pPr>
            <w:r>
              <w:t xml:space="preserve">Access (OR)</w:t>
            </w:r>
          </w:p>
        </w:tc>
        <w:tc>
          <w:tcPr/>
          <w:p>
            <w:pPr>
              <w:pStyle w:val="Compact"/>
              <w:jc w:val="left"/>
            </w:pPr>
            <w:r>
              <w:t xml:space="preserve">Laryngology</w:t>
            </w:r>
          </w:p>
        </w:tc>
        <w:tc>
          <w:tcPr/>
          <w:p>
            <w:pPr>
              <w:pStyle w:val="Compact"/>
              <w:jc w:val="right"/>
            </w:pPr>
            <w:r>
              <w:t xml:space="preserve">1.80</w:t>
            </w:r>
          </w:p>
        </w:tc>
        <w:tc>
          <w:tcPr/>
          <w:p>
            <w:pPr>
              <w:pStyle w:val="Compact"/>
              <w:jc w:val="left"/>
            </w:pPr>
            <w:r>
              <w:t xml:space="preserve">0.51-6.32</w:t>
            </w:r>
          </w:p>
        </w:tc>
        <w:tc>
          <w:tcPr/>
          <w:p>
            <w:pPr>
              <w:pStyle w:val="Compact"/>
              <w:jc w:val="right"/>
            </w:pPr>
            <w:r>
              <w:t xml:space="preserve">0.357</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Primary (binary RUCA, imputed)</w:t>
            </w:r>
          </w:p>
        </w:tc>
        <w:tc>
          <w:tcPr/>
          <w:p>
            <w:pPr>
              <w:pStyle w:val="Compact"/>
              <w:jc w:val="left"/>
            </w:pPr>
            <w:r>
              <w:t xml:space="preserve">Access (OR)</w:t>
            </w:r>
          </w:p>
        </w:tc>
        <w:tc>
          <w:tcPr/>
          <w:p>
            <w:pPr>
              <w:pStyle w:val="Compact"/>
              <w:jc w:val="left"/>
            </w:pPr>
            <w:r>
              <w:t xml:space="preserve">Pediatric otolaryngology</w:t>
            </w:r>
          </w:p>
        </w:tc>
        <w:tc>
          <w:tcPr/>
          <w:p>
            <w:pPr>
              <w:pStyle w:val="Compact"/>
              <w:jc w:val="right"/>
            </w:pPr>
            <w:r>
              <w:t xml:space="preserve">2.29</w:t>
            </w:r>
          </w:p>
        </w:tc>
        <w:tc>
          <w:tcPr/>
          <w:p>
            <w:pPr>
              <w:pStyle w:val="Compact"/>
              <w:jc w:val="left"/>
            </w:pPr>
            <w:r>
              <w:t xml:space="preserve">1.09-4.80</w:t>
            </w:r>
          </w:p>
        </w:tc>
        <w:tc>
          <w:tcPr/>
          <w:p>
            <w:pPr>
              <w:pStyle w:val="Compact"/>
              <w:jc w:val="right"/>
            </w:pPr>
            <w:r>
              <w:t xml:space="preserve">0.028</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Primary (binary RUCA, imputed)</w:t>
            </w:r>
          </w:p>
        </w:tc>
        <w:tc>
          <w:tcPr/>
          <w:p>
            <w:pPr>
              <w:pStyle w:val="Compact"/>
              <w:jc w:val="left"/>
            </w:pPr>
            <w:r>
              <w:t xml:space="preserve">Access (OR)</w:t>
            </w:r>
          </w:p>
        </w:tc>
        <w:tc>
          <w:tcPr/>
          <w:p>
            <w:pPr>
              <w:pStyle w:val="Compact"/>
              <w:jc w:val="left"/>
            </w:pPr>
            <w:r>
              <w:t xml:space="preserve">Rural (vs urban)</w:t>
            </w:r>
          </w:p>
        </w:tc>
        <w:tc>
          <w:tcPr/>
          <w:p>
            <w:pPr>
              <w:pStyle w:val="Compact"/>
              <w:jc w:val="right"/>
            </w:pPr>
            <w:r>
              <w:t xml:space="preserve">1.04</w:t>
            </w:r>
          </w:p>
        </w:tc>
        <w:tc>
          <w:tcPr/>
          <w:p>
            <w:pPr>
              <w:pStyle w:val="Compact"/>
              <w:jc w:val="left"/>
            </w:pPr>
            <w:r>
              <w:t xml:space="preserve">0.73-1.49</w:t>
            </w:r>
          </w:p>
        </w:tc>
        <w:tc>
          <w:tcPr/>
          <w:p>
            <w:pPr>
              <w:pStyle w:val="Compact"/>
              <w:jc w:val="right"/>
            </w:pPr>
            <w:r>
              <w:t xml:space="preserve">0.830</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Primary (binary RUCA, imputed)</w:t>
            </w:r>
          </w:p>
        </w:tc>
        <w:tc>
          <w:tcPr/>
          <w:p>
            <w:pPr>
              <w:pStyle w:val="Compact"/>
              <w:jc w:val="left"/>
            </w:pPr>
            <w:r>
              <w:t xml:space="preserve">Timeliness (IRR)</w:t>
            </w:r>
          </w:p>
        </w:tc>
        <w:tc>
          <w:tcPr/>
          <w:p>
            <w:pPr>
              <w:pStyle w:val="Compact"/>
              <w:jc w:val="left"/>
            </w:pPr>
            <w:r>
              <w:t xml:space="preserve">Laryngology</w:t>
            </w:r>
          </w:p>
        </w:tc>
        <w:tc>
          <w:tcPr/>
          <w:p>
            <w:pPr>
              <w:pStyle w:val="Compact"/>
              <w:jc w:val="right"/>
            </w:pPr>
            <w:r>
              <w:t xml:space="preserve">2.24</w:t>
            </w:r>
          </w:p>
        </w:tc>
        <w:tc>
          <w:tcPr/>
          <w:p>
            <w:pPr>
              <w:pStyle w:val="Compact"/>
              <w:jc w:val="left"/>
            </w:pPr>
            <w:r>
              <w:t xml:space="preserve">1.13-4.41</w:t>
            </w:r>
          </w:p>
        </w:tc>
        <w:tc>
          <w:tcPr/>
          <w:p>
            <w:pPr>
              <w:pStyle w:val="Compact"/>
              <w:jc w:val="right"/>
            </w:pPr>
            <w:r>
              <w:t xml:space="preserve">0.020</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Primary (binary RUCA, imputed)</w:t>
            </w:r>
          </w:p>
        </w:tc>
        <w:tc>
          <w:tcPr/>
          <w:p>
            <w:pPr>
              <w:pStyle w:val="Compact"/>
              <w:jc w:val="left"/>
            </w:pPr>
            <w:r>
              <w:t xml:space="preserve">Timeliness (IRR)</w:t>
            </w:r>
          </w:p>
        </w:tc>
        <w:tc>
          <w:tcPr/>
          <w:p>
            <w:pPr>
              <w:pStyle w:val="Compact"/>
              <w:jc w:val="left"/>
            </w:pPr>
            <w:r>
              <w:t xml:space="preserve">Pediatric otolaryngology</w:t>
            </w:r>
          </w:p>
        </w:tc>
        <w:tc>
          <w:tcPr/>
          <w:p>
            <w:pPr>
              <w:pStyle w:val="Compact"/>
              <w:jc w:val="right"/>
            </w:pPr>
            <w:r>
              <w:t xml:space="preserve">1.62</w:t>
            </w:r>
          </w:p>
        </w:tc>
        <w:tc>
          <w:tcPr/>
          <w:p>
            <w:pPr>
              <w:pStyle w:val="Compact"/>
              <w:jc w:val="left"/>
            </w:pPr>
            <w:r>
              <w:t xml:space="preserve">1.11-2.38</w:t>
            </w:r>
          </w:p>
        </w:tc>
        <w:tc>
          <w:tcPr/>
          <w:p>
            <w:pPr>
              <w:pStyle w:val="Compact"/>
              <w:jc w:val="right"/>
            </w:pPr>
            <w:r>
              <w:t xml:space="preserve">0.013</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Primary (binary RUCA, imputed)</w:t>
            </w:r>
          </w:p>
        </w:tc>
        <w:tc>
          <w:tcPr/>
          <w:p>
            <w:pPr>
              <w:pStyle w:val="Compact"/>
              <w:jc w:val="left"/>
            </w:pPr>
            <w:r>
              <w:t xml:space="preserve">Timeliness (IRR)</w:t>
            </w:r>
          </w:p>
        </w:tc>
        <w:tc>
          <w:tcPr/>
          <w:p>
            <w:pPr>
              <w:pStyle w:val="Compact"/>
              <w:jc w:val="left"/>
            </w:pPr>
            <w:r>
              <w:t xml:space="preserve">Rural (vs urban)</w:t>
            </w:r>
          </w:p>
        </w:tc>
        <w:tc>
          <w:tcPr/>
          <w:p>
            <w:pPr>
              <w:pStyle w:val="Compact"/>
              <w:jc w:val="right"/>
            </w:pPr>
            <w:r>
              <w:t xml:space="preserve">1.19</w:t>
            </w:r>
          </w:p>
        </w:tc>
        <w:tc>
          <w:tcPr/>
          <w:p>
            <w:pPr>
              <w:pStyle w:val="Compact"/>
              <w:jc w:val="left"/>
            </w:pPr>
            <w:r>
              <w:t xml:space="preserve">0.92-1.53</w:t>
            </w:r>
          </w:p>
        </w:tc>
        <w:tc>
          <w:tcPr/>
          <w:p>
            <w:pPr>
              <w:pStyle w:val="Compact"/>
              <w:jc w:val="right"/>
            </w:pPr>
            <w:r>
              <w:t xml:space="preserve">0.191</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S-A: 3-level RUCA</w:t>
            </w:r>
          </w:p>
        </w:tc>
        <w:tc>
          <w:tcPr/>
          <w:p>
            <w:pPr>
              <w:pStyle w:val="Compact"/>
              <w:jc w:val="left"/>
            </w:pPr>
            <w:r>
              <w:t xml:space="preserve">Access (OR)</w:t>
            </w:r>
          </w:p>
        </w:tc>
        <w:tc>
          <w:tcPr/>
          <w:p>
            <w:pPr>
              <w:pStyle w:val="Compact"/>
              <w:jc w:val="left"/>
            </w:pPr>
            <w:r>
              <w:t xml:space="preserve">Laryngology</w:t>
            </w:r>
          </w:p>
        </w:tc>
        <w:tc>
          <w:tcPr/>
          <w:p>
            <w:pPr>
              <w:pStyle w:val="Compact"/>
              <w:jc w:val="right"/>
            </w:pPr>
            <w:r>
              <w:t xml:space="preserve">1.81</w:t>
            </w:r>
          </w:p>
        </w:tc>
        <w:tc>
          <w:tcPr/>
          <w:p>
            <w:pPr>
              <w:pStyle w:val="Compact"/>
              <w:jc w:val="left"/>
            </w:pPr>
            <w:r>
              <w:t xml:space="preserve">0.52-6.34</w:t>
            </w:r>
          </w:p>
        </w:tc>
        <w:tc>
          <w:tcPr/>
          <w:p>
            <w:pPr>
              <w:pStyle w:val="Compact"/>
              <w:jc w:val="right"/>
            </w:pPr>
            <w:r>
              <w:t xml:space="preserve">0.355</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S-A: 3-level RUCA</w:t>
            </w:r>
          </w:p>
        </w:tc>
        <w:tc>
          <w:tcPr/>
          <w:p>
            <w:pPr>
              <w:pStyle w:val="Compact"/>
              <w:jc w:val="left"/>
            </w:pPr>
            <w:r>
              <w:t xml:space="preserve">Access (OR)</w:t>
            </w:r>
          </w:p>
        </w:tc>
        <w:tc>
          <w:tcPr/>
          <w:p>
            <w:pPr>
              <w:pStyle w:val="Compact"/>
              <w:jc w:val="left"/>
            </w:pPr>
            <w:r>
              <w:t xml:space="preserve">Pediatric otolaryngology</w:t>
            </w:r>
          </w:p>
        </w:tc>
        <w:tc>
          <w:tcPr/>
          <w:p>
            <w:pPr>
              <w:pStyle w:val="Compact"/>
              <w:jc w:val="right"/>
            </w:pPr>
            <w:r>
              <w:t xml:space="preserve">2.28</w:t>
            </w:r>
          </w:p>
        </w:tc>
        <w:tc>
          <w:tcPr/>
          <w:p>
            <w:pPr>
              <w:pStyle w:val="Compact"/>
              <w:jc w:val="left"/>
            </w:pPr>
            <w:r>
              <w:t xml:space="preserve">1.09-4.79</w:t>
            </w:r>
          </w:p>
        </w:tc>
        <w:tc>
          <w:tcPr/>
          <w:p>
            <w:pPr>
              <w:pStyle w:val="Compact"/>
              <w:jc w:val="right"/>
            </w:pPr>
            <w:r>
              <w:t xml:space="preserve">0.029</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S-A: 3-level RUCA</w:t>
            </w:r>
          </w:p>
        </w:tc>
        <w:tc>
          <w:tcPr/>
          <w:p>
            <w:pPr>
              <w:pStyle w:val="Compact"/>
              <w:jc w:val="left"/>
            </w:pPr>
            <w:r>
              <w:t xml:space="preserve">Access (OR)</w:t>
            </w:r>
          </w:p>
        </w:tc>
        <w:tc>
          <w:tcPr/>
          <w:p>
            <w:pPr>
              <w:pStyle w:val="Compact"/>
              <w:jc w:val="left"/>
            </w:pPr>
            <w:r>
              <w:t xml:space="preserve">Suburban, RUCA 4-6 (vs urban)</w:t>
            </w:r>
          </w:p>
        </w:tc>
        <w:tc>
          <w:tcPr/>
          <w:p>
            <w:pPr>
              <w:pStyle w:val="Compact"/>
              <w:jc w:val="right"/>
            </w:pPr>
            <w:r>
              <w:t xml:space="preserve">1.06</w:t>
            </w:r>
          </w:p>
        </w:tc>
        <w:tc>
          <w:tcPr/>
          <w:p>
            <w:pPr>
              <w:pStyle w:val="Compact"/>
              <w:jc w:val="left"/>
            </w:pPr>
            <w:r>
              <w:t xml:space="preserve">0.73-1.54</w:t>
            </w:r>
          </w:p>
        </w:tc>
        <w:tc>
          <w:tcPr/>
          <w:p>
            <w:pPr>
              <w:pStyle w:val="Compact"/>
              <w:jc w:val="right"/>
            </w:pPr>
            <w:r>
              <w:t xml:space="preserve">0.754</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S-A: 3-level RUCA</w:t>
            </w:r>
          </w:p>
        </w:tc>
        <w:tc>
          <w:tcPr/>
          <w:p>
            <w:pPr>
              <w:pStyle w:val="Compact"/>
              <w:jc w:val="left"/>
            </w:pPr>
            <w:r>
              <w:t xml:space="preserve">Access (OR)</w:t>
            </w:r>
          </w:p>
        </w:tc>
        <w:tc>
          <w:tcPr/>
          <w:p>
            <w:pPr>
              <w:pStyle w:val="Compact"/>
              <w:jc w:val="left"/>
            </w:pPr>
            <w:r>
              <w:t xml:space="preserve">Rural, RUCA 7-10 (vs urban)</w:t>
            </w:r>
          </w:p>
        </w:tc>
        <w:tc>
          <w:tcPr/>
          <w:p>
            <w:pPr>
              <w:pStyle w:val="Compact"/>
              <w:jc w:val="right"/>
            </w:pPr>
            <w:r>
              <w:t xml:space="preserve">0.93</w:t>
            </w:r>
          </w:p>
        </w:tc>
        <w:tc>
          <w:tcPr/>
          <w:p>
            <w:pPr>
              <w:pStyle w:val="Compact"/>
              <w:jc w:val="left"/>
            </w:pPr>
            <w:r>
              <w:t xml:space="preserve">0.49-1.75</w:t>
            </w:r>
          </w:p>
        </w:tc>
        <w:tc>
          <w:tcPr/>
          <w:p>
            <w:pPr>
              <w:pStyle w:val="Compact"/>
              <w:jc w:val="right"/>
            </w:pPr>
            <w:r>
              <w:t xml:space="preserve">0.822</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S-A: 3-level RUCA</w:t>
            </w:r>
          </w:p>
        </w:tc>
        <w:tc>
          <w:tcPr/>
          <w:p>
            <w:pPr>
              <w:pStyle w:val="Compact"/>
              <w:jc w:val="left"/>
            </w:pPr>
            <w:r>
              <w:t xml:space="preserve">Timeliness (IRR)</w:t>
            </w:r>
          </w:p>
        </w:tc>
        <w:tc>
          <w:tcPr/>
          <w:p>
            <w:pPr>
              <w:pStyle w:val="Compact"/>
              <w:jc w:val="left"/>
            </w:pPr>
            <w:r>
              <w:t xml:space="preserve">Laryngology</w:t>
            </w:r>
          </w:p>
        </w:tc>
        <w:tc>
          <w:tcPr/>
          <w:p>
            <w:pPr>
              <w:pStyle w:val="Compact"/>
              <w:jc w:val="right"/>
            </w:pPr>
            <w:r>
              <w:t xml:space="preserve">2.23</w:t>
            </w:r>
          </w:p>
        </w:tc>
        <w:tc>
          <w:tcPr/>
          <w:p>
            <w:pPr>
              <w:pStyle w:val="Compact"/>
              <w:jc w:val="left"/>
            </w:pPr>
            <w:r>
              <w:t xml:space="preserve">1.13-4.40</w:t>
            </w:r>
          </w:p>
        </w:tc>
        <w:tc>
          <w:tcPr/>
          <w:p>
            <w:pPr>
              <w:pStyle w:val="Compact"/>
              <w:jc w:val="right"/>
            </w:pPr>
            <w:r>
              <w:t xml:space="preserve">0.021</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S-A: 3-level RUCA</w:t>
            </w:r>
          </w:p>
        </w:tc>
        <w:tc>
          <w:tcPr/>
          <w:p>
            <w:pPr>
              <w:pStyle w:val="Compact"/>
              <w:jc w:val="left"/>
            </w:pPr>
            <w:r>
              <w:t xml:space="preserve">Timeliness (IRR)</w:t>
            </w:r>
          </w:p>
        </w:tc>
        <w:tc>
          <w:tcPr/>
          <w:p>
            <w:pPr>
              <w:pStyle w:val="Compact"/>
              <w:jc w:val="left"/>
            </w:pPr>
            <w:r>
              <w:t xml:space="preserve">Pediatric otolaryngology</w:t>
            </w:r>
          </w:p>
        </w:tc>
        <w:tc>
          <w:tcPr/>
          <w:p>
            <w:pPr>
              <w:pStyle w:val="Compact"/>
              <w:jc w:val="right"/>
            </w:pPr>
            <w:r>
              <w:t xml:space="preserve">1.64</w:t>
            </w:r>
          </w:p>
        </w:tc>
        <w:tc>
          <w:tcPr/>
          <w:p>
            <w:pPr>
              <w:pStyle w:val="Compact"/>
              <w:jc w:val="left"/>
            </w:pPr>
            <w:r>
              <w:t xml:space="preserve">1.12-2.40</w:t>
            </w:r>
          </w:p>
        </w:tc>
        <w:tc>
          <w:tcPr/>
          <w:p>
            <w:pPr>
              <w:pStyle w:val="Compact"/>
              <w:jc w:val="right"/>
            </w:pPr>
            <w:r>
              <w:t xml:space="preserve">0.012</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S-A: 3-level RUCA</w:t>
            </w:r>
          </w:p>
        </w:tc>
        <w:tc>
          <w:tcPr/>
          <w:p>
            <w:pPr>
              <w:pStyle w:val="Compact"/>
              <w:jc w:val="left"/>
            </w:pPr>
            <w:r>
              <w:t xml:space="preserve">Timeliness (IRR)</w:t>
            </w:r>
          </w:p>
        </w:tc>
        <w:tc>
          <w:tcPr/>
          <w:p>
            <w:pPr>
              <w:pStyle w:val="Compact"/>
              <w:jc w:val="left"/>
            </w:pPr>
            <w:r>
              <w:t xml:space="preserve">Suburban, RUCA 4-6 (vs urban)</w:t>
            </w:r>
          </w:p>
        </w:tc>
        <w:tc>
          <w:tcPr/>
          <w:p>
            <w:pPr>
              <w:pStyle w:val="Compact"/>
              <w:jc w:val="right"/>
            </w:pPr>
            <w:r>
              <w:t xml:space="preserve">1.16</w:t>
            </w:r>
          </w:p>
        </w:tc>
        <w:tc>
          <w:tcPr/>
          <w:p>
            <w:pPr>
              <w:pStyle w:val="Compact"/>
              <w:jc w:val="left"/>
            </w:pPr>
            <w:r>
              <w:t xml:space="preserve">0.89-1.51</w:t>
            </w:r>
          </w:p>
        </w:tc>
        <w:tc>
          <w:tcPr/>
          <w:p>
            <w:pPr>
              <w:pStyle w:val="Compact"/>
              <w:jc w:val="right"/>
            </w:pPr>
            <w:r>
              <w:t xml:space="preserve">0.276</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S-A: 3-level RUCA</w:t>
            </w:r>
          </w:p>
        </w:tc>
        <w:tc>
          <w:tcPr/>
          <w:p>
            <w:pPr>
              <w:pStyle w:val="Compact"/>
              <w:jc w:val="left"/>
            </w:pPr>
            <w:r>
              <w:t xml:space="preserve">Timeliness (IRR)</w:t>
            </w:r>
          </w:p>
        </w:tc>
        <w:tc>
          <w:tcPr/>
          <w:p>
            <w:pPr>
              <w:pStyle w:val="Compact"/>
              <w:jc w:val="left"/>
            </w:pPr>
            <w:r>
              <w:t xml:space="preserve">Rural, RUCA 7-10 (vs urban)</w:t>
            </w:r>
          </w:p>
        </w:tc>
        <w:tc>
          <w:tcPr/>
          <w:p>
            <w:pPr>
              <w:pStyle w:val="Compact"/>
              <w:jc w:val="right"/>
            </w:pPr>
            <w:r>
              <w:t xml:space="preserve">1.36</w:t>
            </w:r>
          </w:p>
        </w:tc>
        <w:tc>
          <w:tcPr/>
          <w:p>
            <w:pPr>
              <w:pStyle w:val="Compact"/>
              <w:jc w:val="left"/>
            </w:pPr>
            <w:r>
              <w:t xml:space="preserve">0.87-2.12</w:t>
            </w:r>
          </w:p>
        </w:tc>
        <w:tc>
          <w:tcPr/>
          <w:p>
            <w:pPr>
              <w:pStyle w:val="Compact"/>
              <w:jc w:val="right"/>
            </w:pPr>
            <w:r>
              <w:t xml:space="preserve">0.180</w:t>
            </w:r>
          </w:p>
        </w:tc>
        <w:tc>
          <w:tcPr/>
          <w:p>
            <w:pPr>
              <w:pStyle w:val="Compact"/>
              <w:jc w:val="right"/>
            </w:pPr>
            <w:r>
              <w:t xml:space="preserve">731</w:t>
            </w:r>
          </w:p>
        </w:tc>
        <w:tc>
          <w:tcPr/>
          <w:p>
            <w:pPr>
              <w:pStyle w:val="Compact"/>
              <w:jc w:val="right"/>
            </w:pPr>
            <w:r>
              <w:t xml:space="preserve">426</w:t>
            </w:r>
          </w:p>
        </w:tc>
      </w:tr>
      <w:tr>
        <w:tc>
          <w:tcPr/>
          <w:p>
            <w:pPr>
              <w:pStyle w:val="Compact"/>
              <w:jc w:val="left"/>
            </w:pPr>
            <w:r>
              <w:t xml:space="preserve">S-B: Complete-case</w:t>
            </w:r>
          </w:p>
        </w:tc>
        <w:tc>
          <w:tcPr/>
          <w:p>
            <w:pPr>
              <w:pStyle w:val="Compact"/>
              <w:jc w:val="left"/>
            </w:pPr>
            <w:r>
              <w:t xml:space="preserve">Access (OR)</w:t>
            </w:r>
          </w:p>
        </w:tc>
        <w:tc>
          <w:tcPr/>
          <w:p>
            <w:pPr>
              <w:pStyle w:val="Compact"/>
              <w:jc w:val="left"/>
            </w:pPr>
            <w:r>
              <w:t xml:space="preserve">Laryngology</w:t>
            </w:r>
          </w:p>
        </w:tc>
        <w:tc>
          <w:tcPr/>
          <w:p>
            <w:pPr>
              <w:pStyle w:val="Compact"/>
              <w:jc w:val="right"/>
            </w:pPr>
            <w:r>
              <w:t xml:space="preserve">1.59</w:t>
            </w:r>
          </w:p>
        </w:tc>
        <w:tc>
          <w:tcPr/>
          <w:p>
            <w:pPr>
              <w:pStyle w:val="Compact"/>
              <w:jc w:val="left"/>
            </w:pPr>
            <w:r>
              <w:t xml:space="preserve">0.44-5.75</w:t>
            </w:r>
          </w:p>
        </w:tc>
        <w:tc>
          <w:tcPr/>
          <w:p>
            <w:pPr>
              <w:pStyle w:val="Compact"/>
              <w:jc w:val="right"/>
            </w:pPr>
            <w:r>
              <w:t xml:space="preserve">0.482</w:t>
            </w:r>
          </w:p>
        </w:tc>
        <w:tc>
          <w:tcPr/>
          <w:p>
            <w:pPr>
              <w:pStyle w:val="Compact"/>
              <w:jc w:val="right"/>
            </w:pPr>
            <w:r>
              <w:t xml:space="preserve">701</w:t>
            </w:r>
          </w:p>
        </w:tc>
        <w:tc>
          <w:tcPr/>
          <w:p>
            <w:pPr>
              <w:pStyle w:val="Compact"/>
              <w:jc w:val="right"/>
            </w:pPr>
            <w:r>
              <w:t xml:space="preserve">409</w:t>
            </w:r>
          </w:p>
        </w:tc>
      </w:tr>
      <w:tr>
        <w:tc>
          <w:tcPr/>
          <w:p>
            <w:pPr>
              <w:pStyle w:val="Compact"/>
              <w:jc w:val="left"/>
            </w:pPr>
            <w:r>
              <w:t xml:space="preserve">S-B: Complete-case</w:t>
            </w:r>
          </w:p>
        </w:tc>
        <w:tc>
          <w:tcPr/>
          <w:p>
            <w:pPr>
              <w:pStyle w:val="Compact"/>
              <w:jc w:val="left"/>
            </w:pPr>
            <w:r>
              <w:t xml:space="preserve">Access (OR)</w:t>
            </w:r>
          </w:p>
        </w:tc>
        <w:tc>
          <w:tcPr/>
          <w:p>
            <w:pPr>
              <w:pStyle w:val="Compact"/>
              <w:jc w:val="left"/>
            </w:pPr>
            <w:r>
              <w:t xml:space="preserve">Pediatric otolaryngology</w:t>
            </w:r>
          </w:p>
        </w:tc>
        <w:tc>
          <w:tcPr/>
          <w:p>
            <w:pPr>
              <w:pStyle w:val="Compact"/>
              <w:jc w:val="right"/>
            </w:pPr>
            <w:r>
              <w:t xml:space="preserve">2.35</w:t>
            </w:r>
          </w:p>
        </w:tc>
        <w:tc>
          <w:tcPr/>
          <w:p>
            <w:pPr>
              <w:pStyle w:val="Compact"/>
              <w:jc w:val="left"/>
            </w:pPr>
            <w:r>
              <w:t xml:space="preserve">1.08-5.10</w:t>
            </w:r>
          </w:p>
        </w:tc>
        <w:tc>
          <w:tcPr/>
          <w:p>
            <w:pPr>
              <w:pStyle w:val="Compact"/>
              <w:jc w:val="right"/>
            </w:pPr>
            <w:r>
              <w:t xml:space="preserve">0.031</w:t>
            </w:r>
          </w:p>
        </w:tc>
        <w:tc>
          <w:tcPr/>
          <w:p>
            <w:pPr>
              <w:pStyle w:val="Compact"/>
              <w:jc w:val="right"/>
            </w:pPr>
            <w:r>
              <w:t xml:space="preserve">701</w:t>
            </w:r>
          </w:p>
        </w:tc>
        <w:tc>
          <w:tcPr/>
          <w:p>
            <w:pPr>
              <w:pStyle w:val="Compact"/>
              <w:jc w:val="right"/>
            </w:pPr>
            <w:r>
              <w:t xml:space="preserve">409</w:t>
            </w:r>
          </w:p>
        </w:tc>
      </w:tr>
      <w:tr>
        <w:tc>
          <w:tcPr/>
          <w:p>
            <w:pPr>
              <w:pStyle w:val="Compact"/>
              <w:jc w:val="left"/>
            </w:pPr>
            <w:r>
              <w:t xml:space="preserve">S-B: Complete-case</w:t>
            </w:r>
          </w:p>
        </w:tc>
        <w:tc>
          <w:tcPr/>
          <w:p>
            <w:pPr>
              <w:pStyle w:val="Compact"/>
              <w:jc w:val="left"/>
            </w:pPr>
            <w:r>
              <w:t xml:space="preserve">Access (OR)</w:t>
            </w:r>
          </w:p>
        </w:tc>
        <w:tc>
          <w:tcPr/>
          <w:p>
            <w:pPr>
              <w:pStyle w:val="Compact"/>
              <w:jc w:val="left"/>
            </w:pPr>
            <w:r>
              <w:t xml:space="preserve">Rural (vs urban)</w:t>
            </w:r>
          </w:p>
        </w:tc>
        <w:tc>
          <w:tcPr/>
          <w:p>
            <w:pPr>
              <w:pStyle w:val="Compact"/>
              <w:jc w:val="right"/>
            </w:pPr>
            <w:r>
              <w:t xml:space="preserve">1.03</w:t>
            </w:r>
          </w:p>
        </w:tc>
        <w:tc>
          <w:tcPr/>
          <w:p>
            <w:pPr>
              <w:pStyle w:val="Compact"/>
              <w:jc w:val="left"/>
            </w:pPr>
            <w:r>
              <w:t xml:space="preserve">0.71-1.49</w:t>
            </w:r>
          </w:p>
        </w:tc>
        <w:tc>
          <w:tcPr/>
          <w:p>
            <w:pPr>
              <w:pStyle w:val="Compact"/>
              <w:jc w:val="right"/>
            </w:pPr>
            <w:r>
              <w:t xml:space="preserve">0.872</w:t>
            </w:r>
          </w:p>
        </w:tc>
        <w:tc>
          <w:tcPr/>
          <w:p>
            <w:pPr>
              <w:pStyle w:val="Compact"/>
              <w:jc w:val="right"/>
            </w:pPr>
            <w:r>
              <w:t xml:space="preserve">701</w:t>
            </w:r>
          </w:p>
        </w:tc>
        <w:tc>
          <w:tcPr/>
          <w:p>
            <w:pPr>
              <w:pStyle w:val="Compact"/>
              <w:jc w:val="right"/>
            </w:pPr>
            <w:r>
              <w:t xml:space="preserve">409</w:t>
            </w:r>
          </w:p>
        </w:tc>
      </w:tr>
      <w:tr>
        <w:tc>
          <w:tcPr/>
          <w:p>
            <w:pPr>
              <w:pStyle w:val="Compact"/>
              <w:jc w:val="left"/>
            </w:pPr>
            <w:r>
              <w:t xml:space="preserve">S-B: Complete-case</w:t>
            </w:r>
          </w:p>
        </w:tc>
        <w:tc>
          <w:tcPr/>
          <w:p>
            <w:pPr>
              <w:pStyle w:val="Compact"/>
              <w:jc w:val="left"/>
            </w:pPr>
            <w:r>
              <w:t xml:space="preserve">Timeliness (IRR)</w:t>
            </w:r>
          </w:p>
        </w:tc>
        <w:tc>
          <w:tcPr/>
          <w:p>
            <w:pPr>
              <w:pStyle w:val="Compact"/>
              <w:jc w:val="left"/>
            </w:pPr>
            <w:r>
              <w:t xml:space="preserve">Laryngology</w:t>
            </w:r>
          </w:p>
        </w:tc>
        <w:tc>
          <w:tcPr/>
          <w:p>
            <w:pPr>
              <w:pStyle w:val="Compact"/>
              <w:jc w:val="right"/>
            </w:pPr>
            <w:r>
              <w:t xml:space="preserve">2.49</w:t>
            </w:r>
          </w:p>
        </w:tc>
        <w:tc>
          <w:tcPr/>
          <w:p>
            <w:pPr>
              <w:pStyle w:val="Compact"/>
              <w:jc w:val="left"/>
            </w:pPr>
            <w:r>
              <w:t xml:space="preserve">1.22-5.10</w:t>
            </w:r>
          </w:p>
        </w:tc>
        <w:tc>
          <w:tcPr/>
          <w:p>
            <w:pPr>
              <w:pStyle w:val="Compact"/>
              <w:jc w:val="right"/>
            </w:pPr>
            <w:r>
              <w:t xml:space="preserve">0.012</w:t>
            </w:r>
          </w:p>
        </w:tc>
        <w:tc>
          <w:tcPr/>
          <w:p>
            <w:pPr>
              <w:pStyle w:val="Compact"/>
              <w:jc w:val="right"/>
            </w:pPr>
            <w:r>
              <w:t xml:space="preserve">701</w:t>
            </w:r>
          </w:p>
        </w:tc>
        <w:tc>
          <w:tcPr/>
          <w:p>
            <w:pPr>
              <w:pStyle w:val="Compact"/>
              <w:jc w:val="right"/>
            </w:pPr>
            <w:r>
              <w:t xml:space="preserve">409</w:t>
            </w:r>
          </w:p>
        </w:tc>
      </w:tr>
      <w:tr>
        <w:tc>
          <w:tcPr/>
          <w:p>
            <w:pPr>
              <w:pStyle w:val="Compact"/>
              <w:jc w:val="left"/>
            </w:pPr>
            <w:r>
              <w:t xml:space="preserve">S-B: Complete-case</w:t>
            </w:r>
          </w:p>
        </w:tc>
        <w:tc>
          <w:tcPr/>
          <w:p>
            <w:pPr>
              <w:pStyle w:val="Compact"/>
              <w:jc w:val="left"/>
            </w:pPr>
            <w:r>
              <w:t xml:space="preserve">Timeliness (IRR)</w:t>
            </w:r>
          </w:p>
        </w:tc>
        <w:tc>
          <w:tcPr/>
          <w:p>
            <w:pPr>
              <w:pStyle w:val="Compact"/>
              <w:jc w:val="left"/>
            </w:pPr>
            <w:r>
              <w:t xml:space="preserve">Pediatric otolaryngology</w:t>
            </w:r>
          </w:p>
        </w:tc>
        <w:tc>
          <w:tcPr/>
          <w:p>
            <w:pPr>
              <w:pStyle w:val="Compact"/>
              <w:jc w:val="right"/>
            </w:pPr>
            <w:r>
              <w:t xml:space="preserve">1.52</w:t>
            </w:r>
          </w:p>
        </w:tc>
        <w:tc>
          <w:tcPr/>
          <w:p>
            <w:pPr>
              <w:pStyle w:val="Compact"/>
              <w:jc w:val="left"/>
            </w:pPr>
            <w:r>
              <w:t xml:space="preserve">1.02-2.27</w:t>
            </w:r>
          </w:p>
        </w:tc>
        <w:tc>
          <w:tcPr/>
          <w:p>
            <w:pPr>
              <w:pStyle w:val="Compact"/>
              <w:jc w:val="right"/>
            </w:pPr>
            <w:r>
              <w:t xml:space="preserve">0.040</w:t>
            </w:r>
          </w:p>
        </w:tc>
        <w:tc>
          <w:tcPr/>
          <w:p>
            <w:pPr>
              <w:pStyle w:val="Compact"/>
              <w:jc w:val="right"/>
            </w:pPr>
            <w:r>
              <w:t xml:space="preserve">701</w:t>
            </w:r>
          </w:p>
        </w:tc>
        <w:tc>
          <w:tcPr/>
          <w:p>
            <w:pPr>
              <w:pStyle w:val="Compact"/>
              <w:jc w:val="right"/>
            </w:pPr>
            <w:r>
              <w:t xml:space="preserve">409</w:t>
            </w:r>
          </w:p>
        </w:tc>
      </w:tr>
      <w:tr>
        <w:tc>
          <w:tcPr/>
          <w:p>
            <w:pPr>
              <w:pStyle w:val="Compact"/>
              <w:jc w:val="left"/>
            </w:pPr>
            <w:r>
              <w:t xml:space="preserve">S-B: Complete-case</w:t>
            </w:r>
          </w:p>
        </w:tc>
        <w:tc>
          <w:tcPr/>
          <w:p>
            <w:pPr>
              <w:pStyle w:val="Compact"/>
              <w:jc w:val="left"/>
            </w:pPr>
            <w:r>
              <w:t xml:space="preserve">Timeliness (IRR)</w:t>
            </w:r>
          </w:p>
        </w:tc>
        <w:tc>
          <w:tcPr/>
          <w:p>
            <w:pPr>
              <w:pStyle w:val="Compact"/>
              <w:jc w:val="left"/>
            </w:pPr>
            <w:r>
              <w:t xml:space="preserve">Rural (vs urban)</w:t>
            </w:r>
          </w:p>
        </w:tc>
        <w:tc>
          <w:tcPr/>
          <w:p>
            <w:pPr>
              <w:pStyle w:val="Compact"/>
              <w:jc w:val="right"/>
            </w:pPr>
            <w:r>
              <w:t xml:space="preserve">1.16</w:t>
            </w:r>
          </w:p>
        </w:tc>
        <w:tc>
          <w:tcPr/>
          <w:p>
            <w:pPr>
              <w:pStyle w:val="Compact"/>
              <w:jc w:val="left"/>
            </w:pPr>
            <w:r>
              <w:t xml:space="preserve">0.89-1.51</w:t>
            </w:r>
          </w:p>
        </w:tc>
        <w:tc>
          <w:tcPr/>
          <w:p>
            <w:pPr>
              <w:pStyle w:val="Compact"/>
              <w:jc w:val="right"/>
            </w:pPr>
            <w:r>
              <w:t xml:space="preserve">0.275</w:t>
            </w:r>
          </w:p>
        </w:tc>
        <w:tc>
          <w:tcPr/>
          <w:p>
            <w:pPr>
              <w:pStyle w:val="Compact"/>
              <w:jc w:val="right"/>
            </w:pPr>
            <w:r>
              <w:t xml:space="preserve">701</w:t>
            </w:r>
          </w:p>
        </w:tc>
        <w:tc>
          <w:tcPr/>
          <w:p>
            <w:pPr>
              <w:pStyle w:val="Compact"/>
              <w:jc w:val="right"/>
            </w:pPr>
            <w:r>
              <w:t xml:space="preserve">409</w:t>
            </w:r>
          </w:p>
        </w:tc>
      </w:tr>
    </w:tbl>
    <w:p/>
    <w:p>
      <w:pPr>
        <w:pStyle w:val="TableCaption"/>
      </w:pPr>
      <w:r>
        <w:t xml:space="preserve">Table S10. Secondary access measures (access cascade), reasons for non-acceptance, and whom the appointment was with.</w:t>
      </w:r>
    </w:p>
    <w:tbl>
      <w:tblPr>
        <w:tblStyle w:val="Table"/>
        <w:tblW w:type="pct" w:w="5000"/>
        <w:tblLayout w:type="fixed"/>
        <w:tblLook w:firstRow="1" w:lastRow="0" w:firstColumn="0" w:lastColumn="0" w:noHBand="0" w:noVBand="0" w:val="0020"/>
        <w:tblCaption w:val="Table S10. Secondary access measures (access cascade), reasons for non-acceptance, and whom the appointment was with."/>
      </w:tblPr>
      <w:tblGrid>
        <w:gridCol w:w="3790"/>
        <w:gridCol w:w="2707"/>
        <w:gridCol w:w="270"/>
        <w:gridCol w:w="812"/>
        <w:gridCol w:w="338"/>
      </w:tblGrid>
      <w:tr>
        <w:trPr>
          <w:tblHeader w:val="on"/>
        </w:trPr>
        <w:tc>
          <w:tcPr/>
          <w:p>
            <w:pPr>
              <w:pStyle w:val="Compact"/>
              <w:jc w:val="left"/>
            </w:pPr>
            <w:r>
              <w:t xml:space="preserve">Group</w:t>
            </w:r>
          </w:p>
        </w:tc>
        <w:tc>
          <w:tcPr/>
          <w:p>
            <w:pPr>
              <w:pStyle w:val="Compact"/>
              <w:jc w:val="left"/>
            </w:pPr>
            <w:r>
              <w:t xml:space="preserve">Measure</w:t>
            </w:r>
          </w:p>
        </w:tc>
        <w:tc>
          <w:tcPr/>
          <w:p>
            <w:pPr>
              <w:pStyle w:val="Compact"/>
              <w:jc w:val="right"/>
            </w:pPr>
            <w:r>
              <w:t xml:space="preserve">n</w:t>
            </w:r>
          </w:p>
        </w:tc>
        <w:tc>
          <w:tcPr/>
          <w:p>
            <w:pPr>
              <w:pStyle w:val="Compact"/>
              <w:jc w:val="right"/>
            </w:pPr>
            <w:r>
              <w:t xml:space="preserve">Denominator</w:t>
            </w:r>
          </w:p>
        </w:tc>
        <w:tc>
          <w:tcPr/>
          <w:p>
            <w:pPr>
              <w:pStyle w:val="Compact"/>
              <w:jc w:val="right"/>
            </w:pPr>
            <w:r>
              <w:t xml:space="preserve">%</w:t>
            </w:r>
          </w:p>
        </w:tc>
      </w:tr>
      <w:tr>
        <w:tc>
          <w:tcPr/>
          <w:p>
            <w:pPr>
              <w:pStyle w:val="Compact"/>
              <w:jc w:val="left"/>
            </w:pPr>
            <w:r>
              <w:t xml:space="preserve">Access cascade (% of analytic sample)</w:t>
            </w:r>
          </w:p>
        </w:tc>
        <w:tc>
          <w:tcPr/>
          <w:p>
            <w:pPr>
              <w:pStyle w:val="Compact"/>
              <w:jc w:val="left"/>
            </w:pPr>
            <w:r>
              <w:t xml:space="preserve">Reached a live office (office answered)</w:t>
            </w:r>
          </w:p>
        </w:tc>
        <w:tc>
          <w:tcPr/>
          <w:p>
            <w:pPr>
              <w:pStyle w:val="Compact"/>
              <w:jc w:val="right"/>
            </w:pPr>
            <w:r>
              <w:t xml:space="preserve">569</w:t>
            </w:r>
          </w:p>
        </w:tc>
        <w:tc>
          <w:tcPr/>
          <w:p>
            <w:pPr>
              <w:pStyle w:val="Compact"/>
              <w:jc w:val="right"/>
            </w:pPr>
            <w:r>
              <w:t xml:space="preserve">731</w:t>
            </w:r>
          </w:p>
        </w:tc>
        <w:tc>
          <w:tcPr/>
          <w:p>
            <w:pPr>
              <w:pStyle w:val="Compact"/>
              <w:jc w:val="right"/>
            </w:pPr>
            <w:r>
              <w:t xml:space="preserve">77.8</w:t>
            </w:r>
          </w:p>
        </w:tc>
      </w:tr>
      <w:tr>
        <w:tc>
          <w:tcPr/>
          <w:p>
            <w:pPr>
              <w:pStyle w:val="Compact"/>
              <w:jc w:val="left"/>
            </w:pPr>
            <w:r>
              <w:t xml:space="preserve">Access cascade (% of analytic sample)</w:t>
            </w:r>
          </w:p>
        </w:tc>
        <w:tc>
          <w:tcPr/>
          <w:p>
            <w:pPr>
              <w:pStyle w:val="Compact"/>
              <w:jc w:val="left"/>
            </w:pPr>
            <w:r>
              <w:t xml:space="preserve">Practice accepting new patients</w:t>
            </w:r>
          </w:p>
        </w:tc>
        <w:tc>
          <w:tcPr/>
          <w:p>
            <w:pPr>
              <w:pStyle w:val="Compact"/>
              <w:jc w:val="right"/>
            </w:pPr>
            <w:r>
              <w:t xml:space="preserve">432</w:t>
            </w:r>
          </w:p>
        </w:tc>
        <w:tc>
          <w:tcPr/>
          <w:p>
            <w:pPr>
              <w:pStyle w:val="Compact"/>
              <w:jc w:val="right"/>
            </w:pPr>
            <w:r>
              <w:t xml:space="preserve">731</w:t>
            </w:r>
          </w:p>
        </w:tc>
        <w:tc>
          <w:tcPr/>
          <w:p>
            <w:pPr>
              <w:pStyle w:val="Compact"/>
              <w:jc w:val="right"/>
            </w:pPr>
            <w:r>
              <w:t xml:space="preserve">59.1</w:t>
            </w:r>
          </w:p>
        </w:tc>
      </w:tr>
      <w:tr>
        <w:tc>
          <w:tcPr/>
          <w:p>
            <w:pPr>
              <w:pStyle w:val="Compact"/>
              <w:jc w:val="left"/>
            </w:pPr>
            <w:r>
              <w:t xml:space="preserve">Access cascade (% of analytic sample)</w:t>
            </w:r>
          </w:p>
        </w:tc>
        <w:tc>
          <w:tcPr/>
          <w:p>
            <w:pPr>
              <w:pStyle w:val="Compact"/>
              <w:jc w:val="left"/>
            </w:pPr>
            <w:r>
              <w:t xml:space="preserve">Practice sees the presented complaint</w:t>
            </w:r>
          </w:p>
        </w:tc>
        <w:tc>
          <w:tcPr/>
          <w:p>
            <w:pPr>
              <w:pStyle w:val="Compact"/>
              <w:jc w:val="right"/>
            </w:pPr>
            <w:r>
              <w:t xml:space="preserve">415</w:t>
            </w:r>
          </w:p>
        </w:tc>
        <w:tc>
          <w:tcPr/>
          <w:p>
            <w:pPr>
              <w:pStyle w:val="Compact"/>
              <w:jc w:val="right"/>
            </w:pPr>
            <w:r>
              <w:t xml:space="preserve">731</w:t>
            </w:r>
          </w:p>
        </w:tc>
        <w:tc>
          <w:tcPr/>
          <w:p>
            <w:pPr>
              <w:pStyle w:val="Compact"/>
              <w:jc w:val="right"/>
            </w:pPr>
            <w:r>
              <w:t xml:space="preserve">56.8</w:t>
            </w:r>
          </w:p>
        </w:tc>
      </w:tr>
      <w:tr>
        <w:tc>
          <w:tcPr/>
          <w:p>
            <w:pPr>
              <w:pStyle w:val="Compact"/>
              <w:jc w:val="left"/>
            </w:pPr>
            <w:r>
              <w:t xml:space="preserve">Access cascade (% of analytic sample)</w:t>
            </w:r>
          </w:p>
        </w:tc>
        <w:tc>
          <w:tcPr/>
          <w:p>
            <w:pPr>
              <w:pStyle w:val="Compact"/>
              <w:jc w:val="left"/>
            </w:pPr>
            <w:r>
              <w:t xml:space="preserve">New-patient appointment offered</w:t>
            </w:r>
          </w:p>
        </w:tc>
        <w:tc>
          <w:tcPr/>
          <w:p>
            <w:pPr>
              <w:pStyle w:val="Compact"/>
              <w:jc w:val="right"/>
            </w:pPr>
            <w:r>
              <w:t xml:space="preserve">436</w:t>
            </w:r>
          </w:p>
        </w:tc>
        <w:tc>
          <w:tcPr/>
          <w:p>
            <w:pPr>
              <w:pStyle w:val="Compact"/>
              <w:jc w:val="right"/>
            </w:pPr>
            <w:r>
              <w:t xml:space="preserve">731</w:t>
            </w:r>
          </w:p>
        </w:tc>
        <w:tc>
          <w:tcPr/>
          <w:p>
            <w:pPr>
              <w:pStyle w:val="Compact"/>
              <w:jc w:val="right"/>
            </w:pPr>
            <w:r>
              <w:t xml:space="preserve">59.6</w:t>
            </w:r>
          </w:p>
        </w:tc>
      </w:tr>
      <w:tr>
        <w:tc>
          <w:tcPr/>
          <w:p>
            <w:pPr>
              <w:pStyle w:val="Compact"/>
              <w:jc w:val="left"/>
            </w:pPr>
            <w:r>
              <w:t xml:space="preserve">Access cascade (% of analytic sample)</w:t>
            </w:r>
          </w:p>
        </w:tc>
        <w:tc>
          <w:tcPr/>
          <w:p>
            <w:pPr>
              <w:pStyle w:val="Compact"/>
              <w:jc w:val="left"/>
            </w:pPr>
            <w:r>
              <w:t xml:space="preserve">Appointment with the sampled physician</w:t>
            </w:r>
          </w:p>
        </w:tc>
        <w:tc>
          <w:tcPr/>
          <w:p>
            <w:pPr>
              <w:pStyle w:val="Compact"/>
              <w:jc w:val="right"/>
            </w:pPr>
            <w:r>
              <w:t xml:space="preserve">370</w:t>
            </w:r>
          </w:p>
        </w:tc>
        <w:tc>
          <w:tcPr/>
          <w:p>
            <w:pPr>
              <w:pStyle w:val="Compact"/>
              <w:jc w:val="right"/>
            </w:pPr>
            <w:r>
              <w:t xml:space="preserve">731</w:t>
            </w:r>
          </w:p>
        </w:tc>
        <w:tc>
          <w:tcPr/>
          <w:p>
            <w:pPr>
              <w:pStyle w:val="Compact"/>
              <w:jc w:val="right"/>
            </w:pPr>
            <w:r>
              <w:t xml:space="preserve">50.6</w:t>
            </w:r>
          </w:p>
        </w:tc>
      </w:tr>
      <w:tr>
        <w:tc>
          <w:tcPr/>
          <w:p>
            <w:pPr>
              <w:pStyle w:val="Compact"/>
              <w:jc w:val="left"/>
            </w:pPr>
            <w:r>
              <w:t xml:space="preserve">Reasons not accepting new patients (% of non-accepting)</w:t>
            </w:r>
          </w:p>
        </w:tc>
        <w:tc>
          <w:tcPr/>
          <w:p>
            <w:pPr>
              <w:pStyle w:val="Compact"/>
              <w:jc w:val="left"/>
            </w:pPr>
            <w:r>
              <w:t xml:space="preserve">changed practice</w:t>
            </w:r>
          </w:p>
        </w:tc>
        <w:tc>
          <w:tcPr/>
          <w:p>
            <w:pPr>
              <w:pStyle w:val="Compact"/>
              <w:jc w:val="right"/>
            </w:pPr>
            <w:r>
              <w:t xml:space="preserve">44</w:t>
            </w:r>
          </w:p>
        </w:tc>
        <w:tc>
          <w:tcPr/>
          <w:p>
            <w:pPr>
              <w:pStyle w:val="Compact"/>
              <w:jc w:val="right"/>
            </w:pPr>
            <w:r>
              <w:t xml:space="preserve">240</w:t>
            </w:r>
          </w:p>
        </w:tc>
        <w:tc>
          <w:tcPr/>
          <w:p>
            <w:pPr>
              <w:pStyle w:val="Compact"/>
              <w:jc w:val="right"/>
            </w:pPr>
            <w:r>
              <w:t xml:space="preserve">18.3</w:t>
            </w:r>
          </w:p>
        </w:tc>
      </w:tr>
      <w:tr>
        <w:tc>
          <w:tcPr/>
          <w:p>
            <w:pPr>
              <w:pStyle w:val="Compact"/>
              <w:jc w:val="left"/>
            </w:pPr>
            <w:r>
              <w:t xml:space="preserve">Reasons not accepting new patients (% of non-accepting)</w:t>
            </w:r>
          </w:p>
        </w:tc>
        <w:tc>
          <w:tcPr/>
          <w:p>
            <w:pPr>
              <w:pStyle w:val="Compact"/>
              <w:jc w:val="left"/>
            </w:pPr>
            <w:r>
              <w:t xml:space="preserve">on leave</w:t>
            </w:r>
          </w:p>
        </w:tc>
        <w:tc>
          <w:tcPr/>
          <w:p>
            <w:pPr>
              <w:pStyle w:val="Compact"/>
              <w:jc w:val="right"/>
            </w:pPr>
            <w:r>
              <w:t xml:space="preserve">4</w:t>
            </w:r>
          </w:p>
        </w:tc>
        <w:tc>
          <w:tcPr/>
          <w:p>
            <w:pPr>
              <w:pStyle w:val="Compact"/>
              <w:jc w:val="right"/>
            </w:pPr>
            <w:r>
              <w:t xml:space="preserve">240</w:t>
            </w:r>
          </w:p>
        </w:tc>
        <w:tc>
          <w:tcPr/>
          <w:p>
            <w:pPr>
              <w:pStyle w:val="Compact"/>
              <w:jc w:val="right"/>
            </w:pPr>
            <w:r>
              <w:t xml:space="preserve">1.7</w:t>
            </w:r>
          </w:p>
        </w:tc>
      </w:tr>
      <w:tr>
        <w:tc>
          <w:tcPr/>
          <w:p>
            <w:pPr>
              <w:pStyle w:val="Compact"/>
              <w:jc w:val="left"/>
            </w:pPr>
            <w:r>
              <w:t xml:space="preserve">Reasons not accepting new patients (% of non-accepting)</w:t>
            </w:r>
          </w:p>
        </w:tc>
        <w:tc>
          <w:tcPr/>
          <w:p>
            <w:pPr>
              <w:pStyle w:val="Compact"/>
              <w:jc w:val="left"/>
            </w:pPr>
            <w:r>
              <w:t xml:space="preserve">practice full</w:t>
            </w:r>
          </w:p>
        </w:tc>
        <w:tc>
          <w:tcPr/>
          <w:p>
            <w:pPr>
              <w:pStyle w:val="Compact"/>
              <w:jc w:val="right"/>
            </w:pPr>
            <w:r>
              <w:t xml:space="preserve">7</w:t>
            </w:r>
          </w:p>
        </w:tc>
        <w:tc>
          <w:tcPr/>
          <w:p>
            <w:pPr>
              <w:pStyle w:val="Compact"/>
              <w:jc w:val="right"/>
            </w:pPr>
            <w:r>
              <w:t xml:space="preserve">240</w:t>
            </w:r>
          </w:p>
        </w:tc>
        <w:tc>
          <w:tcPr/>
          <w:p>
            <w:pPr>
              <w:pStyle w:val="Compact"/>
              <w:jc w:val="right"/>
            </w:pPr>
            <w:r>
              <w:t xml:space="preserve">2.9</w:t>
            </w:r>
          </w:p>
        </w:tc>
      </w:tr>
      <w:tr>
        <w:tc>
          <w:tcPr/>
          <w:p>
            <w:pPr>
              <w:pStyle w:val="Compact"/>
              <w:jc w:val="left"/>
            </w:pPr>
            <w:r>
              <w:t xml:space="preserve">Reasons not accepting new patients (% of non-accepting)</w:t>
            </w:r>
          </w:p>
        </w:tc>
        <w:tc>
          <w:tcPr/>
          <w:p>
            <w:pPr>
              <w:pStyle w:val="Compact"/>
              <w:jc w:val="left"/>
            </w:pPr>
            <w:r>
              <w:t xml:space="preserve">retired/left</w:t>
            </w:r>
          </w:p>
        </w:tc>
        <w:tc>
          <w:tcPr/>
          <w:p>
            <w:pPr>
              <w:pStyle w:val="Compact"/>
              <w:jc w:val="right"/>
            </w:pPr>
            <w:r>
              <w:t xml:space="preserve">81</w:t>
            </w:r>
          </w:p>
        </w:tc>
        <w:tc>
          <w:tcPr/>
          <w:p>
            <w:pPr>
              <w:pStyle w:val="Compact"/>
              <w:jc w:val="right"/>
            </w:pPr>
            <w:r>
              <w:t xml:space="preserve">240</w:t>
            </w:r>
          </w:p>
        </w:tc>
        <w:tc>
          <w:tcPr/>
          <w:p>
            <w:pPr>
              <w:pStyle w:val="Compact"/>
              <w:jc w:val="right"/>
            </w:pPr>
            <w:r>
              <w:t xml:space="preserve">33.8</w:t>
            </w:r>
          </w:p>
        </w:tc>
      </w:tr>
      <w:tr>
        <w:tc>
          <w:tcPr/>
          <w:p>
            <w:pPr>
              <w:pStyle w:val="Compact"/>
              <w:jc w:val="left"/>
            </w:pPr>
            <w:r>
              <w:t xml:space="preserve">Reasons not accepting new patients (% of non-accepting)</w:t>
            </w:r>
          </w:p>
        </w:tc>
        <w:tc>
          <w:tcPr/>
          <w:p>
            <w:pPr>
              <w:pStyle w:val="Compact"/>
              <w:jc w:val="left"/>
            </w:pPr>
            <w:r>
              <w:t xml:space="preserve">unspecified</w:t>
            </w:r>
          </w:p>
        </w:tc>
        <w:tc>
          <w:tcPr/>
          <w:p>
            <w:pPr>
              <w:pStyle w:val="Compact"/>
              <w:jc w:val="right"/>
            </w:pPr>
            <w:r>
              <w:t xml:space="preserve">104</w:t>
            </w:r>
          </w:p>
        </w:tc>
        <w:tc>
          <w:tcPr/>
          <w:p>
            <w:pPr>
              <w:pStyle w:val="Compact"/>
              <w:jc w:val="right"/>
            </w:pPr>
            <w:r>
              <w:t xml:space="preserve">240</w:t>
            </w:r>
          </w:p>
        </w:tc>
        <w:tc>
          <w:tcPr/>
          <w:p>
            <w:pPr>
              <w:pStyle w:val="Compact"/>
              <w:jc w:val="right"/>
            </w:pPr>
            <w:r>
              <w:t xml:space="preserve">43.3</w:t>
            </w:r>
          </w:p>
        </w:tc>
      </w:tr>
      <w:tr>
        <w:tc>
          <w:tcPr/>
          <w:p>
            <w:pPr>
              <w:pStyle w:val="Compact"/>
              <w:jc w:val="left"/>
            </w:pPr>
            <w:r>
              <w:t xml:space="preserve">Whom the appointment was with (% of offers)</w:t>
            </w:r>
          </w:p>
        </w:tc>
        <w:tc>
          <w:tcPr/>
          <w:p>
            <w:pPr>
              <w:pStyle w:val="Compact"/>
              <w:jc w:val="left"/>
            </w:pPr>
            <w:r>
              <w:t xml:space="preserve">Sampled physician</w:t>
            </w:r>
          </w:p>
        </w:tc>
        <w:tc>
          <w:tcPr/>
          <w:p>
            <w:pPr>
              <w:pStyle w:val="Compact"/>
              <w:jc w:val="right"/>
            </w:pPr>
            <w:r>
              <w:t xml:space="preserve">370</w:t>
            </w:r>
          </w:p>
        </w:tc>
        <w:tc>
          <w:tcPr/>
          <w:p>
            <w:pPr>
              <w:pStyle w:val="Compact"/>
              <w:jc w:val="right"/>
            </w:pPr>
            <w:r>
              <w:t xml:space="preserve">436</w:t>
            </w:r>
          </w:p>
        </w:tc>
        <w:tc>
          <w:tcPr/>
          <w:p>
            <w:pPr>
              <w:pStyle w:val="Compact"/>
              <w:jc w:val="right"/>
            </w:pPr>
            <w:r>
              <w:t xml:space="preserve">84.9</w:t>
            </w:r>
          </w:p>
        </w:tc>
      </w:tr>
      <w:tr>
        <w:tc>
          <w:tcPr/>
          <w:p>
            <w:pPr>
              <w:pStyle w:val="Compact"/>
              <w:jc w:val="left"/>
            </w:pPr>
            <w:r>
              <w:t xml:space="preserve">Whom the appointment was with (% of offers)</w:t>
            </w:r>
          </w:p>
        </w:tc>
        <w:tc>
          <w:tcPr/>
          <w:p>
            <w:pPr>
              <w:pStyle w:val="Compact"/>
              <w:jc w:val="left"/>
            </w:pPr>
            <w:r>
              <w:t xml:space="preserve">A different physician</w:t>
            </w:r>
          </w:p>
        </w:tc>
        <w:tc>
          <w:tcPr/>
          <w:p>
            <w:pPr>
              <w:pStyle w:val="Compact"/>
              <w:jc w:val="right"/>
            </w:pPr>
            <w:r>
              <w:t xml:space="preserve">58</w:t>
            </w:r>
          </w:p>
        </w:tc>
        <w:tc>
          <w:tcPr/>
          <w:p>
            <w:pPr>
              <w:pStyle w:val="Compact"/>
              <w:jc w:val="right"/>
            </w:pPr>
            <w:r>
              <w:t xml:space="preserve">436</w:t>
            </w:r>
          </w:p>
        </w:tc>
        <w:tc>
          <w:tcPr/>
          <w:p>
            <w:pPr>
              <w:pStyle w:val="Compact"/>
              <w:jc w:val="right"/>
            </w:pPr>
            <w:r>
              <w:t xml:space="preserve">13.3</w:t>
            </w:r>
          </w:p>
        </w:tc>
      </w:tr>
      <w:tr>
        <w:tc>
          <w:tcPr/>
          <w:p>
            <w:pPr>
              <w:pStyle w:val="Compact"/>
              <w:jc w:val="left"/>
            </w:pPr>
            <w:r>
              <w:t xml:space="preserve">Whom the appointment was with (% of offers)</w:t>
            </w:r>
          </w:p>
        </w:tc>
        <w:tc>
          <w:tcPr/>
          <w:p>
            <w:pPr>
              <w:pStyle w:val="Compact"/>
              <w:jc w:val="left"/>
            </w:pPr>
            <w:r>
              <w:t xml:space="preserve">Advanced practice provider only</w:t>
            </w:r>
          </w:p>
        </w:tc>
        <w:tc>
          <w:tcPr/>
          <w:p>
            <w:pPr>
              <w:pStyle w:val="Compact"/>
              <w:jc w:val="right"/>
            </w:pPr>
            <w:r>
              <w:t xml:space="preserve">9</w:t>
            </w:r>
          </w:p>
        </w:tc>
        <w:tc>
          <w:tcPr/>
          <w:p>
            <w:pPr>
              <w:pStyle w:val="Compact"/>
              <w:jc w:val="right"/>
            </w:pPr>
            <w:r>
              <w:t xml:space="preserve">436</w:t>
            </w:r>
          </w:p>
        </w:tc>
        <w:tc>
          <w:tcPr/>
          <w:p>
            <w:pPr>
              <w:pStyle w:val="Compact"/>
              <w:jc w:val="right"/>
            </w:pPr>
            <w:r>
              <w:t xml:space="preserve">2.1</w:t>
            </w:r>
          </w:p>
        </w:tc>
      </w:tr>
    </w:tbl>
    <w:bookmarkEnd w:id="46"/>
    <w:bookmarkStart w:id="68" w:name="supplementary-figures"/>
    <w:p>
      <w:pPr>
        <w:pStyle w:val="Heading2"/>
      </w:pPr>
      <w:r>
        <w:t xml:space="preserve">Supplementary Figures</w:t>
      </w:r>
    </w:p>
    <w:p>
      <w:pPr>
        <w:pStyle w:val="FirstParagraph"/>
      </w:pPr>
      <w:r>
        <w:rPr>
          <w:b/>
          <w:bCs/>
        </w:rPr>
        <w:t xml:space="preserve">Figure S1. Kaplan–Meier time to secured appointment, by subspecialty.</w:t>
      </w:r>
    </w:p>
    <w:p>
      <w:pPr>
        <w:pStyle w:val="BodyText"/>
      </w:pPr>
      <w:r>
        <w:drawing>
          <wp:inline>
            <wp:extent cx="5334000" cy="4030133"/>
            <wp:effectExtent b="0" l="0" r="0" t="0"/>
            <wp:docPr descr="" title="" id="48" name="Picture"/>
            <a:graphic>
              <a:graphicData uri="http://schemas.openxmlformats.org/drawingml/2006/picture">
                <pic:pic>
                  <pic:nvPicPr>
                    <pic:cNvPr descr="model_output/supp/figS1_km_time_to_appointment.png" id="49" name="Picture"/>
                    <pic:cNvPicPr>
                      <a:picLocks noChangeArrowheads="1" noChangeAspect="1"/>
                    </pic:cNvPicPr>
                  </pic:nvPicPr>
                  <pic:blipFill>
                    <a:blip r:embed="rId47"/>
                    <a:stretch>
                      <a:fillRect/>
                    </a:stretch>
                  </pic:blipFill>
                  <pic:spPr bwMode="auto">
                    <a:xfrm>
                      <a:off x="0" y="0"/>
                      <a:ext cx="5334000" cy="4030133"/>
                    </a:xfrm>
                    <a:prstGeom prst="rect">
                      <a:avLst/>
                    </a:prstGeom>
                    <a:noFill/>
                    <a:ln w="9525">
                      <a:noFill/>
                      <a:headEnd/>
                      <a:tailEnd/>
                    </a:ln>
                  </pic:spPr>
                </pic:pic>
              </a:graphicData>
            </a:graphic>
          </wp:inline>
        </w:drawing>
      </w:r>
    </w:p>
    <w:p>
      <w:pPr>
        <w:pStyle w:val="BodyText"/>
      </w:pPr>
      <w:r>
        <w:rPr>
          <w:b/>
          <w:bCs/>
        </w:rPr>
        <w:t xml:space="preserve">Figure S2. Business-day wait-time distribution by subspecialty.</w:t>
      </w:r>
    </w:p>
    <w:p>
      <w:pPr>
        <w:pStyle w:val="BodyText"/>
      </w:pPr>
      <w:r>
        <w:drawing>
          <wp:inline>
            <wp:extent cx="5334000" cy="3333750"/>
            <wp:effectExtent b="0" l="0" r="0" t="0"/>
            <wp:docPr descr="" title="" id="51" name="Picture"/>
            <a:graphic>
              <a:graphicData uri="http://schemas.openxmlformats.org/drawingml/2006/picture">
                <pic:pic>
                  <pic:nvPicPr>
                    <pic:cNvPr descr="model_output/supp/figS2_wait_distribution.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Figure S3. Negative binomial model diagnostics (DHARMa).</w:t>
      </w:r>
    </w:p>
    <w:p>
      <w:pPr>
        <w:pStyle w:val="BodyText"/>
      </w:pPr>
      <w:r>
        <w:drawing>
          <wp:inline>
            <wp:extent cx="5334000" cy="2667000"/>
            <wp:effectExtent b="0" l="0" r="0" t="0"/>
            <wp:docPr descr="" title="" id="54" name="Picture"/>
            <a:graphic>
              <a:graphicData uri="http://schemas.openxmlformats.org/drawingml/2006/picture">
                <pic:pic>
                  <pic:nvPicPr>
                    <pic:cNvPr descr="model_output/supp/figS3_nb_diagnostics.png" id="55" name="Picture"/>
                    <pic:cNvPicPr>
                      <a:picLocks noChangeArrowheads="1" noChangeAspect="1"/>
                    </pic:cNvPicPr>
                  </pic:nvPicPr>
                  <pic:blipFill>
                    <a:blip r:embed="rId5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S4a. Appointment offer rate by AAO-HNS region.</w:t>
      </w:r>
    </w:p>
    <w:p>
      <w:pPr>
        <w:pStyle w:val="BodyText"/>
      </w:pPr>
      <w:r>
        <w:drawing>
          <wp:inline>
            <wp:extent cx="5334000" cy="3514164"/>
            <wp:effectExtent b="0" l="0" r="0" t="0"/>
            <wp:docPr descr="" title="" id="57" name="Picture"/>
            <a:graphic>
              <a:graphicData uri="http://schemas.openxmlformats.org/drawingml/2006/picture">
                <pic:pic>
                  <pic:nvPicPr>
                    <pic:cNvPr descr="model_output/supp/figS4_choropleth_offer_rate.png" id="58" name="Picture"/>
                    <pic:cNvPicPr>
                      <a:picLocks noChangeArrowheads="1" noChangeAspect="1"/>
                    </pic:cNvPicPr>
                  </pic:nvPicPr>
                  <pic:blipFill>
                    <a:blip r:embed="rId56"/>
                    <a:stretch>
                      <a:fillRect/>
                    </a:stretch>
                  </pic:blipFill>
                  <pic:spPr bwMode="auto">
                    <a:xfrm>
                      <a:off x="0" y="0"/>
                      <a:ext cx="5334000" cy="3514164"/>
                    </a:xfrm>
                    <a:prstGeom prst="rect">
                      <a:avLst/>
                    </a:prstGeom>
                    <a:noFill/>
                    <a:ln w="9525">
                      <a:noFill/>
                      <a:headEnd/>
                      <a:tailEnd/>
                    </a:ln>
                  </pic:spPr>
                </pic:pic>
              </a:graphicData>
            </a:graphic>
          </wp:inline>
        </w:drawing>
      </w:r>
    </w:p>
    <w:p>
      <w:pPr>
        <w:pStyle w:val="BodyText"/>
      </w:pPr>
      <w:r>
        <w:rPr>
          <w:b/>
          <w:bCs/>
        </w:rPr>
        <w:t xml:space="preserve">Figure S4b. Median business-day wait by AAO-HNS region.</w:t>
      </w:r>
    </w:p>
    <w:p>
      <w:pPr>
        <w:pStyle w:val="BodyText"/>
      </w:pPr>
      <w:r>
        <w:drawing>
          <wp:inline>
            <wp:extent cx="5334000" cy="3514164"/>
            <wp:effectExtent b="0" l="0" r="0" t="0"/>
            <wp:docPr descr="" title="" id="60" name="Picture"/>
            <a:graphic>
              <a:graphicData uri="http://schemas.openxmlformats.org/drawingml/2006/picture">
                <pic:pic>
                  <pic:nvPicPr>
                    <pic:cNvPr descr="model_output/supp/figS4_choropleth_median_wait.png" id="61" name="Picture"/>
                    <pic:cNvPicPr>
                      <a:picLocks noChangeArrowheads="1" noChangeAspect="1"/>
                    </pic:cNvPicPr>
                  </pic:nvPicPr>
                  <pic:blipFill>
                    <a:blip r:embed="rId59"/>
                    <a:stretch>
                      <a:fillRect/>
                    </a:stretch>
                  </pic:blipFill>
                  <pic:spPr bwMode="auto">
                    <a:xfrm>
                      <a:off x="0" y="0"/>
                      <a:ext cx="5334000" cy="3514164"/>
                    </a:xfrm>
                    <a:prstGeom prst="rect">
                      <a:avLst/>
                    </a:prstGeom>
                    <a:noFill/>
                    <a:ln w="9525">
                      <a:noFill/>
                      <a:headEnd/>
                      <a:tailEnd/>
                    </a:ln>
                  </pic:spPr>
                </pic:pic>
              </a:graphicData>
            </a:graphic>
          </wp:inline>
        </w:drawing>
      </w:r>
    </w:p>
    <w:p>
      <w:pPr>
        <w:pStyle w:val="BodyText"/>
      </w:pPr>
      <w:r>
        <w:rPr>
          <w:b/>
          <w:bCs/>
        </w:rPr>
        <w:t xml:space="preserve">Figure S5. Appointment offer rate by state (mysterymaps).</w:t>
      </w:r>
    </w:p>
    <w:p>
      <w:pPr>
        <w:pStyle w:val="BodyText"/>
      </w:pPr>
      <w:r>
        <w:drawing>
          <wp:inline>
            <wp:extent cx="5334000" cy="3556000"/>
            <wp:effectExtent b="0" l="0" r="0" t="0"/>
            <wp:docPr descr="" title="" id="63" name="Picture"/>
            <a:graphic>
              <a:graphicData uri="http://schemas.openxmlformats.org/drawingml/2006/picture">
                <pic:pic>
                  <pic:nvPicPr>
                    <pic:cNvPr descr="model_output/supp/figS4b_offer_rate_by_state.png" id="64" name="Picture"/>
                    <pic:cNvPicPr>
                      <a:picLocks noChangeArrowheads="1" noChangeAspect="1"/>
                    </pic:cNvPicPr>
                  </pic:nvPicPr>
                  <pic:blipFill>
                    <a:blip r:embed="rId6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Figure S7. New-patient access cascade.</w:t>
      </w:r>
    </w:p>
    <w:p>
      <w:pPr>
        <w:pStyle w:val="BodyText"/>
      </w:pPr>
      <w:r>
        <w:drawing>
          <wp:inline>
            <wp:extent cx="5334000" cy="2259105"/>
            <wp:effectExtent b="0" l="0" r="0" t="0"/>
            <wp:docPr descr="" title="" id="66" name="Picture"/>
            <a:graphic>
              <a:graphicData uri="http://schemas.openxmlformats.org/drawingml/2006/picture">
                <pic:pic>
                  <pic:nvPicPr>
                    <pic:cNvPr descr="model_output/supp/figS7_access_cascade.png" id="67" name="Picture"/>
                    <pic:cNvPicPr>
                      <a:picLocks noChangeArrowheads="1" noChangeAspect="1"/>
                    </pic:cNvPicPr>
                  </pic:nvPicPr>
                  <pic:blipFill>
                    <a:blip r:embed="rId65"/>
                    <a:stretch>
                      <a:fillRect/>
                    </a:stretch>
                  </pic:blipFill>
                  <pic:spPr bwMode="auto">
                    <a:xfrm>
                      <a:off x="0" y="0"/>
                      <a:ext cx="5334000" cy="2259105"/>
                    </a:xfrm>
                    <a:prstGeom prst="rect">
                      <a:avLst/>
                    </a:prstGeom>
                    <a:noFill/>
                    <a:ln w="9525">
                      <a:noFill/>
                      <a:headEnd/>
                      <a:tailEnd/>
                    </a:ln>
                  </pic:spPr>
                </pic:pic>
              </a:graphicData>
            </a:graphic>
          </wp:inline>
        </w:drawing>
      </w:r>
    </w:p>
    <w:p>
      <w:pPr>
        <w:pStyle w:val="BodyText"/>
      </w:pPr>
      <w:r>
        <w:rPr>
          <w:i/>
          <w:iCs/>
        </w:rPr>
        <w:t xml:space="preserve">Full legends for all supplementary items are in</w:t>
      </w:r>
      <w:r>
        <w:rPr>
          <w:i/>
          <w:iCs/>
        </w:rPr>
        <w:t xml:space="preserve"> </w:t>
      </w:r>
      <w:r>
        <w:rPr>
          <w:rStyle w:val="VerbatimChar"/>
          <w:i/>
          <w:iCs/>
        </w:rPr>
        <w:t xml:space="preserve">docs/supplementary_legends.md</w:t>
      </w:r>
      <w:r>
        <w:rPr>
          <w:i/>
          <w:iCs/>
        </w:rPr>
        <w:t xml:space="preserve">. A completed STROBE checklist is provided in</w:t>
      </w:r>
      <w:r>
        <w:rPr>
          <w:i/>
          <w:iCs/>
        </w:rPr>
        <w:t xml:space="preserve"> </w:t>
      </w:r>
      <w:r>
        <w:rPr>
          <w:rStyle w:val="VerbatimChar"/>
          <w:i/>
          <w:iCs/>
        </w:rPr>
        <w:t xml:space="preserve">manuscript/STROBE_checklist.md</w:t>
      </w:r>
      <w:r>
        <w:rPr>
          <w:i/>
          <w:iCs/>
        </w:rPr>
        <w:t xml:space="preserve">.</w:t>
      </w:r>
    </w:p>
    <w:bookmarkEnd w:id="68"/>
    <w:bookmarkStart w:id="69" w:name="Xcb13635c9e988cf97ef206a036626737dff9783"/>
    <w:p>
      <w:pPr>
        <w:pStyle w:val="Heading2"/>
      </w:pPr>
      <w:r>
        <w:t xml:space="preserve">Supplementary Appendix: Standardized call script</w:t>
      </w:r>
    </w:p>
    <w:p>
      <w:pPr>
        <w:pStyle w:val="FirstParagraph"/>
      </w:pPr>
      <w:r>
        <w:t xml:space="preserve">Callers followed a standardized telephone script, presenting as a new patient (or a family member calling on a patient’s behalf) with a referral-based, subspecialty-matched chief complaint, and recorded responses in a structured data-capture form.</w:t>
      </w:r>
    </w:p>
    <w:p>
      <w:pPr>
        <w:pStyle w:val="BodyText"/>
      </w:pPr>
      <w:r>
        <w:rPr>
          <w:b/>
          <w:bCs/>
        </w:rPr>
        <w:t xml:space="preserve">Pre-call procedure.</w:t>
      </w:r>
      <w:r>
        <w:t xml:space="preserve"> </w:t>
      </w:r>
      <w:r>
        <w:t xml:space="preserve">Before each call, the caller searched the sampled physician’s name and state of practice online and identified the matching practice website (typically among the first results, in under one minute). From the website, the caller determined whether the physician was fellowship-trained and selected the correspondingly matched subspecialty script; if the physician was not fellowship-trained, or fellowship status was unclear, the general otolaryngology script was used. Board certification was verified using the American Board of Otolaryngology–Head and Neck Surgery certification tool (abohns.org/verify-certification); if the physician was not listed as certified, the caller asked whether the physician was board certified after an appointment was offered. Calls used the phone number listed on the practice website (to avoid inadvertently reaching a personal number listed in NPI/CMS/Academy records); when no website could be found, the caller used the NPI/CMS-listed number with the general script and noted the absence of a website. The practice city and 2020 RUCA code were recorded before the call (via the Rural Health Information Hub</w:t>
      </w:r>
      <w:r>
        <w:t xml:space="preserve"> </w:t>
      </w:r>
      <w:r>
        <w:t xml:space="preserve">“Am I Rural?”</w:t>
      </w:r>
      <w:r>
        <w:t xml:space="preserve"> </w:t>
      </w:r>
      <w:r>
        <w:t xml:space="preserve">tool), along with any additional practice cities and their RUCA codes.</w:t>
      </w:r>
    </w:p>
    <w:p>
      <w:pPr>
        <w:pStyle w:val="BodyText"/>
      </w:pPr>
      <w:r>
        <w:rPr>
          <w:b/>
          <w:bCs/>
        </w:rPr>
        <w:t xml:space="preserve">During the call.</w:t>
      </w:r>
      <w:r>
        <w:t xml:space="preserve"> </w:t>
      </w:r>
      <w:r>
        <w:t xml:space="preserve">The caller delivered the selected script (Table S9). If asked for identifying details, the caller gave a standardized identity—</w:t>
      </w:r>
      <w:r>
        <w:t xml:space="preserve">“John”</w:t>
      </w:r>
      <w:r>
        <w:t xml:space="preserve"> </w:t>
      </w:r>
      <w:r>
        <w:t xml:space="preserve">or</w:t>
      </w:r>
      <w:r>
        <w:t xml:space="preserve"> </w:t>
      </w:r>
      <w:r>
        <w:t xml:space="preserve">“Jessica Smith,”</w:t>
      </w:r>
      <w:r>
        <w:t xml:space="preserve"> </w:t>
      </w:r>
      <w:r>
        <w:t xml:space="preserve">date of birth June 1 of a script-appropriate year.</w:t>
      </w:r>
      <w:r>
        <w:t xml:space="preserve"> </w:t>
      </w:r>
      <w:r>
        <w:rPr>
          <w:b/>
          <w:bCs/>
        </w:rPr>
        <w:t xml:space="preserve">No appointment was ever booked:</w:t>
      </w:r>
      <w:r>
        <w:t xml:space="preserve"> </w:t>
      </w:r>
      <w:r>
        <w:t xml:space="preserve">when an appointment was offered, the caller requested the next-available date (</w:t>
      </w:r>
      <w:r>
        <w:t xml:space="preserve">“I want to make sure I can find an appointment that works with my schedule before moving forward with scheduling”</w:t>
      </w:r>
      <w:r>
        <w:t xml:space="preserve">) to compute the business-day wait, then stated they would check their schedule and call back. Structured response handling captured whether the physician sees the presented complaint (and, if not, what they do see), whether another provider could be seen for the concern and whether that provider was a physician or advanced practice provider and the time to that appointment, whether the physician was not accepting new patients, redirection to a different provider, and whether the physician was no longer practicing (retired vs moved).</w:t>
      </w:r>
      <w:r>
        <w:t xml:space="preserve"> </w:t>
      </w:r>
      <w:r>
        <w:rPr>
          <w:i/>
          <w:iCs/>
        </w:rPr>
        <w:t xml:space="preserve">[Not specified in the script draft: the number and timing of call attempts before an office was recorded as unreachable—to confirm from the protocol.]</w:t>
      </w:r>
    </w:p>
    <w:p>
      <w:pPr>
        <w:pStyle w:val="BodyText"/>
      </w:pPr>
      <w:r>
        <w:rPr>
          <w:b/>
          <w:bCs/>
        </w:rPr>
        <w:t xml:space="preserve">Table S9. Subspecialty-matched chief-complaint scripts (verbatim caller wording).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Subspecialty</w:t>
            </w:r>
          </w:p>
        </w:tc>
        <w:tc>
          <w:tcPr/>
          <w:p>
            <w:pPr>
              <w:pStyle w:val="Compact"/>
            </w:pPr>
            <w:r>
              <w:t xml:space="preserve">Clinical scenario</w:t>
            </w:r>
          </w:p>
        </w:tc>
        <w:tc>
          <w:tcPr/>
          <w:p>
            <w:pPr>
              <w:pStyle w:val="Compact"/>
            </w:pPr>
            <w:r>
              <w:t xml:space="preserve">Verbatim opening script</w:t>
            </w:r>
          </w:p>
        </w:tc>
      </w:tr>
      <w:tr>
        <w:tc>
          <w:tcPr/>
          <w:p>
            <w:pPr>
              <w:pStyle w:val="Compact"/>
            </w:pPr>
            <w:r>
              <w:t xml:space="preserve">General otolaryngology</w:t>
            </w:r>
          </w:p>
        </w:tc>
        <w:tc>
          <w:tcPr/>
          <w:p>
            <w:pPr>
              <w:pStyle w:val="Compact"/>
            </w:pPr>
            <w:r>
              <w:t xml:space="preserve">Nasal obstruction; suspected deviated septum after failed medical therapy</w:t>
            </w:r>
          </w:p>
        </w:tc>
        <w:tc>
          <w:tcPr/>
          <w:p>
            <w:pPr>
              <w:pStyle w:val="Compact"/>
            </w:pPr>
            <w:r>
              <w:t xml:space="preserve">“I was worked up by my primary care doctor for difficulty breathing through my nose. I have tried multiple nasal sprays but none of them have helped. My primary care doctor said they think I have a deviated septum and referred me to Dr. ___.”</w:t>
            </w:r>
          </w:p>
        </w:tc>
      </w:tr>
      <w:tr>
        <w:tc>
          <w:tcPr/>
          <w:p>
            <w:pPr>
              <w:pStyle w:val="Compact"/>
            </w:pPr>
            <w:r>
              <w:t xml:space="preserve">Pediatric otolaryngology</w:t>
            </w:r>
          </w:p>
        </w:tc>
        <w:tc>
          <w:tcPr/>
          <w:p>
            <w:pPr>
              <w:pStyle w:val="Compact"/>
            </w:pPr>
            <w:r>
              <w:t xml:space="preserve">12-year-old with recurrent tonsillitis and snoring; tonsillectomy discussion</w:t>
            </w:r>
          </w:p>
        </w:tc>
        <w:tc>
          <w:tcPr/>
          <w:p>
            <w:pPr>
              <w:pStyle w:val="Compact"/>
            </w:pPr>
            <w:r>
              <w:t xml:space="preserve">“My twelve-year-old son has been worked up for recurrent tonsillitis and snoring by our pediatrician. He has had seven episodes of tonsillitis in the last year. He is also now snoring loudly and seems very tired during the day. Our pediatrician referred us to Dr. ___ to discuss possible tonsillectomy.”</w:t>
            </w:r>
          </w:p>
        </w:tc>
      </w:tr>
      <w:tr>
        <w:tc>
          <w:tcPr/>
          <w:p>
            <w:pPr>
              <w:pStyle w:val="Compact"/>
            </w:pPr>
            <w:r>
              <w:t xml:space="preserve">Rhinology</w:t>
            </w:r>
          </w:p>
        </w:tc>
        <w:tc>
          <w:tcPr/>
          <w:p>
            <w:pPr>
              <w:pStyle w:val="Compact"/>
            </w:pPr>
            <w:r>
              <w:t xml:space="preserve">Recurrent chronic sinusitis after prior sinus surgery; revision considered</w:t>
            </w:r>
          </w:p>
        </w:tc>
        <w:tc>
          <w:tcPr/>
          <w:p>
            <w:pPr>
              <w:pStyle w:val="Compact"/>
            </w:pPr>
            <w:r>
              <w:t xml:space="preserve">“I have been evaluated and treated for chronic sinusitis by my primary care doctor and a general ENT. I have had one prior sinus surgery ten years ago, but my symptoms are back. I was referred to see Dr. ___ to discuss possible revision sinus surgery.”</w:t>
            </w:r>
          </w:p>
        </w:tc>
      </w:tr>
      <w:tr>
        <w:tc>
          <w:tcPr/>
          <w:p>
            <w:pPr>
              <w:pStyle w:val="Compact"/>
            </w:pPr>
            <w:r>
              <w:t xml:space="preserve">Otology/neurotology</w:t>
            </w:r>
          </w:p>
        </w:tc>
        <w:tc>
          <w:tcPr/>
          <w:p>
            <w:pPr>
              <w:pStyle w:val="Compact"/>
            </w:pPr>
            <w:r>
              <w:t xml:space="preserve">70-year-old parent with progressive hearing loss; cochlear-implant candidate</w:t>
            </w:r>
          </w:p>
        </w:tc>
        <w:tc>
          <w:tcPr/>
          <w:p>
            <w:pPr>
              <w:pStyle w:val="Compact"/>
            </w:pPr>
            <w:r>
              <w:t xml:space="preserve">“My 70-year-old mother has been worked up for hearing loss by our audiologist and a general ENT. She has had progressive hearing loss and is no longer getting benefit from hearing aids. After her most recent hearing test, she was referred to Dr. ___ to discuss possible cochlear implantation.”</w:t>
            </w:r>
          </w:p>
        </w:tc>
      </w:tr>
      <w:tr>
        <w:tc>
          <w:tcPr/>
          <w:p>
            <w:pPr>
              <w:pStyle w:val="Compact"/>
            </w:pPr>
            <w:r>
              <w:t xml:space="preserve">Laryngology</w:t>
            </w:r>
          </w:p>
        </w:tc>
        <w:tc>
          <w:tcPr/>
          <w:p>
            <w:pPr>
              <w:pStyle w:val="Compact"/>
            </w:pPr>
            <w:r>
              <w:t xml:space="preserve">70-year-old parent with dysphonia; paralyzed vocal cord after cardiac surgery</w:t>
            </w:r>
          </w:p>
        </w:tc>
        <w:tc>
          <w:tcPr/>
          <w:p>
            <w:pPr>
              <w:pStyle w:val="Compact"/>
            </w:pPr>
            <w:r>
              <w:t xml:space="preserve">“My 70-year-old father has been evaluated and treated for a hoarse voice by a general ENT and speech pathologist. He was told he has a paralyzed vocal cord after open heart surgery two years ago. He has completed a variety of treatments, but his voice has not improved. He is being referred to Dr. ___ to discuss possible surgical options for his voice.”</w:t>
            </w:r>
          </w:p>
        </w:tc>
      </w:tr>
      <w:tr>
        <w:tc>
          <w:tcPr/>
          <w:p>
            <w:pPr>
              <w:pStyle w:val="Compact"/>
            </w:pPr>
            <w:r>
              <w:t xml:space="preserve">Facial plastic surgery</w:t>
            </w:r>
          </w:p>
        </w:tc>
        <w:tc>
          <w:tcPr/>
          <w:p>
            <w:pPr>
              <w:pStyle w:val="Compact"/>
            </w:pPr>
            <w:r>
              <w:t xml:space="preserve">Post-traumatic nasal deformity and obstruction; rhinoplasty evaluation</w:t>
            </w:r>
          </w:p>
        </w:tc>
        <w:tc>
          <w:tcPr/>
          <w:p>
            <w:pPr>
              <w:pStyle w:val="Compact"/>
            </w:pPr>
            <w:r>
              <w:t xml:space="preserve">“I have been worked up for difficulty breathing through my nose and a change in the appearance of my nose after a car accident one year ago by my primary care doctor. I was referred to Dr. ___ to discuss possible surgical options to improve my breathing and shape of my nose.”</w:t>
            </w:r>
          </w:p>
        </w:tc>
      </w:tr>
      <w:tr>
        <w:tc>
          <w:tcPr/>
          <w:p>
            <w:pPr>
              <w:pStyle w:val="Compact"/>
            </w:pPr>
            <w:r>
              <w:t xml:space="preserve">Head and neck oncology</w:t>
            </w:r>
          </w:p>
        </w:tc>
        <w:tc>
          <w:tcPr/>
          <w:p>
            <w:pPr>
              <w:pStyle w:val="Compact"/>
            </w:pPr>
            <w:r>
              <w:t xml:space="preserve">Thyroid nodule with biopsy showing high malignancy risk; thyroidectomy discussion</w:t>
            </w:r>
          </w:p>
        </w:tc>
        <w:tc>
          <w:tcPr/>
          <w:p>
            <w:pPr>
              <w:pStyle w:val="Compact"/>
            </w:pPr>
            <w:r>
              <w:t xml:space="preserve">“I have been worked up for a thyroid nodule by my primary care provider. I had a biopsy done by an endocrinologist that showed a 70% chance of thyroid cancer. I was referred to Dr. ___ to discuss possible thyroidectomy.”</w:t>
            </w:r>
          </w:p>
        </w:tc>
      </w:tr>
      <w:tr>
        <w:tc>
          <w:tcPr/>
          <w:p>
            <w:pPr>
              <w:pStyle w:val="Compact"/>
            </w:pPr>
            <w:r>
              <w:t xml:space="preserve">Sleep medicine</w:t>
            </w:r>
          </w:p>
        </w:tc>
        <w:tc>
          <w:tcPr/>
          <w:p>
            <w:pPr>
              <w:pStyle w:val="Compact"/>
            </w:pPr>
            <w:r>
              <w:t xml:space="preserve">No dedicated script</w:t>
            </w:r>
          </w:p>
        </w:tc>
        <w:tc>
          <w:tcPr/>
          <w:p>
            <w:pPr>
              <w:pStyle w:val="Compact"/>
            </w:pPr>
            <w:r>
              <w:t xml:space="preserve">Because script selection followed fellowship training and no sleep-specific vignette existed, physicians classified as sleep medicine received the</w:t>
            </w:r>
            <w:r>
              <w:t xml:space="preserve"> </w:t>
            </w:r>
            <w:r>
              <w:rPr>
                <w:b/>
                <w:bCs/>
              </w:rPr>
              <w:t xml:space="preserve">general otolaryngology</w:t>
            </w:r>
            <w:r>
              <w:t xml:space="preserve"> </w:t>
            </w:r>
            <w:r>
              <w:t xml:space="preserve">script above.</w:t>
            </w:r>
          </w:p>
        </w:tc>
      </w:tr>
    </w:tbl>
    <w:p>
      <w:r>
        <w:br w:type="page"/>
      </w:r>
    </w:p>
    <w:bookmarkEnd w:id="69"/>
    <w:bookmarkEnd w:id="70"/>
    <w:bookmarkStart w:id="115" w:name="references"/>
    <w:p>
      <w:pPr>
        <w:pStyle w:val="Heading1"/>
      </w:pPr>
      <w:r>
        <w:t xml:space="preserve">References</w:t>
      </w:r>
    </w:p>
    <w:bookmarkStart w:id="114" w:name="refs"/>
    <w:bookmarkStart w:id="72" w:name="ref-graboyes2019"/>
    <w:p>
      <w:pPr>
        <w:pStyle w:val="Bibliography"/>
      </w:pPr>
      <w:r>
        <w:t xml:space="preserve">1.</w:t>
      </w:r>
      <w:r>
        <w:t xml:space="preserve"> </w:t>
      </w:r>
      <w:r>
        <w:t xml:space="preserve">	</w:t>
      </w:r>
      <w:r>
        <w:t xml:space="preserve">Graboyes EM, Kompelli AR, Neskey DM, et al. Association of treatment delays with survival for patients with head and neck cancer: A systematic review.</w:t>
      </w:r>
      <w:r>
        <w:t xml:space="preserve"> </w:t>
      </w:r>
      <w:r>
        <w:rPr>
          <w:i/>
          <w:iCs/>
        </w:rPr>
        <w:t xml:space="preserve">JAMA Otolaryngology–Head &amp; Neck Surgery</w:t>
      </w:r>
      <w:r>
        <w:t xml:space="preserve">. 2019;145(2):166-177. doi:</w:t>
      </w:r>
      <w:hyperlink r:id="rId71">
        <w:r>
          <w:rPr>
            <w:rStyle w:val="Hyperlink"/>
          </w:rPr>
          <w:t xml:space="preserve">10.1001/jamaoto.2018.2716</w:t>
        </w:r>
      </w:hyperlink>
    </w:p>
    <w:bookmarkEnd w:id="72"/>
    <w:bookmarkStart w:id="74" w:name="ref-bisgaier2011"/>
    <w:p>
      <w:pPr>
        <w:pStyle w:val="Bibliography"/>
      </w:pPr>
      <w:r>
        <w:t xml:space="preserve">2.</w:t>
      </w:r>
      <w:r>
        <w:t xml:space="preserve"> </w:t>
      </w:r>
      <w:r>
        <w:t xml:space="preserve">	</w:t>
      </w:r>
      <w:r>
        <w:t xml:space="preserve">Bisgaier J, Rhodes KV. Auditing access to specialty care for children with public insurance.</w:t>
      </w:r>
      <w:r>
        <w:t xml:space="preserve"> </w:t>
      </w:r>
      <w:r>
        <w:rPr>
          <w:i/>
          <w:iCs/>
        </w:rPr>
        <w:t xml:space="preserve">New England Journal of Medicine</w:t>
      </w:r>
      <w:r>
        <w:t xml:space="preserve">. 2011;364(24):2324-2333. doi:</w:t>
      </w:r>
      <w:hyperlink r:id="rId73">
        <w:r>
          <w:rPr>
            <w:rStyle w:val="Hyperlink"/>
          </w:rPr>
          <w:t xml:space="preserve">10.1056/NEJMsa1013285</w:t>
        </w:r>
      </w:hyperlink>
    </w:p>
    <w:bookmarkEnd w:id="74"/>
    <w:bookmarkStart w:id="76" w:name="ref-vickery2016"/>
    <w:p>
      <w:pPr>
        <w:pStyle w:val="Bibliography"/>
      </w:pPr>
      <w:r>
        <w:t xml:space="preserve">3.</w:t>
      </w:r>
      <w:r>
        <w:t xml:space="preserve"> </w:t>
      </w:r>
      <w:r>
        <w:t xml:space="preserve">	</w:t>
      </w:r>
      <w:r>
        <w:t xml:space="preserve">Vickery TW, Weterings R, Cabrera-Muffly C. Geographic distribution of otolaryngologists in the</w:t>
      </w:r>
      <w:r>
        <w:t xml:space="preserve"> </w:t>
      </w:r>
      <w:r>
        <w:t xml:space="preserve">United States</w:t>
      </w:r>
      <w:r>
        <w:t xml:space="preserve">.</w:t>
      </w:r>
      <w:r>
        <w:t xml:space="preserve"> </w:t>
      </w:r>
      <w:r>
        <w:rPr>
          <w:i/>
          <w:iCs/>
        </w:rPr>
        <w:t xml:space="preserve">Ear, Nose &amp; Throat Journal</w:t>
      </w:r>
      <w:r>
        <w:t xml:space="preserve">. 2016;95(6):218-223. doi:</w:t>
      </w:r>
      <w:hyperlink r:id="rId75">
        <w:r>
          <w:rPr>
            <w:rStyle w:val="Hyperlink"/>
          </w:rPr>
          <w:t xml:space="preserve">10.1177/014556131609500607</w:t>
        </w:r>
      </w:hyperlink>
    </w:p>
    <w:bookmarkEnd w:id="76"/>
    <w:bookmarkStart w:id="78" w:name="ref-rankin2022"/>
    <w:p>
      <w:pPr>
        <w:pStyle w:val="Bibliography"/>
      </w:pPr>
      <w:r>
        <w:t xml:space="preserve">4.</w:t>
      </w:r>
      <w:r>
        <w:t xml:space="preserve"> </w:t>
      </w:r>
      <w:r>
        <w:t xml:space="preserve">	</w:t>
      </w:r>
      <w:r>
        <w:t xml:space="preserve">Rankin KA, Mosier-Mills A, Hsiang W, Wiznia DH. Secret shopper studies: An unorthodox design that measures inequities in healthcare access.</w:t>
      </w:r>
      <w:r>
        <w:t xml:space="preserve"> </w:t>
      </w:r>
      <w:r>
        <w:rPr>
          <w:i/>
          <w:iCs/>
        </w:rPr>
        <w:t xml:space="preserve">Archives of Public Health</w:t>
      </w:r>
      <w:r>
        <w:t xml:space="preserve">. 2022;80:226. doi:</w:t>
      </w:r>
      <w:hyperlink r:id="rId77">
        <w:r>
          <w:rPr>
            <w:rStyle w:val="Hyperlink"/>
          </w:rPr>
          <w:t xml:space="preserve">10.1186/s13690-022-00979-z</w:t>
        </w:r>
      </w:hyperlink>
    </w:p>
    <w:bookmarkEnd w:id="78"/>
    <w:bookmarkStart w:id="80" w:name="ref-rhodes2011"/>
    <w:p>
      <w:pPr>
        <w:pStyle w:val="Bibliography"/>
      </w:pPr>
      <w:r>
        <w:t xml:space="preserve">5.</w:t>
      </w:r>
      <w:r>
        <w:t xml:space="preserve"> </w:t>
      </w:r>
      <w:r>
        <w:t xml:space="preserve">	</w:t>
      </w:r>
      <w:r>
        <w:t xml:space="preserve">Rhodes KV. Taking the mystery out of</w:t>
      </w:r>
      <w:r>
        <w:t xml:space="preserve"> </w:t>
      </w:r>
      <w:r>
        <w:t xml:space="preserve">“mystery shopper”</w:t>
      </w:r>
      <w:r>
        <w:t xml:space="preserve"> </w:t>
      </w:r>
      <w:r>
        <w:t xml:space="preserve">studies.</w:t>
      </w:r>
      <w:r>
        <w:t xml:space="preserve"> </w:t>
      </w:r>
      <w:r>
        <w:rPr>
          <w:i/>
          <w:iCs/>
        </w:rPr>
        <w:t xml:space="preserve">New England Journal of Medicine</w:t>
      </w:r>
      <w:r>
        <w:t xml:space="preserve">. 2011;365(6):484-486. doi:</w:t>
      </w:r>
      <w:hyperlink r:id="rId79">
        <w:r>
          <w:rPr>
            <w:rStyle w:val="Hyperlink"/>
          </w:rPr>
          <w:t xml:space="preserve">10.1056/NEJMp1107779</w:t>
        </w:r>
      </w:hyperlink>
    </w:p>
    <w:bookmarkEnd w:id="80"/>
    <w:bookmarkStart w:id="82" w:name="ref-blinkhorn2013"/>
    <w:p>
      <w:pPr>
        <w:pStyle w:val="Bibliography"/>
      </w:pPr>
      <w:r>
        <w:t xml:space="preserve">6.</w:t>
      </w:r>
      <w:r>
        <w:t xml:space="preserve"> </w:t>
      </w:r>
      <w:r>
        <w:t xml:space="preserve">	</w:t>
      </w:r>
      <w:r>
        <w:t xml:space="preserve">Blinkhorn L. Secret shoppers and conflicts of interest.</w:t>
      </w:r>
      <w:r>
        <w:t xml:space="preserve"> </w:t>
      </w:r>
      <w:r>
        <w:rPr>
          <w:i/>
          <w:iCs/>
        </w:rPr>
        <w:t xml:space="preserve">AMA Journal of Ethics (Virtual Mentor)</w:t>
      </w:r>
      <w:r>
        <w:t xml:space="preserve">. 2013;15(2):119-124. doi:</w:t>
      </w:r>
      <w:hyperlink r:id="rId81">
        <w:r>
          <w:rPr>
            <w:rStyle w:val="Hyperlink"/>
          </w:rPr>
          <w:t xml:space="preserve">10.1001/virtualmentor.2013.15.2.bndr1-1302</w:t>
        </w:r>
      </w:hyperlink>
    </w:p>
    <w:bookmarkEnd w:id="82"/>
    <w:bookmarkStart w:id="84" w:name="ref-rhodesmiller2012"/>
    <w:p>
      <w:pPr>
        <w:pStyle w:val="Bibliography"/>
      </w:pPr>
      <w:r>
        <w:t xml:space="preserve">7.</w:t>
      </w:r>
      <w:r>
        <w:t xml:space="preserve"> </w:t>
      </w:r>
      <w:r>
        <w:t xml:space="preserve">	</w:t>
      </w:r>
      <w:r>
        <w:t xml:space="preserve">Rhodes KV, Miller FG. Simulated patient studies: An ethical analysis.</w:t>
      </w:r>
      <w:r>
        <w:t xml:space="preserve"> </w:t>
      </w:r>
      <w:r>
        <w:rPr>
          <w:i/>
          <w:iCs/>
        </w:rPr>
        <w:t xml:space="preserve">The Milbank Quarterly</w:t>
      </w:r>
      <w:r>
        <w:t xml:space="preserve">. 2012;90(4):706-724. doi:</w:t>
      </w:r>
      <w:hyperlink r:id="rId83">
        <w:r>
          <w:rPr>
            <w:rStyle w:val="Hyperlink"/>
          </w:rPr>
          <w:t xml:space="preserve">10.1111/j.1468-0009.2012.00680.x</w:t>
        </w:r>
      </w:hyperlink>
    </w:p>
    <w:bookmarkEnd w:id="84"/>
    <w:bookmarkStart w:id="85" w:name="ref-moriarty2003"/>
    <w:p>
      <w:pPr>
        <w:pStyle w:val="Bibliography"/>
      </w:pPr>
      <w:r>
        <w:t xml:space="preserve">8.</w:t>
      </w:r>
      <w:r>
        <w:t xml:space="preserve"> </w:t>
      </w:r>
      <w:r>
        <w:t xml:space="preserve">	</w:t>
      </w:r>
      <w:r>
        <w:t xml:space="preserve">Moriarty H, McLeod D, Dowell A. Mystery shopping in health service evaluation.</w:t>
      </w:r>
      <w:r>
        <w:t xml:space="preserve"> </w:t>
      </w:r>
      <w:r>
        <w:rPr>
          <w:i/>
          <w:iCs/>
        </w:rPr>
        <w:t xml:space="preserve">British Journal of General Practice</w:t>
      </w:r>
      <w:r>
        <w:t xml:space="preserve">. 2003;53(497):942-946.</w:t>
      </w:r>
    </w:p>
    <w:bookmarkEnd w:id="85"/>
    <w:bookmarkStart w:id="87" w:name="ref-hodson2025"/>
    <w:p>
      <w:pPr>
        <w:pStyle w:val="Bibliography"/>
      </w:pPr>
      <w:r>
        <w:t xml:space="preserve">9.</w:t>
      </w:r>
      <w:r>
        <w:t xml:space="preserve"> </w:t>
      </w:r>
      <w:r>
        <w:t xml:space="preserve">	</w:t>
      </w:r>
      <w:r>
        <w:t xml:space="preserve">Hodson N, Onyeaso OO, Mills S, Sunstein CR, Bruine de Bruin W. Evaluating adherence to patient registration paperwork guidelines: A mystery shopper study in</w:t>
      </w:r>
      <w:r>
        <w:t xml:space="preserve"> </w:t>
      </w:r>
      <w:r>
        <w:t xml:space="preserve">English</w:t>
      </w:r>
      <w:r>
        <w:t xml:space="preserve"> </w:t>
      </w:r>
      <w:r>
        <w:t xml:space="preserve">primary care.</w:t>
      </w:r>
      <w:r>
        <w:t xml:space="preserve"> </w:t>
      </w:r>
      <w:r>
        <w:rPr>
          <w:i/>
          <w:iCs/>
        </w:rPr>
        <w:t xml:space="preserve">BMJ Open</w:t>
      </w:r>
      <w:r>
        <w:t xml:space="preserve">. 2025;15:e100719. doi:</w:t>
      </w:r>
      <w:hyperlink r:id="rId86">
        <w:r>
          <w:rPr>
            <w:rStyle w:val="Hyperlink"/>
          </w:rPr>
          <w:t xml:space="preserve">10.1136/bmjopen-2025-100719</w:t>
        </w:r>
      </w:hyperlink>
    </w:p>
    <w:bookmarkEnd w:id="87"/>
    <w:bookmarkStart w:id="89" w:name="ref-lungfiel2023"/>
    <w:p>
      <w:pPr>
        <w:pStyle w:val="Bibliography"/>
      </w:pPr>
      <w:r>
        <w:t xml:space="preserve">10.</w:t>
      </w:r>
      <w:r>
        <w:t xml:space="preserve"> </w:t>
      </w:r>
      <w:r>
        <w:t xml:space="preserve">	</w:t>
      </w:r>
      <w:r>
        <w:t xml:space="preserve">Lungfiel G, Mandlmeier F, Kunow C, Langer B. Oral emergency contraception practices of community pharmacies: A mystery caller study in the capital of</w:t>
      </w:r>
      <w:r>
        <w:t xml:space="preserve"> </w:t>
      </w:r>
      <w:r>
        <w:t xml:space="preserve">Germany</w:t>
      </w:r>
      <w:r>
        <w:t xml:space="preserve">,</w:t>
      </w:r>
      <w:r>
        <w:t xml:space="preserve"> </w:t>
      </w:r>
      <w:r>
        <w:t xml:space="preserve">Berlin</w:t>
      </w:r>
      <w:r>
        <w:t xml:space="preserve">.</w:t>
      </w:r>
      <w:r>
        <w:t xml:space="preserve"> </w:t>
      </w:r>
      <w:r>
        <w:rPr>
          <w:i/>
          <w:iCs/>
        </w:rPr>
        <w:t xml:space="preserve">Journal of Pharmaceutical Policy and Practice</w:t>
      </w:r>
      <w:r>
        <w:t xml:space="preserve">. 2023;16(1):68. doi:</w:t>
      </w:r>
      <w:hyperlink r:id="rId88">
        <w:r>
          <w:rPr>
            <w:rStyle w:val="Hyperlink"/>
          </w:rPr>
          <w:t xml:space="preserve">10.1186/s40545-023-00565-w</w:t>
        </w:r>
      </w:hyperlink>
    </w:p>
    <w:bookmarkEnd w:id="89"/>
    <w:bookmarkStart w:id="91" w:name="ref-campbell2013"/>
    <w:p>
      <w:pPr>
        <w:pStyle w:val="Bibliography"/>
      </w:pPr>
      <w:r>
        <w:t xml:space="preserve">11.</w:t>
      </w:r>
      <w:r>
        <w:t xml:space="preserve"> </w:t>
      </w:r>
      <w:r>
        <w:t xml:space="preserve">	</w:t>
      </w:r>
      <w:r>
        <w:t xml:space="preserve">Campbell JL, Carter M, Davey A, Roberts MJ, Elliott MN, Roland M. Accessing primary care: A simulated patient study.</w:t>
      </w:r>
      <w:r>
        <w:t xml:space="preserve"> </w:t>
      </w:r>
      <w:r>
        <w:rPr>
          <w:i/>
          <w:iCs/>
        </w:rPr>
        <w:t xml:space="preserve">British Journal of General Practice</w:t>
      </w:r>
      <w:r>
        <w:t xml:space="preserve">. 2013;63(608):e171-e176. doi:</w:t>
      </w:r>
      <w:hyperlink r:id="rId90">
        <w:r>
          <w:rPr>
            <w:rStyle w:val="Hyperlink"/>
          </w:rPr>
          <w:t xml:space="preserve">10.3399/bjgp13X664216</w:t>
        </w:r>
      </w:hyperlink>
    </w:p>
    <w:bookmarkEnd w:id="91"/>
    <w:bookmarkStart w:id="92" w:name="ref-kfffee"/>
    <w:p>
      <w:pPr>
        <w:pStyle w:val="Bibliography"/>
      </w:pPr>
      <w:r>
        <w:t xml:space="preserve">12.</w:t>
      </w:r>
      <w:r>
        <w:t xml:space="preserve"> </w:t>
      </w:r>
      <w:r>
        <w:t xml:space="preserve">	</w:t>
      </w:r>
      <w:r>
        <w:t xml:space="preserve">Kaiser Family Foundation. Medicaid-to-medicare fee index. Published online 2024.</w:t>
      </w:r>
    </w:p>
    <w:bookmarkEnd w:id="92"/>
    <w:bookmarkStart w:id="93" w:name="ref-cdcsvi"/>
    <w:p>
      <w:pPr>
        <w:pStyle w:val="Bibliography"/>
      </w:pPr>
      <w:r>
        <w:t xml:space="preserve">13.</w:t>
      </w:r>
      <w:r>
        <w:t xml:space="preserve"> </w:t>
      </w:r>
      <w:r>
        <w:t xml:space="preserve">	</w:t>
      </w:r>
      <w:r>
        <w:t xml:space="preserve">Agency for Toxic Substances and Disease Registry.</w:t>
      </w:r>
      <w:r>
        <w:t xml:space="preserve"> </w:t>
      </w:r>
      <w:r>
        <w:t xml:space="preserve">CDC/ATSDR</w:t>
      </w:r>
      <w:r>
        <w:t xml:space="preserve"> </w:t>
      </w:r>
      <w:r>
        <w:t xml:space="preserve">social vulnerability index (2022 database). Published online 2022.</w:t>
      </w:r>
    </w:p>
    <w:bookmarkEnd w:id="93"/>
    <w:bookmarkStart w:id="95" w:name="ref-emmeans"/>
    <w:p>
      <w:pPr>
        <w:pStyle w:val="Bibliography"/>
      </w:pPr>
      <w:r>
        <w:t xml:space="preserve">14.</w:t>
      </w:r>
      <w:r>
        <w:t xml:space="preserve"> </w:t>
      </w:r>
      <w:r>
        <w:t xml:space="preserve">	</w:t>
      </w:r>
      <w:r>
        <w:t xml:space="preserve">Lenth RV.</w:t>
      </w:r>
      <w:r>
        <w:t xml:space="preserve"> </w:t>
      </w:r>
      <w:r>
        <w:rPr>
          <w:i/>
          <w:iCs/>
        </w:rPr>
        <w:t xml:space="preserve">Emmeans: Estimated Marginal Means, Aka Least-Squares Means</w:t>
      </w:r>
      <w:r>
        <w:t xml:space="preserve">. 2024.</w:t>
      </w:r>
      <w:r>
        <w:t xml:space="preserve"> </w:t>
      </w:r>
      <w:hyperlink r:id="rId94">
        <w:r>
          <w:rPr>
            <w:rStyle w:val="Hyperlink"/>
          </w:rPr>
          <w:t xml:space="preserve">https://CRAN.R-project.org/package=emmeans</w:t>
        </w:r>
      </w:hyperlink>
    </w:p>
    <w:bookmarkEnd w:id="95"/>
    <w:bookmarkStart w:id="97" w:name="ref-rcoreteam"/>
    <w:p>
      <w:pPr>
        <w:pStyle w:val="Bibliography"/>
      </w:pPr>
      <w:r>
        <w:t xml:space="preserve">15.</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 2024.</w:t>
      </w:r>
      <w:r>
        <w:t xml:space="preserve"> </w:t>
      </w:r>
      <w:hyperlink r:id="rId96">
        <w:r>
          <w:rPr>
            <w:rStyle w:val="Hyperlink"/>
          </w:rPr>
          <w:t xml:space="preserve">https://www.R-project.org/</w:t>
        </w:r>
      </w:hyperlink>
    </w:p>
    <w:bookmarkEnd w:id="97"/>
    <w:bookmarkStart w:id="99" w:name="ref-glmmTMB"/>
    <w:p>
      <w:pPr>
        <w:pStyle w:val="Bibliography"/>
      </w:pPr>
      <w:r>
        <w:t xml:space="preserve">16.</w:t>
      </w:r>
      <w:r>
        <w:t xml:space="preserve"> </w:t>
      </w:r>
      <w:r>
        <w:t xml:space="preserve">	</w:t>
      </w:r>
      <w:r>
        <w:t xml:space="preserve">Brooks ME, Kristensen K, Benthem KJ van, et al.</w:t>
      </w:r>
      <w:r>
        <w:t xml:space="preserve"> </w:t>
      </w:r>
      <w:r>
        <w:t xml:space="preserve">glmmTMB</w:t>
      </w:r>
      <w:r>
        <w:t xml:space="preserve"> </w:t>
      </w:r>
      <w:r>
        <w:t xml:space="preserve">balances speed and flexibility among packages for zero-inflated generalized linear mixed models.</w:t>
      </w:r>
      <w:r>
        <w:t xml:space="preserve"> </w:t>
      </w:r>
      <w:r>
        <w:rPr>
          <w:i/>
          <w:iCs/>
        </w:rPr>
        <w:t xml:space="preserve">The R Journal</w:t>
      </w:r>
      <w:r>
        <w:t xml:space="preserve">. 2017;9(2):378-400. doi:</w:t>
      </w:r>
      <w:hyperlink r:id="rId98">
        <w:r>
          <w:rPr>
            <w:rStyle w:val="Hyperlink"/>
          </w:rPr>
          <w:t xml:space="preserve">10.32614/RJ-2017-066</w:t>
        </w:r>
      </w:hyperlink>
    </w:p>
    <w:bookmarkEnd w:id="99"/>
    <w:bookmarkStart w:id="101" w:name="ref-strobe"/>
    <w:p>
      <w:pPr>
        <w:pStyle w:val="Bibliography"/>
      </w:pPr>
      <w:r>
        <w:t xml:space="preserve">17.</w:t>
      </w:r>
      <w:r>
        <w:t xml:space="preserve"> </w:t>
      </w:r>
      <w:r>
        <w:t xml:space="preserve">	</w:t>
      </w:r>
      <w:r>
        <w:t xml:space="preserve">Elm E von, Altman DG, Egger M, Pocock SJ, Gøtzsche PC, Vandenbroucke JP. The</w:t>
      </w:r>
      <w:r>
        <w:t xml:space="preserve"> </w:t>
      </w:r>
      <w:r>
        <w:t xml:space="preserve">Strengthening</w:t>
      </w:r>
      <w:r>
        <w:t xml:space="preserve"> </w:t>
      </w:r>
      <w:r>
        <w:t xml:space="preserve">the</w:t>
      </w:r>
      <w:r>
        <w:t xml:space="preserve"> </w:t>
      </w:r>
      <w:r>
        <w:t xml:space="preserve">Reporting</w:t>
      </w:r>
      <w:r>
        <w:t xml:space="preserve"> </w:t>
      </w:r>
      <w:r>
        <w:t xml:space="preserve">of</w:t>
      </w:r>
      <w:r>
        <w:t xml:space="preserve"> </w:t>
      </w:r>
      <w:r>
        <w:t xml:space="preserve">Observational</w:t>
      </w:r>
      <w:r>
        <w:t xml:space="preserve"> </w:t>
      </w:r>
      <w:r>
        <w:t xml:space="preserve">Studies</w:t>
      </w:r>
      <w:r>
        <w:t xml:space="preserve"> </w:t>
      </w:r>
      <w:r>
        <w:t xml:space="preserve">in</w:t>
      </w:r>
      <w:r>
        <w:t xml:space="preserve"> </w:t>
      </w:r>
      <w:r>
        <w:t xml:space="preserve">Epidemiology</w:t>
      </w:r>
      <w:r>
        <w:t xml:space="preserve"> </w:t>
      </w:r>
      <w:r>
        <w:t xml:space="preserve">(</w:t>
      </w:r>
      <w:r>
        <w:t xml:space="preserve">STROBE</w:t>
      </w:r>
      <w:r>
        <w:t xml:space="preserve">) statement: Guidelines for reporting observational studies.</w:t>
      </w:r>
      <w:r>
        <w:t xml:space="preserve"> </w:t>
      </w:r>
      <w:r>
        <w:rPr>
          <w:i/>
          <w:iCs/>
        </w:rPr>
        <w:t xml:space="preserve">Annals of Internal Medicine</w:t>
      </w:r>
      <w:r>
        <w:t xml:space="preserve">. 2007;147(8):573-577. doi:</w:t>
      </w:r>
      <w:hyperlink r:id="rId100">
        <w:r>
          <w:rPr>
            <w:rStyle w:val="Hyperlink"/>
          </w:rPr>
          <w:t xml:space="preserve">10.7326/0003-4819-147-8-200710160-00010</w:t>
        </w:r>
      </w:hyperlink>
    </w:p>
    <w:bookmarkEnd w:id="101"/>
    <w:bookmarkStart w:id="103" w:name="ref-crisp2021"/>
    <w:p>
      <w:pPr>
        <w:pStyle w:val="Bibliography"/>
      </w:pPr>
      <w:r>
        <w:t xml:space="preserve">18.</w:t>
      </w:r>
      <w:r>
        <w:t xml:space="preserve"> </w:t>
      </w:r>
      <w:r>
        <w:t xml:space="preserve">	</w:t>
      </w:r>
      <w:r>
        <w:t xml:space="preserve">Amaratunge S, Harrison M, Clifford R, Seubert L, Page A, Bond C. Developing a checklist for reporting research using simulated patient methodology (</w:t>
      </w:r>
      <w:r>
        <w:t xml:space="preserve">CRiSP</w:t>
      </w:r>
      <w:r>
        <w:t xml:space="preserve">): A consensus study.</w:t>
      </w:r>
      <w:r>
        <w:t xml:space="preserve"> </w:t>
      </w:r>
      <w:r>
        <w:rPr>
          <w:i/>
          <w:iCs/>
        </w:rPr>
        <w:t xml:space="preserve">International Journal of Pharmacy Practice</w:t>
      </w:r>
      <w:r>
        <w:t xml:space="preserve">. 2021;29(3):218-227. doi:</w:t>
      </w:r>
      <w:hyperlink r:id="rId102">
        <w:r>
          <w:rPr>
            <w:rStyle w:val="Hyperlink"/>
          </w:rPr>
          <w:t xml:space="preserve">10.1093/ijpp/riaa002</w:t>
        </w:r>
      </w:hyperlink>
    </w:p>
    <w:bookmarkEnd w:id="103"/>
    <w:bookmarkStart w:id="105" w:name="ref-crisphe2024"/>
    <w:p>
      <w:pPr>
        <w:pStyle w:val="Bibliography"/>
      </w:pPr>
      <w:r>
        <w:t xml:space="preserve">19.</w:t>
      </w:r>
      <w:r>
        <w:t xml:space="preserve"> </w:t>
      </w:r>
      <w:r>
        <w:t xml:space="preserve">	</w:t>
      </w:r>
      <w:r>
        <w:t xml:space="preserve">Park JS, Page A, Clifford R, Bond C, Seubert L. Refining the</w:t>
      </w:r>
      <w:r>
        <w:t xml:space="preserve"> </w:t>
      </w:r>
      <w:r>
        <w:t xml:space="preserve">CRiSPHe</w:t>
      </w:r>
      <w:r>
        <w:t xml:space="preserve"> </w:t>
      </w:r>
      <w:r>
        <w:t xml:space="preserve">(checklist for reporting research using a simulated patient methodology in health): A</w:t>
      </w:r>
      <w:r>
        <w:t xml:space="preserve"> </w:t>
      </w:r>
      <w:r>
        <w:t xml:space="preserve">Delphi</w:t>
      </w:r>
      <w:r>
        <w:t xml:space="preserve"> </w:t>
      </w:r>
      <w:r>
        <w:t xml:space="preserve">study.</w:t>
      </w:r>
      <w:r>
        <w:t xml:space="preserve"> </w:t>
      </w:r>
      <w:r>
        <w:rPr>
          <w:i/>
          <w:iCs/>
        </w:rPr>
        <w:t xml:space="preserve">International Journal of Pharmacy Practice</w:t>
      </w:r>
      <w:r>
        <w:t xml:space="preserve">. 2024;32(4):322-328. doi:</w:t>
      </w:r>
      <w:hyperlink r:id="rId104">
        <w:r>
          <w:rPr>
            <w:rStyle w:val="Hyperlink"/>
          </w:rPr>
          <w:t xml:space="preserve">10.1093/ijpp/riae019</w:t>
        </w:r>
      </w:hyperlink>
    </w:p>
    <w:bookmarkEnd w:id="105"/>
    <w:bookmarkStart w:id="107" w:name="ref-corbisiero2024"/>
    <w:p>
      <w:pPr>
        <w:pStyle w:val="Bibliography"/>
      </w:pPr>
      <w:r>
        <w:t xml:space="preserve">20.</w:t>
      </w:r>
      <w:r>
        <w:t xml:space="preserve"> </w:t>
      </w:r>
      <w:r>
        <w:t xml:space="preserve">	</w:t>
      </w:r>
      <w:r>
        <w:t xml:space="preserve">Corbisiero MF, Muffly TM, Gottman DC, et al. Insurance status and access to otolaryngology care: National mystery caller study in the</w:t>
      </w:r>
      <w:r>
        <w:t xml:space="preserve"> </w:t>
      </w:r>
      <w:r>
        <w:t xml:space="preserve">United States</w:t>
      </w:r>
      <w:r>
        <w:t xml:space="preserve">.</w:t>
      </w:r>
      <w:r>
        <w:t xml:space="preserve"> </w:t>
      </w:r>
      <w:r>
        <w:rPr>
          <w:i/>
          <w:iCs/>
        </w:rPr>
        <w:t xml:space="preserve">Otolaryngology–Head and Neck Surgery</w:t>
      </w:r>
      <w:r>
        <w:t xml:space="preserve">. 2024;171(1):98-108. doi:</w:t>
      </w:r>
      <w:hyperlink r:id="rId106">
        <w:r>
          <w:rPr>
            <w:rStyle w:val="Hyperlink"/>
          </w:rPr>
          <w:t xml:space="preserve">10.1002/ohn.752</w:t>
        </w:r>
      </w:hyperlink>
    </w:p>
    <w:bookmarkEnd w:id="107"/>
    <w:bookmarkStart w:id="109" w:name="ref-saeedi2025"/>
    <w:p>
      <w:pPr>
        <w:pStyle w:val="Bibliography"/>
      </w:pPr>
      <w:r>
        <w:t xml:space="preserve">21.</w:t>
      </w:r>
      <w:r>
        <w:t xml:space="preserve"> </w:t>
      </w:r>
      <w:r>
        <w:t xml:space="preserve">	</w:t>
      </w:r>
      <w:r>
        <w:t xml:space="preserve">Saeedi A, Muffly T, Corbisiero MF, et al. Referral conundrum: Wait times for subspecialists versus comprehensive otolaryngologists in the</w:t>
      </w:r>
      <w:r>
        <w:t xml:space="preserve"> </w:t>
      </w:r>
      <w:r>
        <w:t xml:space="preserve">United States</w:t>
      </w:r>
      <w:r>
        <w:t xml:space="preserve">.</w:t>
      </w:r>
      <w:r>
        <w:t xml:space="preserve"> </w:t>
      </w:r>
      <w:r>
        <w:rPr>
          <w:i/>
          <w:iCs/>
        </w:rPr>
        <w:t xml:space="preserve">Cureus</w:t>
      </w:r>
      <w:r>
        <w:t xml:space="preserve">. 2025;17(9):e91744. doi:</w:t>
      </w:r>
      <w:hyperlink r:id="rId108">
        <w:r>
          <w:rPr>
            <w:rStyle w:val="Hyperlink"/>
          </w:rPr>
          <w:t xml:space="preserve">10.7759/cureus.91744</w:t>
        </w:r>
      </w:hyperlink>
    </w:p>
    <w:bookmarkEnd w:id="109"/>
    <w:bookmarkStart w:id="111" w:name="ref-pollack2016"/>
    <w:p>
      <w:pPr>
        <w:pStyle w:val="Bibliography"/>
      </w:pPr>
      <w:r>
        <w:t xml:space="preserve">22.</w:t>
      </w:r>
      <w:r>
        <w:t xml:space="preserve"> </w:t>
      </w:r>
      <w:r>
        <w:t xml:space="preserve">	</w:t>
      </w:r>
      <w:r>
        <w:t xml:space="preserve">Pollack CE, Ross ME, Armstrong K, et al. Using a mystery-caller approach to examine access to prostate cancer care in</w:t>
      </w:r>
      <w:r>
        <w:t xml:space="preserve"> </w:t>
      </w:r>
      <w:r>
        <w:t xml:space="preserve">Philadelphia</w:t>
      </w:r>
      <w:r>
        <w:t xml:space="preserve">.</w:t>
      </w:r>
      <w:r>
        <w:t xml:space="preserve"> </w:t>
      </w:r>
      <w:r>
        <w:rPr>
          <w:i/>
          <w:iCs/>
        </w:rPr>
        <w:t xml:space="preserve">PLOS ONE</w:t>
      </w:r>
      <w:r>
        <w:t xml:space="preserve">. 2016;11(10):e0164411. doi:</w:t>
      </w:r>
      <w:hyperlink r:id="rId110">
        <w:r>
          <w:rPr>
            <w:rStyle w:val="Hyperlink"/>
          </w:rPr>
          <w:t xml:space="preserve">10.1371/journal.pone.0164411</w:t>
        </w:r>
      </w:hyperlink>
    </w:p>
    <w:bookmarkEnd w:id="111"/>
    <w:bookmarkStart w:id="113" w:name="ref-wilkinson2018"/>
    <w:p>
      <w:pPr>
        <w:pStyle w:val="Bibliography"/>
      </w:pPr>
      <w:r>
        <w:t xml:space="preserve">23.</w:t>
      </w:r>
      <w:r>
        <w:t xml:space="preserve"> </w:t>
      </w:r>
      <w:r>
        <w:t xml:space="preserve">	</w:t>
      </w:r>
      <w:r>
        <w:t xml:space="preserve">Wilkinson TA, Rafie S, Clark PD, Carroll AE, Miller E. Evaluating community pharmacy responses about levonorgestrel emergency contraception by mystery caller characteristics.</w:t>
      </w:r>
      <w:r>
        <w:t xml:space="preserve"> </w:t>
      </w:r>
      <w:r>
        <w:rPr>
          <w:i/>
          <w:iCs/>
        </w:rPr>
        <w:t xml:space="preserve">Journal of Adolescent Health</w:t>
      </w:r>
      <w:r>
        <w:t xml:space="preserve">. 2018;63(1):32-36. doi:</w:t>
      </w:r>
      <w:hyperlink r:id="rId112">
        <w:r>
          <w:rPr>
            <w:rStyle w:val="Hyperlink"/>
          </w:rPr>
          <w:t xml:space="preserve">10.1016/j.jadohealth.2017.11.303</w:t>
        </w:r>
      </w:hyperlink>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hyperlink" Id="rId94" Target="https://CRAN.R-project.org/package=emmeans" TargetMode="External" /><Relationship Type="http://schemas.openxmlformats.org/officeDocument/2006/relationships/hyperlink" Id="rId71" Target="https://doi.org/10.1001/jamaoto.2018.2716" TargetMode="External" /><Relationship Type="http://schemas.openxmlformats.org/officeDocument/2006/relationships/hyperlink" Id="rId81" Target="https://doi.org/10.1001/virtualmentor.2013.15.2.bndr1-1302" TargetMode="External" /><Relationship Type="http://schemas.openxmlformats.org/officeDocument/2006/relationships/hyperlink" Id="rId106" Target="https://doi.org/10.1002/ohn.752" TargetMode="External" /><Relationship Type="http://schemas.openxmlformats.org/officeDocument/2006/relationships/hyperlink" Id="rId112" Target="https://doi.org/10.1016/j.jadohealth.2017.11.303" TargetMode="External" /><Relationship Type="http://schemas.openxmlformats.org/officeDocument/2006/relationships/hyperlink" Id="rId79" Target="https://doi.org/10.1056/NEJMp1107779" TargetMode="External" /><Relationship Type="http://schemas.openxmlformats.org/officeDocument/2006/relationships/hyperlink" Id="rId73" Target="https://doi.org/10.1056/NEJMsa1013285" TargetMode="External" /><Relationship Type="http://schemas.openxmlformats.org/officeDocument/2006/relationships/hyperlink" Id="rId102" Target="https://doi.org/10.1093/ijpp/riaa002" TargetMode="External" /><Relationship Type="http://schemas.openxmlformats.org/officeDocument/2006/relationships/hyperlink" Id="rId104" Target="https://doi.org/10.1093/ijpp/riae019" TargetMode="External" /><Relationship Type="http://schemas.openxmlformats.org/officeDocument/2006/relationships/hyperlink" Id="rId83" Target="https://doi.org/10.1111/j.1468-0009.2012.00680.x" TargetMode="External" /><Relationship Type="http://schemas.openxmlformats.org/officeDocument/2006/relationships/hyperlink" Id="rId86" Target="https://doi.org/10.1136/bmjopen-2025-100719" TargetMode="External" /><Relationship Type="http://schemas.openxmlformats.org/officeDocument/2006/relationships/hyperlink" Id="rId75" Target="https://doi.org/10.1177/014556131609500607" TargetMode="External" /><Relationship Type="http://schemas.openxmlformats.org/officeDocument/2006/relationships/hyperlink" Id="rId77" Target="https://doi.org/10.1186/s13690-022-00979-z" TargetMode="External" /><Relationship Type="http://schemas.openxmlformats.org/officeDocument/2006/relationships/hyperlink" Id="rId88" Target="https://doi.org/10.1186/s40545-023-00565-w" TargetMode="External" /><Relationship Type="http://schemas.openxmlformats.org/officeDocument/2006/relationships/hyperlink" Id="rId110" Target="https://doi.org/10.1371/journal.pone.0164411" TargetMode="External" /><Relationship Type="http://schemas.openxmlformats.org/officeDocument/2006/relationships/hyperlink" Id="rId98" Target="https://doi.org/10.32614/RJ-2017-066" TargetMode="External" /><Relationship Type="http://schemas.openxmlformats.org/officeDocument/2006/relationships/hyperlink" Id="rId90" Target="https://doi.org/10.3399/bjgp13X664216" TargetMode="External" /><Relationship Type="http://schemas.openxmlformats.org/officeDocument/2006/relationships/hyperlink" Id="rId100" Target="https://doi.org/10.7326/0003-4819-147-8-200710160-00010" TargetMode="External" /><Relationship Type="http://schemas.openxmlformats.org/officeDocument/2006/relationships/hyperlink" Id="rId108" Target="https://doi.org/10.7759/cureus.91744" TargetMode="External" /><Relationship Type="http://schemas.openxmlformats.org/officeDocument/2006/relationships/hyperlink" Id="rId9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94" Target="https://CRAN.R-project.org/package=emmeans" TargetMode="External" /><Relationship Type="http://schemas.openxmlformats.org/officeDocument/2006/relationships/hyperlink" Id="rId71" Target="https://doi.org/10.1001/jamaoto.2018.2716" TargetMode="External" /><Relationship Type="http://schemas.openxmlformats.org/officeDocument/2006/relationships/hyperlink" Id="rId81" Target="https://doi.org/10.1001/virtualmentor.2013.15.2.bndr1-1302" TargetMode="External" /><Relationship Type="http://schemas.openxmlformats.org/officeDocument/2006/relationships/hyperlink" Id="rId106" Target="https://doi.org/10.1002/ohn.752" TargetMode="External" /><Relationship Type="http://schemas.openxmlformats.org/officeDocument/2006/relationships/hyperlink" Id="rId112" Target="https://doi.org/10.1016/j.jadohealth.2017.11.303" TargetMode="External" /><Relationship Type="http://schemas.openxmlformats.org/officeDocument/2006/relationships/hyperlink" Id="rId79" Target="https://doi.org/10.1056/NEJMp1107779" TargetMode="External" /><Relationship Type="http://schemas.openxmlformats.org/officeDocument/2006/relationships/hyperlink" Id="rId73" Target="https://doi.org/10.1056/NEJMsa1013285" TargetMode="External" /><Relationship Type="http://schemas.openxmlformats.org/officeDocument/2006/relationships/hyperlink" Id="rId102" Target="https://doi.org/10.1093/ijpp/riaa002" TargetMode="External" /><Relationship Type="http://schemas.openxmlformats.org/officeDocument/2006/relationships/hyperlink" Id="rId104" Target="https://doi.org/10.1093/ijpp/riae019" TargetMode="External" /><Relationship Type="http://schemas.openxmlformats.org/officeDocument/2006/relationships/hyperlink" Id="rId83" Target="https://doi.org/10.1111/j.1468-0009.2012.00680.x" TargetMode="External" /><Relationship Type="http://schemas.openxmlformats.org/officeDocument/2006/relationships/hyperlink" Id="rId86" Target="https://doi.org/10.1136/bmjopen-2025-100719" TargetMode="External" /><Relationship Type="http://schemas.openxmlformats.org/officeDocument/2006/relationships/hyperlink" Id="rId75" Target="https://doi.org/10.1177/014556131609500607" TargetMode="External" /><Relationship Type="http://schemas.openxmlformats.org/officeDocument/2006/relationships/hyperlink" Id="rId77" Target="https://doi.org/10.1186/s13690-022-00979-z" TargetMode="External" /><Relationship Type="http://schemas.openxmlformats.org/officeDocument/2006/relationships/hyperlink" Id="rId88" Target="https://doi.org/10.1186/s40545-023-00565-w" TargetMode="External" /><Relationship Type="http://schemas.openxmlformats.org/officeDocument/2006/relationships/hyperlink" Id="rId110" Target="https://doi.org/10.1371/journal.pone.0164411" TargetMode="External" /><Relationship Type="http://schemas.openxmlformats.org/officeDocument/2006/relationships/hyperlink" Id="rId98" Target="https://doi.org/10.32614/RJ-2017-066" TargetMode="External" /><Relationship Type="http://schemas.openxmlformats.org/officeDocument/2006/relationships/hyperlink" Id="rId90" Target="https://doi.org/10.3399/bjgp13X664216" TargetMode="External" /><Relationship Type="http://schemas.openxmlformats.org/officeDocument/2006/relationships/hyperlink" Id="rId100" Target="https://doi.org/10.7326/0003-4819-147-8-200710160-00010" TargetMode="External" /><Relationship Type="http://schemas.openxmlformats.org/officeDocument/2006/relationships/hyperlink" Id="rId108" Target="https://doi.org/10.7759/cureus.91744" TargetMode="External" /><Relationship Type="http://schemas.openxmlformats.org/officeDocument/2006/relationships/hyperlink" Id="rId9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Subspecialty and Geographic Determinants of New-Patient Appointment Access and Wait Times in Otolaryngology: A National Mystery-Caller Study</dc:title>
  <dc:creator>Grace E. Falk; Eric J. Dobratz, MD; [RA co-authors — full names &amp; degrees to confirm: Chin, Deol, Gregg, Kim, Roesch, Walsh]; Tyler M. Muffly, MD; Cristina Cabrera-Muffly, MD</dc:creator>
  <cp:keywords/>
  <dcterms:created xsi:type="dcterms:W3CDTF">2026-07-18T19:40:47Z</dcterms:created>
  <dcterms:modified xsi:type="dcterms:W3CDTF">2026-07-18T19:40:47Z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manuscript/references.bib</vt:lpwstr>
  </property>
  <property fmtid="{D5CDD505-2E9C-101B-9397-08002B2CF9AE}" pid="3" name="csl">
    <vt:lpwstr>manuscript/american-medical-association.csl</vt:lpwstr>
  </property>
  <property fmtid="{D5CDD505-2E9C-101B-9397-08002B2CF9AE}" pid="4" name="date">
    <vt:lpwstr>July 2026</vt:lpwstr>
  </property>
  <property fmtid="{D5CDD505-2E9C-101B-9397-08002B2CF9AE}" pid="5" name="link-citations">
    <vt:lpwstr>True</vt:lpwstr>
  </property>
  <property fmtid="{D5CDD505-2E9C-101B-9397-08002B2CF9AE}" pid="6" name="output">
    <vt:lpwstr/>
  </property>
</Properties>
</file>