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1.png" ContentType="image/png"/>
  <Override PartName="/word/media/rId35.png" ContentType="image/png"/>
  <Override PartName="/word/media/rId46.png" ContentType="image/png"/>
  <Override PartName="/word/media/rId49.png" ContentType="image/png"/>
  <Override PartName="/word/media/rId52.png" ContentType="image/png"/>
  <Override PartName="/word/media/rId58.png" ContentType="image/png"/>
  <Override PartName="/word/media/rId55.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Geographic and Subspecialty Determinants of Access to Otolaryngology Care: A National Mystery-Caller Study</w:t>
      </w:r>
    </w:p>
    <w:p>
      <w:pPr>
        <w:pStyle w:val="Author"/>
      </w:pPr>
      <w:r>
        <w:t xml:space="preserve">[Author list]</w:t>
      </w:r>
    </w:p>
    <w:p>
      <w:pPr>
        <w:pStyle w:val="Date"/>
      </w:pPr>
      <w:r>
        <w:t xml:space="preserve">July 2026</w:t>
      </w:r>
    </w:p>
    <w:bookmarkStart w:id="20" w:name="abstract"/>
    <w:p>
      <w:pPr>
        <w:pStyle w:val="Heading2"/>
      </w:pPr>
      <w:r>
        <w:t xml:space="preserve">Abstract</w:t>
      </w:r>
    </w:p>
    <w:p>
      <w:pPr>
        <w:pStyle w:val="FirstParagraph"/>
      </w:pPr>
      <w:r>
        <w:rPr>
          <w:b/>
          <w:bCs/>
        </w:rPr>
        <w:t xml:space="preserve">Objective.</w:t>
      </w:r>
      <w:r>
        <w:t xml:space="preserve"> </w:t>
      </w:r>
      <w:r>
        <w:t xml:space="preserve">To quantify subspecialty- and geography-related disparities in access to and timeliness of otolaryngology (ENT) care in the United States using a national simulated-patient design.</w:t>
      </w:r>
    </w:p>
    <w:p>
      <w:pPr>
        <w:pStyle w:val="BodyText"/>
      </w:pPr>
      <w:r>
        <w:rPr>
          <w:b/>
          <w:bCs/>
        </w:rPr>
        <w:t xml:space="preserve">Methods.</w:t>
      </w:r>
      <w:r>
        <w:t xml:space="preserve"> </w:t>
      </w:r>
      <w:r>
        <w:t xml:space="preserve">In a cross-sectional mystery-caller study, trained callers requested new-patient appointments from a national sample of board-certified otolaryngologists using subspecialty-matched scripts. We modeled two outcomes with a two-part (hurdle) approach: appointment</w:t>
      </w:r>
      <w:r>
        <w:t xml:space="preserve"> </w:t>
      </w:r>
      <w:r>
        <w:rPr>
          <w:i/>
          <w:iCs/>
        </w:rPr>
        <w:t xml:space="preserve">offer</w:t>
      </w:r>
      <w:r>
        <w:t xml:space="preserve"> </w:t>
      </w:r>
      <w:r>
        <w:t xml:space="preserve">(mixed-effects logistic regression) and</w:t>
      </w:r>
      <w:r>
        <w:t xml:space="preserve"> </w:t>
      </w:r>
      <w:r>
        <w:rPr>
          <w:i/>
          <w:iCs/>
        </w:rPr>
        <w:t xml:space="preserve">business-day wait</w:t>
      </w:r>
      <w:r>
        <w:t xml:space="preserve"> </w:t>
      </w:r>
      <w:r>
        <w:t xml:space="preserve">among offers (mixed-effects negative binomial regression), each adjusting for requested subspecialty, county ENT supply, the state Medicaid fee index, social vulnerability, dual-eligibility, and rurality, with a core-based statistical area random intercept. Geographic reach was assessed with drive-time isochrones (Valhalla routing) around each practice.</w:t>
      </w:r>
    </w:p>
    <w:p>
      <w:pPr>
        <w:pStyle w:val="BodyText"/>
      </w:pPr>
      <w:r>
        <w:rPr>
          <w:b/>
          <w:bCs/>
        </w:rPr>
        <w:t xml:space="preserve">Results.</w:t>
      </w:r>
      <w:r>
        <w:t xml:space="preserve"> </w:t>
      </w:r>
      <w:r>
        <w:t xml:space="preserve">Of 960 calls, 731 complete calls with a known subspecialty were analyzed; an appointment was offered in 433 (59.2%), with a median wait of 14 business days (IQR 5–30). Requested subspecialty was the dominant determinant: pediatric otolaryngology had higher odds of an offer (OR 2.26 (95% CI 1.08–4.75; p = 0.031)), and waits were longer for laryngology (IRR 2.25 (95% CI 1.13–4.46; p = 0.020)) and pediatric otolaryngology (IRR 1.54 (95% CI 1.04–2.28; p = 0.031)). No geographic covariate was associated with either outcome. Drive-time analysis showed 78% of continental U.S. land lies within a 180-minute drive of a sampled practice, leaving roughly one-fifth of the country beyond a 3-hour drive.</w:t>
      </w:r>
    </w:p>
    <w:p>
      <w:pPr>
        <w:pStyle w:val="BodyText"/>
      </w:pPr>
      <w:r>
        <w:rPr>
          <w:b/>
          <w:bCs/>
        </w:rPr>
        <w:t xml:space="preserve">Conclusions.</w:t>
      </w:r>
      <w:r>
        <w:t xml:space="preserve"> </w:t>
      </w:r>
      <w:r>
        <w:t xml:space="preserve">Access to otolaryngology care is shaped more by the requested subspecialty and by large under-served geographic areas than by local supply, insurance generosity, or social vulnerability.</w:t>
      </w:r>
    </w:p>
    <w:bookmarkEnd w:id="20"/>
    <w:bookmarkStart w:id="21" w:name="introduction"/>
    <w:p>
      <w:pPr>
        <w:pStyle w:val="Heading2"/>
      </w:pPr>
      <w:r>
        <w:t xml:space="preserve">Introduction</w:t>
      </w:r>
    </w:p>
    <w:p>
      <w:pPr>
        <w:pStyle w:val="FirstParagraph"/>
      </w:pPr>
      <w:r>
        <w:rPr>
          <w:i/>
          <w:iCs/>
        </w:rPr>
        <w:t xml:space="preserve">[Introduction to be written: burden of otolaryngologic disease, prior access literature, rationale for a national mystery-caller design, and the specific gap this study fills.]</w:t>
      </w:r>
    </w:p>
    <w:bookmarkEnd w:id="21"/>
    <w:bookmarkStart w:id="27" w:name="methods"/>
    <w:p>
      <w:pPr>
        <w:pStyle w:val="Heading2"/>
      </w:pPr>
      <w:r>
        <w:t xml:space="preserve">Methods</w:t>
      </w:r>
    </w:p>
    <w:bookmarkStart w:id="22" w:name="study-design-and-sample"/>
    <w:p>
      <w:pPr>
        <w:pStyle w:val="Heading3"/>
      </w:pPr>
      <w:r>
        <w:t xml:space="preserve">Study design and sample</w:t>
      </w:r>
    </w:p>
    <w:p>
      <w:pPr>
        <w:pStyle w:val="FirstParagraph"/>
      </w:pPr>
      <w:r>
        <w:t xml:space="preserve">We conducted a cross-sectional, simulated-patient (</w:t>
      </w:r>
      <w:r>
        <w:t xml:space="preserve">“mystery caller”</w:t>
      </w:r>
      <w:r>
        <w:t xml:space="preserve">) study of access to otolaryngology (ENT) care in the United States. Trained callers telephoned a national sample of practicing, board-certified otolaryngologists and, following a standardized script, requested a new-patient appointment for a subspecialty-matched chief complaint. Each sampled physician was contacted once.</w:t>
      </w:r>
      <w:r>
        <w:t xml:space="preserve"> </w:t>
      </w:r>
      <w:r>
        <w:rPr>
          <w:i/>
          <w:iCs/>
        </w:rPr>
        <w:t xml:space="preserve">[Describe the sampling frame and its size, the number and timing of call attempts before a call was recorded as unreachable, the scripted chief complaints, caller training, and the study period.]</w:t>
      </w:r>
      <w:r>
        <w:t xml:space="preserve"> </w:t>
      </w:r>
      <w:r>
        <w:t xml:space="preserve">The protocol was</w:t>
      </w:r>
      <w:r>
        <w:t xml:space="preserve"> </w:t>
      </w:r>
      <w:r>
        <w:rPr>
          <w:i/>
          <w:iCs/>
        </w:rPr>
        <w:t xml:space="preserve">[reviewed/deemed exempt]</w:t>
      </w:r>
      <w:r>
        <w:t xml:space="preserve"> </w:t>
      </w:r>
      <w:r>
        <w:t xml:space="preserve">by the</w:t>
      </w:r>
      <w:r>
        <w:t xml:space="preserve"> </w:t>
      </w:r>
      <w:r>
        <w:rPr>
          <w:i/>
          <w:iCs/>
        </w:rPr>
        <w:t xml:space="preserve">[institution]</w:t>
      </w:r>
      <w:r>
        <w:t xml:space="preserve"> </w:t>
      </w:r>
      <w:r>
        <w:t xml:space="preserve">Institutional Review Board.</w:t>
      </w:r>
    </w:p>
    <w:p>
      <w:pPr>
        <w:pStyle w:val="BodyText"/>
      </w:pPr>
      <w:r>
        <w:t xml:space="preserve">Analyses were restricted to calls with a completed data-collection record and a determinable physician subspecialty. This study did not manipulate patient insurance; the exposures of interest were the requested subspecialty and the geographic context of the practice.</w:t>
      </w:r>
    </w:p>
    <w:bookmarkEnd w:id="22"/>
    <w:bookmarkStart w:id="23" w:name="outcomes"/>
    <w:p>
      <w:pPr>
        <w:pStyle w:val="Heading3"/>
      </w:pPr>
      <w:r>
        <w:t xml:space="preserve">Outcomes</w:t>
      </w:r>
    </w:p>
    <w:p>
      <w:pPr>
        <w:pStyle w:val="FirstParagraph"/>
      </w:pPr>
      <w:r>
        <w:t xml:space="preserve">Two outcomes were analyzed as a two-part (hurdle) process. The first,</w:t>
      </w:r>
      <w:r>
        <w:t xml:space="preserve"> </w:t>
      </w:r>
      <w:r>
        <w:rPr>
          <w:i/>
          <w:iCs/>
        </w:rPr>
        <w:t xml:space="preserve">access</w:t>
      </w:r>
      <w:r>
        <w:t xml:space="preserve">, was whether the office offered a new-patient appointment with the sampled physician (binary). The second,</w:t>
      </w:r>
      <w:r>
        <w:t xml:space="preserve"> </w:t>
      </w:r>
      <w:r>
        <w:rPr>
          <w:i/>
          <w:iCs/>
        </w:rPr>
        <w:t xml:space="preserve">timeliness</w:t>
      </w:r>
      <w:r>
        <w:t xml:space="preserve">, was the number of</w:t>
      </w:r>
      <w:r>
        <w:t xml:space="preserve"> </w:t>
      </w:r>
      <w:r>
        <w:rPr>
          <w:b/>
          <w:bCs/>
        </w:rPr>
        <w:t xml:space="preserve">business days</w:t>
      </w:r>
      <w:r>
        <w:t xml:space="preserve"> </w:t>
      </w:r>
      <w:r>
        <w:t xml:space="preserve">from the call to the next available appointment, counted excluding weekends and U.S. federal holidays, and defined only for calls in which an appointment was offered.</w:t>
      </w:r>
    </w:p>
    <w:bookmarkEnd w:id="23"/>
    <w:bookmarkStart w:id="24" w:name="geographic-covariates"/>
    <w:p>
      <w:pPr>
        <w:pStyle w:val="Heading3"/>
      </w:pPr>
      <w:r>
        <w:t xml:space="preserve">Geographic covariates</w:t>
      </w:r>
    </w:p>
    <w:p>
      <w:pPr>
        <w:pStyle w:val="FirstParagraph"/>
      </w:pPr>
      <w:r>
        <w:t xml:space="preserve">Each practice was linked to contextual covariates by practice ZIP code and state. County was assigned from a 2020 Census ZCTA-to-county crosswalk (dominant county by land area). Covariates comprised: county otolaryngologist supply per 100,000 population; the state Medicaid-to-Medicare fee index (Kaiser Family Foundation, 2024, all services)</w:t>
      </w:r>
      <w:hyperlink w:anchor="ref-kfffee">
        <w:r>
          <w:rPr>
            <w:rStyle w:val="Hyperlink"/>
            <w:vertAlign w:val="superscript"/>
          </w:rPr>
          <w:t xml:space="preserve">1</w:t>
        </w:r>
      </w:hyperlink>
      <w:r>
        <w:t xml:space="preserve">; the CDC/ATSDR Social Vulnerability Index (SVI, 2022, tract-level, population-weighted to the practice ZIP)</w:t>
      </w:r>
      <w:hyperlink w:anchor="ref-cdcsvi">
        <w:r>
          <w:rPr>
            <w:rStyle w:val="Hyperlink"/>
            <w:vertAlign w:val="superscript"/>
          </w:rPr>
          <w:t xml:space="preserve">2</w:t>
        </w:r>
      </w:hyperlink>
      <w:r>
        <w:t xml:space="preserve">; the county fraction of Medicare beneficiaries dual-eligible for Medicaid (CMS); metropolitan hospital-market concentration (Herfindahl–Hirschman Index [HHI], KFF 2024; available for metropolitan areas only); rurality (RUCA-based urban/suburban/rural); and the American Academy of Otolaryngology–Head and Neck Surgery (AAO-HNS) Board of Governors region.</w:t>
      </w:r>
    </w:p>
    <w:bookmarkEnd w:id="24"/>
    <w:bookmarkStart w:id="25" w:name="drive-time-isochrone-analysis"/>
    <w:p>
      <w:pPr>
        <w:pStyle w:val="Heading3"/>
      </w:pPr>
      <w:r>
        <w:t xml:space="preserve">Drive-time (isochrone) analysis</w:t>
      </w:r>
    </w:p>
    <w:p>
      <w:pPr>
        <w:pStyle w:val="FirstParagraph"/>
      </w:pPr>
      <w:r>
        <w:t xml:space="preserve">Geographic reach was assessed with drive-time isochrones. Each practice was geolocated to its ZIP-code centroid, and 30-, 60-, 120-, and 180-minute driving isochrones were computed with the Valhalla routing engine (automobile profile) served from a self-hosted instance</w:t>
      </w:r>
      <w:hyperlink w:anchor="ref-valhalla">
        <w:r>
          <w:rPr>
            <w:rStyle w:val="Hyperlink"/>
            <w:vertAlign w:val="superscript"/>
          </w:rPr>
          <w:t xml:space="preserve">3</w:t>
        </w:r>
      </w:hyperlink>
      <w:r>
        <w:t xml:space="preserve">. Isochrones from all practices were dissolved into a single coverage polygon per travel-time band, clipped to the continental United States, and the covered fraction of land area was computed in an equal-area projection.</w:t>
      </w:r>
    </w:p>
    <w:bookmarkEnd w:id="25"/>
    <w:bookmarkStart w:id="26" w:name="statistical-analysis"/>
    <w:p>
      <w:pPr>
        <w:pStyle w:val="Heading3"/>
      </w:pPr>
      <w:r>
        <w:t xml:space="preserve">Statistical analysis</w:t>
      </w:r>
    </w:p>
    <w:p>
      <w:pPr>
        <w:pStyle w:val="FirstParagraph"/>
      </w:pPr>
      <w:r>
        <w:t xml:space="preserve">Because business-day wait time is observed only when an appointment is offered, we modeled access and timeliness separately to avoid conditioning wait-time estimates on the offer.</w:t>
      </w:r>
      <w:r>
        <w:t xml:space="preserve"> </w:t>
      </w:r>
      <w:r>
        <w:rPr>
          <w:i/>
          <w:iCs/>
        </w:rPr>
        <w:t xml:space="preserve">Access</w:t>
      </w:r>
      <w:r>
        <w:t xml:space="preserve"> </w:t>
      </w:r>
      <w:r>
        <w:t xml:space="preserve">was modeled with a mixed-effects logistic regression over all analytic calls;</w:t>
      </w:r>
      <w:r>
        <w:t xml:space="preserve"> </w:t>
      </w:r>
      <w:r>
        <w:rPr>
          <w:i/>
          <w:iCs/>
        </w:rPr>
        <w:t xml:space="preserve">timeliness</w:t>
      </w:r>
      <w:r>
        <w:t xml:space="preserve"> </w:t>
      </w:r>
      <w:r>
        <w:t xml:space="preserve">with a mixed-effects negative binomial regression over the offered subset. The negative binomial distribution was selected over Poisson on the basis of substantial overdispersion (Pearson φ = 6.22). Both models included a random intercept for core-based statistical area (CBSA; county FIPS where CBSA was undefined) to account for within-market correlation, and adjusted for the requested subspecialty (reference: general otolaryngology), county ENT supply, Medicaid fee index, SVI, dual-eligible fraction, and rurality (reference: urban). The identity of the caller (research assistant) was included as a fixed nuisance term. Continuous covariates were standardized and, for the few missing values (&lt;3%), median-imputed.</w:t>
      </w:r>
    </w:p>
    <w:p>
      <w:pPr>
        <w:pStyle w:val="BodyText"/>
      </w:pPr>
      <w:r>
        <w:t xml:space="preserve">Effects are reported as odds ratios (access) and incidence rate ratios (timeliness) with 95% Wald confidence intervals. Pairwise differences between subspecialties were estimated with Tukey-adjusted estimated marginal means</w:t>
      </w:r>
      <w:hyperlink w:anchor="ref-emmeans">
        <w:r>
          <w:rPr>
            <w:rStyle w:val="Hyperlink"/>
            <w:vertAlign w:val="superscript"/>
          </w:rPr>
          <w:t xml:space="preserve">4</w:t>
        </w:r>
      </w:hyperlink>
      <w:r>
        <w:t xml:space="preserve">. Effect modification of the geographic covariates by subspecialty was tested by likelihood-ratio tests. Market-level clustering was summarized by the intraclass correlation coefficient (ICC). Because the HHI is defined only in metropolitan areas, its association with timeliness was assessed in a sensitivity model restricted to the metropolitan subset. Whether call incompleteness was related to the measured covariates was assessed with chi-square and Wilcoxon rank-sum tests. Analyses used R 4.4.2</w:t>
      </w:r>
      <w:hyperlink w:anchor="ref-rcoreteam">
        <w:r>
          <w:rPr>
            <w:rStyle w:val="Hyperlink"/>
            <w:vertAlign w:val="superscript"/>
          </w:rPr>
          <w:t xml:space="preserve">5</w:t>
        </w:r>
      </w:hyperlink>
      <w:r>
        <w:t xml:space="preserve"> </w:t>
      </w:r>
      <w:r>
        <w:t xml:space="preserve">(packages</w:t>
      </w:r>
      <w:r>
        <w:t xml:space="preserve"> </w:t>
      </w:r>
      <w:r>
        <w:rPr>
          <w:rStyle w:val="VerbatimChar"/>
        </w:rPr>
        <w:t xml:space="preserve">glmmTMB</w:t>
      </w:r>
      <w:hyperlink w:anchor="ref-glmmTMB">
        <w:r>
          <w:rPr>
            <w:rStyle w:val="Hyperlink"/>
            <w:vertAlign w:val="superscript"/>
          </w:rPr>
          <w:t xml:space="preserve">6</w:t>
        </w:r>
      </w:hyperlink>
      <w:r>
        <w:t xml:space="preserve">,</w:t>
      </w:r>
      <w:r>
        <w:t xml:space="preserve"> </w:t>
      </w:r>
      <w:r>
        <w:rPr>
          <w:rStyle w:val="VerbatimChar"/>
        </w:rPr>
        <w:t xml:space="preserve">emmeans</w:t>
      </w:r>
      <w:hyperlink w:anchor="ref-emmeans">
        <w:r>
          <w:rPr>
            <w:rStyle w:val="Hyperlink"/>
            <w:vertAlign w:val="superscript"/>
          </w:rPr>
          <w:t xml:space="preserve">4</w:t>
        </w:r>
      </w:hyperlink>
      <w:r>
        <w:t xml:space="preserve">, and the study package</w:t>
      </w:r>
      <w:r>
        <w:t xml:space="preserve"> </w:t>
      </w:r>
      <w:r>
        <w:rPr>
          <w:rStyle w:val="VerbatimChar"/>
        </w:rPr>
        <w:t xml:space="preserve">mysterycall</w:t>
      </w:r>
      <w:r>
        <w:t xml:space="preserve">); two-sided α = 0.05. Reporting follows the STROBE guideline for observational studies</w:t>
      </w:r>
      <w:hyperlink w:anchor="ref-strobe">
        <w:r>
          <w:rPr>
            <w:rStyle w:val="Hyperlink"/>
            <w:vertAlign w:val="superscript"/>
          </w:rPr>
          <w:t xml:space="preserve">7</w:t>
        </w:r>
      </w:hyperlink>
      <w:r>
        <w:t xml:space="preserve">.</w:t>
      </w:r>
    </w:p>
    <w:bookmarkEnd w:id="26"/>
    <w:bookmarkEnd w:id="27"/>
    <w:bookmarkStart w:id="33" w:name="results"/>
    <w:p>
      <w:pPr>
        <w:pStyle w:val="Heading2"/>
      </w:pPr>
      <w:r>
        <w:t xml:space="preserve">Results</w:t>
      </w:r>
    </w:p>
    <w:bookmarkStart w:id="28" w:name="sample-and-attrition"/>
    <w:p>
      <w:pPr>
        <w:pStyle w:val="Heading3"/>
      </w:pPr>
      <w:r>
        <w:t xml:space="preserve">Sample and attrition</w:t>
      </w:r>
    </w:p>
    <w:p>
      <w:pPr>
        <w:pStyle w:val="FirstParagraph"/>
      </w:pPr>
      <w:r>
        <w:t xml:space="preserve">Callers placed 960 calls; 749 (78.0%) were completed, of which 731 had a determinable subspecialty and formed the analytic sample. An appointment was offered in 433 of 731 (59.2%); the median next-available wait was 14 business days (IQR 5–30). Sample characteristics are shown in</w:t>
      </w:r>
      <w:r>
        <w:t xml:space="preserve"> </w:t>
      </w:r>
      <w:r>
        <w:rPr>
          <w:b/>
          <w:bCs/>
        </w:rPr>
        <w:t xml:space="preserve">Table 1</w:t>
      </w:r>
      <w:r>
        <w:t xml:space="preserve">, and the participant flow in</w:t>
      </w:r>
      <w:r>
        <w:t xml:space="preserve"> </w:t>
      </w:r>
      <w:r>
        <w:rPr>
          <w:b/>
          <w:bCs/>
        </w:rPr>
        <w:t xml:space="preserve">Figure 1</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Characteristics of the analytic sample.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666"/>
        <w:gridCol w:w="1976"/>
      </w:tblGrid>
      <w:tr>
        <w:trPr>
          <w:trHeight w:val="57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Characteristic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Value</w:t>
            </w:r>
          </w:p>
        </w:tc>
      </w:tr>
      <w:tr>
        <w:trPr>
          <w:trHeight w:val="61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 (complete calls, subspecialty known)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731</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Facial Plastics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78 (10.7%)</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General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501 (68.5%)</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Head and Neck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27 (3.7%)</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 (1.8%)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32 (4.4%)</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Pediatrics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45 (6.2%)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 (2.6%)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 (2.2%)</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Rurality: 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57 (7.8%)</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Rurality: Suburban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307 (42.0%)</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Rurality: 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367 (50.2%)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Central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109 (14.9%)</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Mid-Atlantic/Southeast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67 (9.2%)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Middle Atlantic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91 (12.4%)</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Midwest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154 (21.1%)</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Mountain/Southwest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45 (6.2%)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New England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48 (6.6%)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Pacific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88 (12.0%)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Southeast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129 (17.6%)</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 per 100k [median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4.65 (3.17-6.94)</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[median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0.74 (0.64-0.83)</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SVI (overall) [median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0.48 (0.36-0.63)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fraction [median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0.16 (0.12-0.21)</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Appointment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433 (59.2%)</w:t>
            </w:r>
          </w:p>
        </w:tc>
      </w:tr>
      <w:tr>
        <w:trPr>
          <w:trHeight w:val="62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Business-day wait, if offered [median (IQR)]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14 (5-30)</w:t>
            </w:r>
          </w:p>
        </w:tc>
      </w:tr>
    </w:tbl>
    <w:bookmarkEnd w:id="28"/>
    <w:bookmarkStart w:id="29" w:name="access-to-appointments"/>
    <w:p>
      <w:pPr>
        <w:pStyle w:val="Heading3"/>
      </w:pPr>
      <w:r>
        <w:t xml:space="preserve">Access to appointments</w:t>
      </w:r>
    </w:p>
    <w:p>
      <w:pPr>
        <w:pStyle w:val="FirstParagraph"/>
      </w:pPr>
      <w:r>
        <w:t xml:space="preserve">The requested subspecialty was the dominant determinant of whether an appointment was offered. Relative to general otolaryngology, pediatric otolaryngology had over twice the odds of an offer (OR 2.26 (95% CI 1.08–4.75; p = 0.031)), while otology/neurotology trended lower (OR 0.49 (95% CI 0.23–1.07; p = 0.074)). No geographic covariate was associated with access: county ENT supply (OR 0.96 (95% CI 0.81–1.13; p = 0.603) per SD), the Medicaid fee index (OR 0.91 (95% CI 0.77–1.07; p = 0.250)), social vulnerability (OR 0.95 (95% CI 0.80–1.13; p = 0.583)), and dual-eligibility (OR 1.00 (95% CI 0.83–1.20; p = 0.975)) were all null (</w:t>
      </w:r>
      <w:r>
        <w:rPr>
          <w:b/>
          <w:bCs/>
        </w:rPr>
        <w:t xml:space="preserve">Figure 2</w:t>
      </w:r>
      <w:r>
        <w:t xml:space="preserve">).</w:t>
      </w:r>
    </w:p>
    <w:bookmarkEnd w:id="29"/>
    <w:bookmarkStart w:id="30" w:name="timeliness-of-appointments"/>
    <w:p>
      <w:pPr>
        <w:pStyle w:val="Heading3"/>
      </w:pPr>
      <w:r>
        <w:t xml:space="preserve">Timeliness of appointments</w:t>
      </w:r>
    </w:p>
    <w:p>
      <w:pPr>
        <w:pStyle w:val="FirstParagraph"/>
      </w:pPr>
      <w:r>
        <w:t xml:space="preserve">Among offering offices, waits again varied by subspecialty and not geography. Relative to general otolaryngology, waits were longer for laryngology (IRR 2.25 (95% CI 1.13–4.46; p = 0.020)) and pediatric otolaryngology (IRR 1.54 (95% CI 1.04–2.28; p = 0.031)). No geographic covariate was associated with wait time (</w:t>
      </w:r>
      <w:r>
        <w:rPr>
          <w:b/>
          <w:bCs/>
        </w:rPr>
        <w:t xml:space="preserve">Figure 2</w:t>
      </w:r>
      <w:r>
        <w:t xml:space="preserve">;</w:t>
      </w:r>
      <w:r>
        <w:t xml:space="preserve"> </w:t>
      </w:r>
      <w:r>
        <w:rPr>
          <w:b/>
          <w:bCs/>
        </w:rPr>
        <w:t xml:space="preserve">Table 2</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Access model (odds ratios).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ent_typeFacial Plastics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0.90 (0.54–1.52)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0.696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ent_typeHead and Neck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 (0.36–1.91)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0.661</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1.74 (0.50–6.08)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0.385</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0.49 (0.23–1.07)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0.074</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ent_typePediatrics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2.26 (1.08–4.75)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2.11 (0.72–6.17)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0.174</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1.66 (0.55–5.03)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ent_per_100k_z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(0.81–1.13)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0.603</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medicaid_fee_index_z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0.91 (0.77–1.07)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0.250</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svi_overall_z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0.583</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dual_pct_z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 (0.83–1.20)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0.975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0.93 (0.49–1.75)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0.823</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ruralSuburban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1.03 (0.71–1.50)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0.857</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Timeliness model (incidence rate ratios).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IRR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ent_typeFacial Plastics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1.04 (0.72–1.50)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0.852</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ent_typeHead and Neck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1.26 (0.72–2.23)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0.421</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2.25 (1.13–4.46)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1.21 (0.64–2.26)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0.557</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ent_typePediatrics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1.54 (1.04–2.28)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1.55 (0.89–2.68)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0.121</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1.17 (0.61–2.24)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0.646</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ent_per_100k_z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(0.81–1.11)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0.499</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medicaid_fee_index_z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(0.84–1.10)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0.545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svi_overall_z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(0.84–1.07)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0.423</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dual_pct_z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0.98 (0.86–1.12)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0.801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1.14 (0.72–1.81)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0.579</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ruralSuburban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1.08 (0.81–1.42)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0.606</w:t>
            </w:r>
          </w:p>
        </w:tc>
      </w:tr>
    </w:tbl>
    <w:bookmarkEnd w:id="30"/>
    <w:bookmarkStart w:id="31" w:name="geographic-reach-drive-time-access"/>
    <w:p>
      <w:pPr>
        <w:pStyle w:val="Heading3"/>
      </w:pPr>
      <w:r>
        <w:t xml:space="preserve">Geographic reach (drive-time access)</w:t>
      </w:r>
    </w:p>
    <w:p>
      <w:pPr>
        <w:pStyle w:val="FirstParagraph"/>
      </w:pPr>
      <w:r>
        <w:t xml:space="preserve">Drive-time isochrones around the 565-plus sampled practices show that access is limited less by local supply than by large under-served areas: 7.6%, 29.3%, 61.2%, and 78.3% of continental U.S. land area lies within a 30-, 60-, 120-, and 180-minute drive of a sampled practice, respectively (</w:t>
      </w:r>
      <w:r>
        <w:rPr>
          <w:b/>
          <w:bCs/>
        </w:rPr>
        <w:t xml:space="preserve">Figure 3</w:t>
      </w:r>
      <w:r>
        <w:t xml:space="preserve">). Roughly one-fifth of the country is more than a 3-hour drive from any sampled otolaryngologist, concentrated in the Mountain West, Great Plains, and desert Southwest.</w:t>
      </w:r>
    </w:p>
    <w:bookmarkEnd w:id="31"/>
    <w:bookmarkStart w:id="32" w:name="robustness-and-missing-data"/>
    <w:p>
      <w:pPr>
        <w:pStyle w:val="Heading3"/>
      </w:pPr>
      <w:r>
        <w:t xml:space="preserve">Robustness and missing data</w:t>
      </w:r>
    </w:p>
    <w:p>
      <w:pPr>
        <w:pStyle w:val="FirstParagraph"/>
      </w:pPr>
      <w:r>
        <w:t xml:space="preserve">Under Tukey-adjusted pairwise comparison no subspecialty pair reached significance, and the subspecialty effect did not vary by rurality or supply (interaction likelihood-ratio tests, both non-significant). In a metropolitan sensitivity model, greater hospital-market concentration was associated with a borderline increase in wait time (HHI IRR 1.20 per SD; p = 0.058). Call incompleteness was unrelated to practice geography, supporting a missing-at-random mechanism with respect to location (Supplement).</w:t>
      </w:r>
    </w:p>
    <w:bookmarkEnd w:id="32"/>
    <w:bookmarkEnd w:id="33"/>
    <w:bookmarkStart w:id="34" w:name="discussion"/>
    <w:p>
      <w:pPr>
        <w:pStyle w:val="Heading2"/>
      </w:pPr>
      <w:r>
        <w:t xml:space="preserve">Discussion</w:t>
      </w:r>
    </w:p>
    <w:p>
      <w:pPr>
        <w:pStyle w:val="FirstParagraph"/>
      </w:pPr>
      <w:r>
        <w:rPr>
          <w:i/>
          <w:iCs/>
        </w:rPr>
        <w:t xml:space="preserve">[Discussion to be written.]</w:t>
      </w:r>
      <w:r>
        <w:t xml:space="preserve"> </w:t>
      </w:r>
      <w:r>
        <w:t xml:space="preserve">Three findings anchor the interpretation. First,</w:t>
      </w:r>
      <w:r>
        <w:t xml:space="preserve"> </w:t>
      </w:r>
      <w:r>
        <w:rPr>
          <w:b/>
          <w:bCs/>
        </w:rPr>
        <w:t xml:space="preserve">who you ask for matters more than where you are</w:t>
      </w:r>
      <w:r>
        <w:t xml:space="preserve">: the requested subspecialty drove both the odds of an appointment and the wait, whereas local ENT supply, Medicaid generosity, social vulnerability, and dual-eligibility were uniformly null. Second,</w:t>
      </w:r>
      <w:r>
        <w:t xml:space="preserve"> </w:t>
      </w:r>
      <w:r>
        <w:rPr>
          <w:b/>
          <w:bCs/>
        </w:rPr>
        <w:t xml:space="preserve">pediatric and laryngology care are timeliness bottlenecks</w:t>
      </w:r>
      <w:r>
        <w:t xml:space="preserve"> </w:t>
      </w:r>
      <w:r>
        <w:t xml:space="preserve">even where access exists. Third, the apparent absence of a geographic</w:t>
      </w:r>
      <w:r>
        <w:t xml:space="preserve"> </w:t>
      </w:r>
      <w:r>
        <w:rPr>
          <w:i/>
          <w:iCs/>
        </w:rPr>
        <w:t xml:space="preserve">covariate</w:t>
      </w:r>
      <w:r>
        <w:t xml:space="preserve"> </w:t>
      </w:r>
      <w:r>
        <w:t xml:space="preserve">effect coexists with a stark geographic</w:t>
      </w:r>
      <w:r>
        <w:t xml:space="preserve"> </w:t>
      </w:r>
      <w:r>
        <w:rPr>
          <w:i/>
          <w:iCs/>
        </w:rPr>
        <w:t xml:space="preserve">coverage</w:t>
      </w:r>
      <w:r>
        <w:t xml:space="preserve"> </w:t>
      </w:r>
      <w:r>
        <w:t xml:space="preserve">gap — roughly a fifth of the U.S. land area is beyond a 3-hour drive of any sampled practice — indicating that the access problem is one of absolute absence in large regions rather than gradients in supply where practices exist. Limitations include modest power for the rural and geographic contrasts, a single call per physician, and ZIP-centroid geolocation for the drive-time analysis.</w:t>
      </w:r>
    </w:p>
    <w:bookmarkEnd w:id="34"/>
    <w:bookmarkStart w:id="44" w:name="figures"/>
    <w:p>
      <w:pPr>
        <w:pStyle w:val="Heading2"/>
      </w:pPr>
      <w:r>
        <w:t xml:space="preserve">Figures</w:t>
      </w:r>
    </w:p>
    <w:p>
      <w:pPr>
        <w:pStyle w:val="FirstParagraph"/>
      </w:pPr>
      <w:r>
        <w:rPr>
          <w:b/>
          <w:bCs/>
        </w:rPr>
        <w:t xml:space="preserve">Figure 1. Participant flow (STROBE).</w:t>
      </w:r>
      <w:r>
        <w:t xml:space="preserve"> </w:t>
      </w:r>
      <w:r>
        <w:rPr>
          <w:i/>
          <w:iCs/>
        </w:rPr>
        <w:t xml:space="preserve">Generated with</w:t>
      </w:r>
      <w:r>
        <w:rPr>
          <w:i/>
          <w:iCs/>
        </w:rPr>
        <w:t xml:space="preserve"> </w:t>
      </w:r>
      <w:r>
        <w:rPr>
          <w:rStyle w:val="VerbatimChar"/>
          <w:i/>
          <w:iCs/>
        </w:rPr>
        <w:t xml:space="preserve">mysterycall_strobe_flow()</w:t>
      </w:r>
      <w:r>
        <w:rPr>
          <w:i/>
          <w:iCs/>
        </w:rPr>
        <w:t xml:space="preserve">.</w:t>
      </w:r>
    </w:p>
    <w:p>
      <w:pPr>
        <w:pStyle w:val="CaptionedFigure"/>
      </w:pPr>
      <w:r>
        <w:drawing>
          <wp:inline>
            <wp:extent cx="5334000" cy="6519333"/>
            <wp:effectExtent b="0" l="0" r="0" t="0"/>
            <wp:docPr descr="Figure 1. Participant flow from calls placed to the two analytic samples." title="" id="36" name="Picture"/>
            <a:graphic>
              <a:graphicData uri="http://schemas.openxmlformats.org/drawingml/2006/picture">
                <pic:pic>
                  <pic:nvPicPr>
                    <pic:cNvPr descr="model_output/strobe_flow_mysterycall.png" id="37" name="Picture"/>
                    <pic:cNvPicPr>
                      <a:picLocks noChangeArrowheads="1" noChangeAspect="1"/>
                    </pic:cNvPicPr>
                  </pic:nvPicPr>
                  <pic:blipFill>
                    <a:blip r:embed="rId35"/>
                    <a:stretch>
                      <a:fillRect/>
                    </a:stretch>
                  </pic:blipFill>
                  <pic:spPr bwMode="auto">
                    <a:xfrm>
                      <a:off x="0" y="0"/>
                      <a:ext cx="5334000" cy="6519333"/>
                    </a:xfrm>
                    <a:prstGeom prst="rect">
                      <a:avLst/>
                    </a:prstGeom>
                    <a:noFill/>
                    <a:ln w="9525">
                      <a:noFill/>
                      <a:headEnd/>
                      <a:tailEnd/>
                    </a:ln>
                  </pic:spPr>
                </pic:pic>
              </a:graphicData>
            </a:graphic>
          </wp:inline>
        </w:drawing>
      </w:r>
    </w:p>
    <w:p>
      <w:pPr>
        <w:pStyle w:val="ImageCaption"/>
      </w:pPr>
      <w:r>
        <w:t xml:space="preserve">Figure 1. Participant flow from calls placed to the two analytic samples.</w:t>
      </w:r>
    </w:p>
    <w:p>
      <w:pPr>
        <w:pStyle w:val="BodyText"/>
      </w:pPr>
      <w:r>
        <w:rPr>
          <w:b/>
          <w:bCs/>
        </w:rPr>
        <w:t xml:space="preserve">Figure 2. Access (odds ratios) and timeliness (incidence rate ratios).</w:t>
      </w:r>
    </w:p>
    <w:p>
      <w:pPr>
        <w:pStyle w:val="CaptionedFigure"/>
      </w:pPr>
      <w:r>
        <w:drawing>
          <wp:inline>
            <wp:extent cx="5334000" cy="3200400"/>
            <wp:effectExtent b="0" l="0" r="0" t="0"/>
            <wp:docPr descr="Figure 2. Adjusted access and timeliness effects." title="" id="39" name="Picture"/>
            <a:graphic>
              <a:graphicData uri="http://schemas.openxmlformats.org/drawingml/2006/picture">
                <pic:pic>
                  <pic:nvPicPr>
                    <pic:cNvPr descr="model_output/forest_access_timeliness.png" id="40" name="Picture"/>
                    <pic:cNvPicPr>
                      <a:picLocks noChangeArrowheads="1" noChangeAspect="1"/>
                    </pic:cNvPicPr>
                  </pic:nvPicPr>
                  <pic:blipFill>
                    <a:blip r:embed="rId38"/>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2. Adjusted access and timeliness effects.</w:t>
      </w:r>
    </w:p>
    <w:p>
      <w:pPr>
        <w:pStyle w:val="BodyText"/>
      </w:pPr>
      <w:r>
        <w:rPr>
          <w:b/>
          <w:bCs/>
        </w:rPr>
        <w:t xml:space="preserve">Figure 3. National drive-time access to sampled ENT practices.</w:t>
      </w:r>
    </w:p>
    <w:p>
      <w:pPr>
        <w:pStyle w:val="CaptionedFigure"/>
      </w:pPr>
      <w:r>
        <w:drawing>
          <wp:inline>
            <wp:extent cx="5334000" cy="3911600"/>
            <wp:effectExtent b="0" l="0" r="0" t="0"/>
            <wp:docPr descr="Figure 3. Land area within a 30/60/120/180-minute drive of any sampled practice." title="" id="42" name="Picture"/>
            <a:graphic>
              <a:graphicData uri="http://schemas.openxmlformats.org/drawingml/2006/picture">
                <pic:pic>
                  <pic:nvPicPr>
                    <pic:cNvPr descr="model_output/isochrones/figS7_ent_drivetime_coverage.png" id="43" name="Picture"/>
                    <pic:cNvPicPr>
                      <a:picLocks noChangeArrowheads="1" noChangeAspect="1"/>
                    </pic:cNvPicPr>
                  </pic:nvPicPr>
                  <pic:blipFill>
                    <a:blip r:embed="rId41"/>
                    <a:stretch>
                      <a:fillRect/>
                    </a:stretch>
                  </pic:blipFill>
                  <pic:spPr bwMode="auto">
                    <a:xfrm>
                      <a:off x="0" y="0"/>
                      <a:ext cx="5334000" cy="3911600"/>
                    </a:xfrm>
                    <a:prstGeom prst="rect">
                      <a:avLst/>
                    </a:prstGeom>
                    <a:noFill/>
                    <a:ln w="9525">
                      <a:noFill/>
                      <a:headEnd/>
                      <a:tailEnd/>
                    </a:ln>
                  </pic:spPr>
                </pic:pic>
              </a:graphicData>
            </a:graphic>
          </wp:inline>
        </w:drawing>
      </w:r>
    </w:p>
    <w:p>
      <w:pPr>
        <w:pStyle w:val="ImageCaption"/>
      </w:pPr>
      <w:r>
        <w:t xml:space="preserve">Figure 3. Land area within a 30/60/120/180-minute drive of any sampled practice.</w:t>
      </w:r>
    </w:p>
    <w:p>
      <w:r>
        <w:br w:type="page"/>
      </w:r>
    </w:p>
    <w:bookmarkEnd w:id="44"/>
    <w:bookmarkStart w:id="65" w:name="supplementary-material"/>
    <w:p>
      <w:pPr>
        <w:pStyle w:val="Heading1"/>
      </w:pPr>
      <w:r>
        <w:t xml:space="preserve">Supplementary Material</w:t>
      </w:r>
    </w:p>
    <w:bookmarkStart w:id="45" w:name="supplementary-tables"/>
    <w:p>
      <w:pPr>
        <w:pStyle w:val="Heading2"/>
      </w:pPr>
      <w:r>
        <w:t xml:space="preserve">Supplementary Tables</w:t>
      </w:r>
    </w:p>
    <w:p>
      <w:pPr>
        <w:pStyle w:val="TableCaption"/>
      </w:pPr>
      <w:r>
        <w:t xml:space="preserve">Table S1. Full access model (all odds ratios).</w:t>
      </w:r>
    </w:p>
    <w:tbl>
      <w:tblPr>
        <w:tblStyle w:val="Table"/>
        <w:tblW w:type="pct" w:w="5000"/>
        <w:tblLayout w:type="fixed"/>
        <w:tblLook w:firstRow="1" w:lastRow="0" w:firstColumn="0" w:lastColumn="0" w:noHBand="0" w:noVBand="0" w:val="0020"/>
        <w:tblCaption w:val="Table S1. Full access model (all odds ratios)."/>
      </w:tblPr>
      <w:tblGrid>
        <w:gridCol w:w="2392"/>
        <w:gridCol w:w="742"/>
        <w:gridCol w:w="495"/>
        <w:gridCol w:w="660"/>
        <w:gridCol w:w="660"/>
        <w:gridCol w:w="990"/>
        <w:gridCol w:w="495"/>
        <w:gridCol w:w="742"/>
        <w:gridCol w:w="742"/>
      </w:tblGrid>
      <w:tr>
        <w:trPr>
          <w:tblHeader w:val="on"/>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z_value</w:t>
            </w:r>
          </w:p>
        </w:tc>
        <w:tc>
          <w:tcPr/>
          <w:p>
            <w:pPr>
              <w:pStyle w:val="Compact"/>
              <w:jc w:val="right"/>
            </w:pPr>
            <w:r>
              <w:t xml:space="preserve">p_value</w:t>
            </w:r>
          </w:p>
        </w:tc>
        <w:tc>
          <w:tcPr/>
          <w:p>
            <w:pPr>
              <w:pStyle w:val="Compact"/>
              <w:jc w:val="left"/>
            </w:pPr>
            <w:r>
              <w:t xml:space="preserve">p_value_fmt</w:t>
            </w:r>
          </w:p>
        </w:tc>
        <w:tc>
          <w:tcPr/>
          <w:p>
            <w:pPr>
              <w:pStyle w:val="Compact"/>
              <w:jc w:val="right"/>
            </w:pPr>
            <w:r>
              <w:t xml:space="preserve">or</w:t>
            </w:r>
          </w:p>
        </w:tc>
        <w:tc>
          <w:tcPr/>
          <w:p>
            <w:pPr>
              <w:pStyle w:val="Compact"/>
              <w:jc w:val="right"/>
            </w:pPr>
            <w:r>
              <w:t xml:space="preserve">ci_lower</w:t>
            </w:r>
          </w:p>
        </w:tc>
        <w:tc>
          <w:tcPr/>
          <w:p>
            <w:pPr>
              <w:pStyle w:val="Compact"/>
              <w:jc w:val="right"/>
            </w:pPr>
            <w:r>
              <w:t xml:space="preserve">ci_upper</w:t>
            </w:r>
          </w:p>
        </w:tc>
      </w:tr>
      <w:tr>
        <w:tc>
          <w:tcPr/>
          <w:p>
            <w:pPr>
              <w:pStyle w:val="Compact"/>
              <w:jc w:val="left"/>
            </w:pPr>
            <w:r>
              <w:t xml:space="preserve">(Intercept)</w:t>
            </w:r>
          </w:p>
        </w:tc>
        <w:tc>
          <w:tcPr/>
          <w:p>
            <w:pPr>
              <w:pStyle w:val="Compact"/>
              <w:jc w:val="right"/>
            </w:pPr>
            <w:r>
              <w:t xml:space="preserve">-0.205</w:t>
            </w:r>
          </w:p>
        </w:tc>
        <w:tc>
          <w:tcPr/>
          <w:p>
            <w:pPr>
              <w:pStyle w:val="Compact"/>
              <w:jc w:val="right"/>
            </w:pPr>
            <w:r>
              <w:t xml:space="preserve">0.189</w:t>
            </w:r>
          </w:p>
        </w:tc>
        <w:tc>
          <w:tcPr/>
          <w:p>
            <w:pPr>
              <w:pStyle w:val="Compact"/>
              <w:jc w:val="right"/>
            </w:pPr>
            <w:r>
              <w:t xml:space="preserve">-1.082</w:t>
            </w:r>
          </w:p>
        </w:tc>
        <w:tc>
          <w:tcPr/>
          <w:p>
            <w:pPr>
              <w:pStyle w:val="Compact"/>
              <w:jc w:val="right"/>
            </w:pPr>
            <w:r>
              <w:t xml:space="preserve">0.279</w:t>
            </w:r>
          </w:p>
        </w:tc>
        <w:tc>
          <w:tcPr/>
          <w:p>
            <w:pPr>
              <w:pStyle w:val="Compact"/>
              <w:jc w:val="left"/>
            </w:pPr>
            <w:r>
              <w:t xml:space="preserve">0.279</w:t>
            </w:r>
          </w:p>
        </w:tc>
        <w:tc>
          <w:tcPr/>
          <w:p>
            <w:pPr>
              <w:pStyle w:val="Compact"/>
              <w:jc w:val="right"/>
            </w:pPr>
            <w:r>
              <w:t xml:space="preserve">0.815</w:t>
            </w:r>
          </w:p>
        </w:tc>
        <w:tc>
          <w:tcPr/>
          <w:p>
            <w:pPr>
              <w:pStyle w:val="Compact"/>
              <w:jc w:val="right"/>
            </w:pPr>
            <w:r>
              <w:t xml:space="preserve">0.562</w:t>
            </w:r>
          </w:p>
        </w:tc>
        <w:tc>
          <w:tcPr/>
          <w:p>
            <w:pPr>
              <w:pStyle w:val="Compact"/>
              <w:jc w:val="right"/>
            </w:pPr>
            <w:r>
              <w:t xml:space="preserve">1.181</w:t>
            </w:r>
          </w:p>
        </w:tc>
      </w:tr>
      <w:tr>
        <w:tc>
          <w:tcPr/>
          <w:p>
            <w:pPr>
              <w:pStyle w:val="Compact"/>
              <w:jc w:val="left"/>
            </w:pPr>
            <w:r>
              <w:t xml:space="preserve">ent_typeFacial Plastics</w:t>
            </w:r>
          </w:p>
        </w:tc>
        <w:tc>
          <w:tcPr/>
          <w:p>
            <w:pPr>
              <w:pStyle w:val="Compact"/>
              <w:jc w:val="right"/>
            </w:pPr>
            <w:r>
              <w:t xml:space="preserve">-0.104</w:t>
            </w:r>
          </w:p>
        </w:tc>
        <w:tc>
          <w:tcPr/>
          <w:p>
            <w:pPr>
              <w:pStyle w:val="Compact"/>
              <w:jc w:val="right"/>
            </w:pPr>
            <w:r>
              <w:t xml:space="preserve">0.266</w:t>
            </w:r>
          </w:p>
        </w:tc>
        <w:tc>
          <w:tcPr/>
          <w:p>
            <w:pPr>
              <w:pStyle w:val="Compact"/>
              <w:jc w:val="right"/>
            </w:pPr>
            <w:r>
              <w:t xml:space="preserve">-0.391</w:t>
            </w:r>
          </w:p>
        </w:tc>
        <w:tc>
          <w:tcPr/>
          <w:p>
            <w:pPr>
              <w:pStyle w:val="Compact"/>
              <w:jc w:val="right"/>
            </w:pPr>
            <w:r>
              <w:t xml:space="preserve">0.696</w:t>
            </w:r>
          </w:p>
        </w:tc>
        <w:tc>
          <w:tcPr/>
          <w:p>
            <w:pPr>
              <w:pStyle w:val="Compact"/>
              <w:jc w:val="left"/>
            </w:pPr>
            <w:r>
              <w:t xml:space="preserve">0.696</w:t>
            </w:r>
          </w:p>
        </w:tc>
        <w:tc>
          <w:tcPr/>
          <w:p>
            <w:pPr>
              <w:pStyle w:val="Compact"/>
              <w:jc w:val="right"/>
            </w:pPr>
            <w:r>
              <w:t xml:space="preserve">0.901</w:t>
            </w:r>
          </w:p>
        </w:tc>
        <w:tc>
          <w:tcPr/>
          <w:p>
            <w:pPr>
              <w:pStyle w:val="Compact"/>
              <w:jc w:val="right"/>
            </w:pPr>
            <w:r>
              <w:t xml:space="preserve">0.535</w:t>
            </w:r>
          </w:p>
        </w:tc>
        <w:tc>
          <w:tcPr/>
          <w:p>
            <w:pPr>
              <w:pStyle w:val="Compact"/>
              <w:jc w:val="right"/>
            </w:pPr>
            <w:r>
              <w:t xml:space="preserve">1.518</w:t>
            </w:r>
          </w:p>
        </w:tc>
      </w:tr>
      <w:tr>
        <w:tc>
          <w:tcPr/>
          <w:p>
            <w:pPr>
              <w:pStyle w:val="Compact"/>
              <w:jc w:val="left"/>
            </w:pPr>
            <w:r>
              <w:t xml:space="preserve">ent_typeHead and Neck Cancer</w:t>
            </w:r>
          </w:p>
        </w:tc>
        <w:tc>
          <w:tcPr/>
          <w:p>
            <w:pPr>
              <w:pStyle w:val="Compact"/>
              <w:jc w:val="right"/>
            </w:pPr>
            <w:r>
              <w:t xml:space="preserve">-0.186</w:t>
            </w:r>
          </w:p>
        </w:tc>
        <w:tc>
          <w:tcPr/>
          <w:p>
            <w:pPr>
              <w:pStyle w:val="Compact"/>
              <w:jc w:val="right"/>
            </w:pPr>
            <w:r>
              <w:t xml:space="preserve">0.426</w:t>
            </w:r>
          </w:p>
        </w:tc>
        <w:tc>
          <w:tcPr/>
          <w:p>
            <w:pPr>
              <w:pStyle w:val="Compact"/>
              <w:jc w:val="right"/>
            </w:pPr>
            <w:r>
              <w:t xml:space="preserve">-0.438</w:t>
            </w:r>
          </w:p>
        </w:tc>
        <w:tc>
          <w:tcPr/>
          <w:p>
            <w:pPr>
              <w:pStyle w:val="Compact"/>
              <w:jc w:val="right"/>
            </w:pPr>
            <w:r>
              <w:t xml:space="preserve">0.661</w:t>
            </w:r>
          </w:p>
        </w:tc>
        <w:tc>
          <w:tcPr/>
          <w:p>
            <w:pPr>
              <w:pStyle w:val="Compact"/>
              <w:jc w:val="left"/>
            </w:pPr>
            <w:r>
              <w:t xml:space="preserve">0.661</w:t>
            </w:r>
          </w:p>
        </w:tc>
        <w:tc>
          <w:tcPr/>
          <w:p>
            <w:pPr>
              <w:pStyle w:val="Compact"/>
              <w:jc w:val="right"/>
            </w:pPr>
            <w:r>
              <w:t xml:space="preserve">0.830</w:t>
            </w:r>
          </w:p>
        </w:tc>
        <w:tc>
          <w:tcPr/>
          <w:p>
            <w:pPr>
              <w:pStyle w:val="Compact"/>
              <w:jc w:val="right"/>
            </w:pPr>
            <w:r>
              <w:t xml:space="preserve">0.360</w:t>
            </w:r>
          </w:p>
        </w:tc>
        <w:tc>
          <w:tcPr/>
          <w:p>
            <w:pPr>
              <w:pStyle w:val="Compact"/>
              <w:jc w:val="right"/>
            </w:pPr>
            <w:r>
              <w:t xml:space="preserve">1.912</w:t>
            </w:r>
          </w:p>
        </w:tc>
      </w:tr>
      <w:tr>
        <w:tc>
          <w:tcPr/>
          <w:p>
            <w:pPr>
              <w:pStyle w:val="Compact"/>
              <w:jc w:val="left"/>
            </w:pPr>
            <w:r>
              <w:t xml:space="preserve">ent_typeLaryngology</w:t>
            </w:r>
          </w:p>
        </w:tc>
        <w:tc>
          <w:tcPr/>
          <w:p>
            <w:pPr>
              <w:pStyle w:val="Compact"/>
              <w:jc w:val="right"/>
            </w:pPr>
            <w:r>
              <w:t xml:space="preserve">0.555</w:t>
            </w:r>
          </w:p>
        </w:tc>
        <w:tc>
          <w:tcPr/>
          <w:p>
            <w:pPr>
              <w:pStyle w:val="Compact"/>
              <w:jc w:val="right"/>
            </w:pPr>
            <w:r>
              <w:t xml:space="preserve">0.638</w:t>
            </w:r>
          </w:p>
        </w:tc>
        <w:tc>
          <w:tcPr/>
          <w:p>
            <w:pPr>
              <w:pStyle w:val="Compact"/>
              <w:jc w:val="right"/>
            </w:pPr>
            <w:r>
              <w:t xml:space="preserve">0.869</w:t>
            </w:r>
          </w:p>
        </w:tc>
        <w:tc>
          <w:tcPr/>
          <w:p>
            <w:pPr>
              <w:pStyle w:val="Compact"/>
              <w:jc w:val="right"/>
            </w:pPr>
            <w:r>
              <w:t xml:space="preserve">0.385</w:t>
            </w:r>
          </w:p>
        </w:tc>
        <w:tc>
          <w:tcPr/>
          <w:p>
            <w:pPr>
              <w:pStyle w:val="Compact"/>
              <w:jc w:val="left"/>
            </w:pPr>
            <w:r>
              <w:t xml:space="preserve">0.385</w:t>
            </w:r>
          </w:p>
        </w:tc>
        <w:tc>
          <w:tcPr/>
          <w:p>
            <w:pPr>
              <w:pStyle w:val="Compact"/>
              <w:jc w:val="right"/>
            </w:pPr>
            <w:r>
              <w:t xml:space="preserve">1.741</w:t>
            </w:r>
          </w:p>
        </w:tc>
        <w:tc>
          <w:tcPr/>
          <w:p>
            <w:pPr>
              <w:pStyle w:val="Compact"/>
              <w:jc w:val="right"/>
            </w:pPr>
            <w:r>
              <w:t xml:space="preserve">0.499</w:t>
            </w:r>
          </w:p>
        </w:tc>
        <w:tc>
          <w:tcPr/>
          <w:p>
            <w:pPr>
              <w:pStyle w:val="Compact"/>
              <w:jc w:val="right"/>
            </w:pPr>
            <w:r>
              <w:t xml:space="preserve">6.083</w:t>
            </w:r>
          </w:p>
        </w:tc>
      </w:tr>
      <w:tr>
        <w:tc>
          <w:tcPr/>
          <w:p>
            <w:pPr>
              <w:pStyle w:val="Compact"/>
              <w:jc w:val="left"/>
            </w:pPr>
            <w:r>
              <w:t xml:space="preserve">ent_typeOtology/neurotology</w:t>
            </w:r>
          </w:p>
        </w:tc>
        <w:tc>
          <w:tcPr/>
          <w:p>
            <w:pPr>
              <w:pStyle w:val="Compact"/>
              <w:jc w:val="right"/>
            </w:pPr>
            <w:r>
              <w:t xml:space="preserve">-0.704</w:t>
            </w:r>
          </w:p>
        </w:tc>
        <w:tc>
          <w:tcPr/>
          <w:p>
            <w:pPr>
              <w:pStyle w:val="Compact"/>
              <w:jc w:val="right"/>
            </w:pPr>
            <w:r>
              <w:t xml:space="preserve">0.395</w:t>
            </w:r>
          </w:p>
        </w:tc>
        <w:tc>
          <w:tcPr/>
          <w:p>
            <w:pPr>
              <w:pStyle w:val="Compact"/>
              <w:jc w:val="right"/>
            </w:pPr>
            <w:r>
              <w:t xml:space="preserve">-1.784</w:t>
            </w:r>
          </w:p>
        </w:tc>
        <w:tc>
          <w:tcPr/>
          <w:p>
            <w:pPr>
              <w:pStyle w:val="Compact"/>
              <w:jc w:val="right"/>
            </w:pPr>
            <w:r>
              <w:t xml:space="preserve">0.074</w:t>
            </w:r>
          </w:p>
        </w:tc>
        <w:tc>
          <w:tcPr/>
          <w:p>
            <w:pPr>
              <w:pStyle w:val="Compact"/>
              <w:jc w:val="left"/>
            </w:pPr>
            <w:r>
              <w:t xml:space="preserve">0.074</w:t>
            </w:r>
          </w:p>
        </w:tc>
        <w:tc>
          <w:tcPr/>
          <w:p>
            <w:pPr>
              <w:pStyle w:val="Compact"/>
              <w:jc w:val="right"/>
            </w:pPr>
            <w:r>
              <w:t xml:space="preserve">0.495</w:t>
            </w:r>
          </w:p>
        </w:tc>
        <w:tc>
          <w:tcPr/>
          <w:p>
            <w:pPr>
              <w:pStyle w:val="Compact"/>
              <w:jc w:val="right"/>
            </w:pPr>
            <w:r>
              <w:t xml:space="preserve">0.228</w:t>
            </w:r>
          </w:p>
        </w:tc>
        <w:tc>
          <w:tcPr/>
          <w:p>
            <w:pPr>
              <w:pStyle w:val="Compact"/>
              <w:jc w:val="right"/>
            </w:pPr>
            <w:r>
              <w:t xml:space="preserve">1.072</w:t>
            </w:r>
          </w:p>
        </w:tc>
      </w:tr>
      <w:tr>
        <w:tc>
          <w:tcPr/>
          <w:p>
            <w:pPr>
              <w:pStyle w:val="Compact"/>
              <w:jc w:val="left"/>
            </w:pPr>
            <w:r>
              <w:t xml:space="preserve">ent_typePediatrics</w:t>
            </w:r>
          </w:p>
        </w:tc>
        <w:tc>
          <w:tcPr/>
          <w:p>
            <w:pPr>
              <w:pStyle w:val="Compact"/>
              <w:jc w:val="right"/>
            </w:pPr>
            <w:r>
              <w:t xml:space="preserve">0.815</w:t>
            </w:r>
          </w:p>
        </w:tc>
        <w:tc>
          <w:tcPr/>
          <w:p>
            <w:pPr>
              <w:pStyle w:val="Compact"/>
              <w:jc w:val="right"/>
            </w:pPr>
            <w:r>
              <w:t xml:space="preserve">0.379</w:t>
            </w:r>
          </w:p>
        </w:tc>
        <w:tc>
          <w:tcPr/>
          <w:p>
            <w:pPr>
              <w:pStyle w:val="Compact"/>
              <w:jc w:val="right"/>
            </w:pPr>
            <w:r>
              <w:t xml:space="preserve">2.154</w:t>
            </w:r>
          </w:p>
        </w:tc>
        <w:tc>
          <w:tcPr/>
          <w:p>
            <w:pPr>
              <w:pStyle w:val="Compact"/>
              <w:jc w:val="right"/>
            </w:pPr>
            <w:r>
              <w:t xml:space="preserve">0.031</w:t>
            </w:r>
          </w:p>
        </w:tc>
        <w:tc>
          <w:tcPr/>
          <w:p>
            <w:pPr>
              <w:pStyle w:val="Compact"/>
              <w:jc w:val="left"/>
            </w:pPr>
            <w:r>
              <w:t xml:space="preserve">0.031</w:t>
            </w:r>
          </w:p>
        </w:tc>
        <w:tc>
          <w:tcPr/>
          <w:p>
            <w:pPr>
              <w:pStyle w:val="Compact"/>
              <w:jc w:val="right"/>
            </w:pPr>
            <w:r>
              <w:t xml:space="preserve">2.260</w:t>
            </w:r>
          </w:p>
        </w:tc>
        <w:tc>
          <w:tcPr/>
          <w:p>
            <w:pPr>
              <w:pStyle w:val="Compact"/>
              <w:jc w:val="right"/>
            </w:pPr>
            <w:r>
              <w:t xml:space="preserve">1.076</w:t>
            </w:r>
          </w:p>
        </w:tc>
        <w:tc>
          <w:tcPr/>
          <w:p>
            <w:pPr>
              <w:pStyle w:val="Compact"/>
              <w:jc w:val="right"/>
            </w:pPr>
            <w:r>
              <w:t xml:space="preserve">4.746</w:t>
            </w:r>
          </w:p>
        </w:tc>
      </w:tr>
      <w:tr>
        <w:tc>
          <w:tcPr/>
          <w:p>
            <w:pPr>
              <w:pStyle w:val="Compact"/>
              <w:jc w:val="left"/>
            </w:pPr>
            <w:r>
              <w:t xml:space="preserve">ent_typeRhinology</w:t>
            </w:r>
          </w:p>
        </w:tc>
        <w:tc>
          <w:tcPr/>
          <w:p>
            <w:pPr>
              <w:pStyle w:val="Compact"/>
              <w:jc w:val="right"/>
            </w:pPr>
            <w:r>
              <w:t xml:space="preserve">0.745</w:t>
            </w:r>
          </w:p>
        </w:tc>
        <w:tc>
          <w:tcPr/>
          <w:p>
            <w:pPr>
              <w:pStyle w:val="Compact"/>
              <w:jc w:val="right"/>
            </w:pPr>
            <w:r>
              <w:t xml:space="preserve">0.549</w:t>
            </w:r>
          </w:p>
        </w:tc>
        <w:tc>
          <w:tcPr/>
          <w:p>
            <w:pPr>
              <w:pStyle w:val="Compact"/>
              <w:jc w:val="right"/>
            </w:pPr>
            <w:r>
              <w:t xml:space="preserve">1.358</w:t>
            </w:r>
          </w:p>
        </w:tc>
        <w:tc>
          <w:tcPr/>
          <w:p>
            <w:pPr>
              <w:pStyle w:val="Compact"/>
              <w:jc w:val="right"/>
            </w:pPr>
            <w:r>
              <w:t xml:space="preserve">0.174</w:t>
            </w:r>
          </w:p>
        </w:tc>
        <w:tc>
          <w:tcPr/>
          <w:p>
            <w:pPr>
              <w:pStyle w:val="Compact"/>
              <w:jc w:val="left"/>
            </w:pPr>
            <w:r>
              <w:t xml:space="preserve">0.174</w:t>
            </w:r>
          </w:p>
        </w:tc>
        <w:tc>
          <w:tcPr/>
          <w:p>
            <w:pPr>
              <w:pStyle w:val="Compact"/>
              <w:jc w:val="right"/>
            </w:pPr>
            <w:r>
              <w:t xml:space="preserve">2.107</w:t>
            </w:r>
          </w:p>
        </w:tc>
        <w:tc>
          <w:tcPr/>
          <w:p>
            <w:pPr>
              <w:pStyle w:val="Compact"/>
              <w:jc w:val="right"/>
            </w:pPr>
            <w:r>
              <w:t xml:space="preserve">0.719</w:t>
            </w:r>
          </w:p>
        </w:tc>
        <w:tc>
          <w:tcPr/>
          <w:p>
            <w:pPr>
              <w:pStyle w:val="Compact"/>
              <w:jc w:val="right"/>
            </w:pPr>
            <w:r>
              <w:t xml:space="preserve">6.174</w:t>
            </w:r>
          </w:p>
        </w:tc>
      </w:tr>
      <w:tr>
        <w:tc>
          <w:tcPr/>
          <w:p>
            <w:pPr>
              <w:pStyle w:val="Compact"/>
              <w:jc w:val="left"/>
            </w:pPr>
            <w:r>
              <w:t xml:space="preserve">ent_typeSleep</w:t>
            </w:r>
          </w:p>
        </w:tc>
        <w:tc>
          <w:tcPr/>
          <w:p>
            <w:pPr>
              <w:pStyle w:val="Compact"/>
              <w:jc w:val="right"/>
            </w:pPr>
            <w:r>
              <w:t xml:space="preserve">0.506</w:t>
            </w:r>
          </w:p>
        </w:tc>
        <w:tc>
          <w:tcPr/>
          <w:p>
            <w:pPr>
              <w:pStyle w:val="Compact"/>
              <w:jc w:val="right"/>
            </w:pPr>
            <w:r>
              <w:t xml:space="preserve">0.566</w:t>
            </w:r>
          </w:p>
        </w:tc>
        <w:tc>
          <w:tcPr/>
          <w:p>
            <w:pPr>
              <w:pStyle w:val="Compact"/>
              <w:jc w:val="right"/>
            </w:pPr>
            <w:r>
              <w:t xml:space="preserve">0.895</w:t>
            </w:r>
          </w:p>
        </w:tc>
        <w:tc>
          <w:tcPr/>
          <w:p>
            <w:pPr>
              <w:pStyle w:val="Compact"/>
              <w:jc w:val="right"/>
            </w:pPr>
            <w:r>
              <w:t xml:space="preserve">0.371</w:t>
            </w:r>
          </w:p>
        </w:tc>
        <w:tc>
          <w:tcPr/>
          <w:p>
            <w:pPr>
              <w:pStyle w:val="Compact"/>
              <w:jc w:val="left"/>
            </w:pPr>
            <w:r>
              <w:t xml:space="preserve">0.371</w:t>
            </w:r>
          </w:p>
        </w:tc>
        <w:tc>
          <w:tcPr/>
          <w:p>
            <w:pPr>
              <w:pStyle w:val="Compact"/>
              <w:jc w:val="right"/>
            </w:pPr>
            <w:r>
              <w:t xml:space="preserve">1.659</w:t>
            </w:r>
          </w:p>
        </w:tc>
        <w:tc>
          <w:tcPr/>
          <w:p>
            <w:pPr>
              <w:pStyle w:val="Compact"/>
              <w:jc w:val="right"/>
            </w:pPr>
            <w:r>
              <w:t xml:space="preserve">0.547</w:t>
            </w:r>
          </w:p>
        </w:tc>
        <w:tc>
          <w:tcPr/>
          <w:p>
            <w:pPr>
              <w:pStyle w:val="Compact"/>
              <w:jc w:val="right"/>
            </w:pPr>
            <w:r>
              <w:t xml:space="preserve">5.027</w:t>
            </w:r>
          </w:p>
        </w:tc>
      </w:tr>
      <w:tr>
        <w:tc>
          <w:tcPr/>
          <w:p>
            <w:pPr>
              <w:pStyle w:val="Compact"/>
              <w:jc w:val="left"/>
            </w:pPr>
            <w:r>
              <w:t xml:space="preserve">ent_per_100k_z</w:t>
            </w:r>
          </w:p>
        </w:tc>
        <w:tc>
          <w:tcPr/>
          <w:p>
            <w:pPr>
              <w:pStyle w:val="Compact"/>
              <w:jc w:val="right"/>
            </w:pPr>
            <w:r>
              <w:t xml:space="preserve">-0.044</w:t>
            </w:r>
          </w:p>
        </w:tc>
        <w:tc>
          <w:tcPr/>
          <w:p>
            <w:pPr>
              <w:pStyle w:val="Compact"/>
              <w:jc w:val="right"/>
            </w:pPr>
            <w:r>
              <w:t xml:space="preserve">0.085</w:t>
            </w:r>
          </w:p>
        </w:tc>
        <w:tc>
          <w:tcPr/>
          <w:p>
            <w:pPr>
              <w:pStyle w:val="Compact"/>
              <w:jc w:val="right"/>
            </w:pPr>
            <w:r>
              <w:t xml:space="preserve">-0.520</w:t>
            </w:r>
          </w:p>
        </w:tc>
        <w:tc>
          <w:tcPr/>
          <w:p>
            <w:pPr>
              <w:pStyle w:val="Compact"/>
              <w:jc w:val="right"/>
            </w:pPr>
            <w:r>
              <w:t xml:space="preserve">0.603</w:t>
            </w:r>
          </w:p>
        </w:tc>
        <w:tc>
          <w:tcPr/>
          <w:p>
            <w:pPr>
              <w:pStyle w:val="Compact"/>
              <w:jc w:val="left"/>
            </w:pPr>
            <w:r>
              <w:t xml:space="preserve">0.603</w:t>
            </w:r>
          </w:p>
        </w:tc>
        <w:tc>
          <w:tcPr/>
          <w:p>
            <w:pPr>
              <w:pStyle w:val="Compact"/>
              <w:jc w:val="right"/>
            </w:pPr>
            <w:r>
              <w:t xml:space="preserve">0.957</w:t>
            </w:r>
          </w:p>
        </w:tc>
        <w:tc>
          <w:tcPr/>
          <w:p>
            <w:pPr>
              <w:pStyle w:val="Compact"/>
              <w:jc w:val="right"/>
            </w:pPr>
            <w:r>
              <w:t xml:space="preserve">0.811</w:t>
            </w:r>
          </w:p>
        </w:tc>
        <w:tc>
          <w:tcPr/>
          <w:p>
            <w:pPr>
              <w:pStyle w:val="Compact"/>
              <w:jc w:val="right"/>
            </w:pPr>
            <w:r>
              <w:t xml:space="preserve">1.129</w:t>
            </w:r>
          </w:p>
        </w:tc>
      </w:tr>
      <w:tr>
        <w:tc>
          <w:tcPr/>
          <w:p>
            <w:pPr>
              <w:pStyle w:val="Compact"/>
              <w:jc w:val="left"/>
            </w:pPr>
            <w:r>
              <w:t xml:space="preserve">medicaid_fee_index_z</w:t>
            </w:r>
          </w:p>
        </w:tc>
        <w:tc>
          <w:tcPr/>
          <w:p>
            <w:pPr>
              <w:pStyle w:val="Compact"/>
              <w:jc w:val="right"/>
            </w:pPr>
            <w:r>
              <w:t xml:space="preserve">-0.095</w:t>
            </w:r>
          </w:p>
        </w:tc>
        <w:tc>
          <w:tcPr/>
          <w:p>
            <w:pPr>
              <w:pStyle w:val="Compact"/>
              <w:jc w:val="right"/>
            </w:pPr>
            <w:r>
              <w:t xml:space="preserve">0.082</w:t>
            </w:r>
          </w:p>
        </w:tc>
        <w:tc>
          <w:tcPr/>
          <w:p>
            <w:pPr>
              <w:pStyle w:val="Compact"/>
              <w:jc w:val="right"/>
            </w:pPr>
            <w:r>
              <w:t xml:space="preserve">-1.150</w:t>
            </w:r>
          </w:p>
        </w:tc>
        <w:tc>
          <w:tcPr/>
          <w:p>
            <w:pPr>
              <w:pStyle w:val="Compact"/>
              <w:jc w:val="right"/>
            </w:pPr>
            <w:r>
              <w:t xml:space="preserve">0.250</w:t>
            </w:r>
          </w:p>
        </w:tc>
        <w:tc>
          <w:tcPr/>
          <w:p>
            <w:pPr>
              <w:pStyle w:val="Compact"/>
              <w:jc w:val="left"/>
            </w:pPr>
            <w:r>
              <w:t xml:space="preserve">0.250</w:t>
            </w:r>
          </w:p>
        </w:tc>
        <w:tc>
          <w:tcPr/>
          <w:p>
            <w:pPr>
              <w:pStyle w:val="Compact"/>
              <w:jc w:val="right"/>
            </w:pPr>
            <w:r>
              <w:t xml:space="preserve">0.910</w:t>
            </w:r>
          </w:p>
        </w:tc>
        <w:tc>
          <w:tcPr/>
          <w:p>
            <w:pPr>
              <w:pStyle w:val="Compact"/>
              <w:jc w:val="right"/>
            </w:pPr>
            <w:r>
              <w:t xml:space="preserve">0.774</w:t>
            </w:r>
          </w:p>
        </w:tc>
        <w:tc>
          <w:tcPr/>
          <w:p>
            <w:pPr>
              <w:pStyle w:val="Compact"/>
              <w:jc w:val="right"/>
            </w:pPr>
            <w:r>
              <w:t xml:space="preserve">1.069</w:t>
            </w:r>
          </w:p>
        </w:tc>
      </w:tr>
      <w:tr>
        <w:tc>
          <w:tcPr/>
          <w:p>
            <w:pPr>
              <w:pStyle w:val="Compact"/>
              <w:jc w:val="left"/>
            </w:pPr>
            <w:r>
              <w:t xml:space="preserve">svi_overall_z</w:t>
            </w:r>
          </w:p>
        </w:tc>
        <w:tc>
          <w:tcPr/>
          <w:p>
            <w:pPr>
              <w:pStyle w:val="Compact"/>
              <w:jc w:val="right"/>
            </w:pPr>
            <w:r>
              <w:t xml:space="preserve">-0.049</w:t>
            </w:r>
          </w:p>
        </w:tc>
        <w:tc>
          <w:tcPr/>
          <w:p>
            <w:pPr>
              <w:pStyle w:val="Compact"/>
              <w:jc w:val="right"/>
            </w:pPr>
            <w:r>
              <w:t xml:space="preserve">0.089</w:t>
            </w:r>
          </w:p>
        </w:tc>
        <w:tc>
          <w:tcPr/>
          <w:p>
            <w:pPr>
              <w:pStyle w:val="Compact"/>
              <w:jc w:val="right"/>
            </w:pPr>
            <w:r>
              <w:t xml:space="preserve">-0.550</w:t>
            </w:r>
          </w:p>
        </w:tc>
        <w:tc>
          <w:tcPr/>
          <w:p>
            <w:pPr>
              <w:pStyle w:val="Compact"/>
              <w:jc w:val="right"/>
            </w:pPr>
            <w:r>
              <w:t xml:space="preserve">0.583</w:t>
            </w:r>
          </w:p>
        </w:tc>
        <w:tc>
          <w:tcPr/>
          <w:p>
            <w:pPr>
              <w:pStyle w:val="Compact"/>
              <w:jc w:val="left"/>
            </w:pPr>
            <w:r>
              <w:t xml:space="preserve">0.583</w:t>
            </w:r>
          </w:p>
        </w:tc>
        <w:tc>
          <w:tcPr/>
          <w:p>
            <w:pPr>
              <w:pStyle w:val="Compact"/>
              <w:jc w:val="right"/>
            </w:pPr>
            <w:r>
              <w:t xml:space="preserve">0.952</w:t>
            </w:r>
          </w:p>
        </w:tc>
        <w:tc>
          <w:tcPr/>
          <w:p>
            <w:pPr>
              <w:pStyle w:val="Compact"/>
              <w:jc w:val="right"/>
            </w:pPr>
            <w:r>
              <w:t xml:space="preserve">0.800</w:t>
            </w:r>
          </w:p>
        </w:tc>
        <w:tc>
          <w:tcPr/>
          <w:p>
            <w:pPr>
              <w:pStyle w:val="Compact"/>
              <w:jc w:val="right"/>
            </w:pPr>
            <w:r>
              <w:t xml:space="preserve">1.134</w:t>
            </w:r>
          </w:p>
        </w:tc>
      </w:tr>
      <w:tr>
        <w:tc>
          <w:tcPr/>
          <w:p>
            <w:pPr>
              <w:pStyle w:val="Compact"/>
              <w:jc w:val="left"/>
            </w:pPr>
            <w:r>
              <w:t xml:space="preserve">dual_pct_z</w:t>
            </w:r>
          </w:p>
        </w:tc>
        <w:tc>
          <w:tcPr/>
          <w:p>
            <w:pPr>
              <w:pStyle w:val="Compact"/>
              <w:jc w:val="right"/>
            </w:pPr>
            <w:r>
              <w:t xml:space="preserve">-0.003</w:t>
            </w:r>
          </w:p>
        </w:tc>
        <w:tc>
          <w:tcPr/>
          <w:p>
            <w:pPr>
              <w:pStyle w:val="Compact"/>
              <w:jc w:val="right"/>
            </w:pPr>
            <w:r>
              <w:t xml:space="preserve">0.092</w:t>
            </w:r>
          </w:p>
        </w:tc>
        <w:tc>
          <w:tcPr/>
          <w:p>
            <w:pPr>
              <w:pStyle w:val="Compact"/>
              <w:jc w:val="right"/>
            </w:pPr>
            <w:r>
              <w:t xml:space="preserve">-0.031</w:t>
            </w:r>
          </w:p>
        </w:tc>
        <w:tc>
          <w:tcPr/>
          <w:p>
            <w:pPr>
              <w:pStyle w:val="Compact"/>
              <w:jc w:val="right"/>
            </w:pPr>
            <w:r>
              <w:t xml:space="preserve">0.975</w:t>
            </w:r>
          </w:p>
        </w:tc>
        <w:tc>
          <w:tcPr/>
          <w:p>
            <w:pPr>
              <w:pStyle w:val="Compact"/>
              <w:jc w:val="left"/>
            </w:pPr>
            <w:r>
              <w:t xml:space="preserve">0.975</w:t>
            </w:r>
          </w:p>
        </w:tc>
        <w:tc>
          <w:tcPr/>
          <w:p>
            <w:pPr>
              <w:pStyle w:val="Compact"/>
              <w:jc w:val="right"/>
            </w:pPr>
            <w:r>
              <w:t xml:space="preserve">0.997</w:t>
            </w:r>
          </w:p>
        </w:tc>
        <w:tc>
          <w:tcPr/>
          <w:p>
            <w:pPr>
              <w:pStyle w:val="Compact"/>
              <w:jc w:val="right"/>
            </w:pPr>
            <w:r>
              <w:t xml:space="preserve">0.832</w:t>
            </w:r>
          </w:p>
        </w:tc>
        <w:tc>
          <w:tcPr/>
          <w:p>
            <w:pPr>
              <w:pStyle w:val="Compact"/>
              <w:jc w:val="right"/>
            </w:pPr>
            <w:r>
              <w:t xml:space="preserve">1.195</w:t>
            </w:r>
          </w:p>
        </w:tc>
      </w:tr>
      <w:tr>
        <w:tc>
          <w:tcPr/>
          <w:p>
            <w:pPr>
              <w:pStyle w:val="Compact"/>
              <w:jc w:val="left"/>
            </w:pPr>
            <w:r>
              <w:t xml:space="preserve">ruralRural</w:t>
            </w:r>
          </w:p>
        </w:tc>
        <w:tc>
          <w:tcPr/>
          <w:p>
            <w:pPr>
              <w:pStyle w:val="Compact"/>
              <w:jc w:val="right"/>
            </w:pPr>
            <w:r>
              <w:t xml:space="preserve">-0.072</w:t>
            </w:r>
          </w:p>
        </w:tc>
        <w:tc>
          <w:tcPr/>
          <w:p>
            <w:pPr>
              <w:pStyle w:val="Compact"/>
              <w:jc w:val="right"/>
            </w:pPr>
            <w:r>
              <w:t xml:space="preserve">0.322</w:t>
            </w:r>
          </w:p>
        </w:tc>
        <w:tc>
          <w:tcPr/>
          <w:p>
            <w:pPr>
              <w:pStyle w:val="Compact"/>
              <w:jc w:val="right"/>
            </w:pPr>
            <w:r>
              <w:t xml:space="preserve">-0.224</w:t>
            </w:r>
          </w:p>
        </w:tc>
        <w:tc>
          <w:tcPr/>
          <w:p>
            <w:pPr>
              <w:pStyle w:val="Compact"/>
              <w:jc w:val="right"/>
            </w:pPr>
            <w:r>
              <w:t xml:space="preserve">0.823</w:t>
            </w:r>
          </w:p>
        </w:tc>
        <w:tc>
          <w:tcPr/>
          <w:p>
            <w:pPr>
              <w:pStyle w:val="Compact"/>
              <w:jc w:val="left"/>
            </w:pPr>
            <w:r>
              <w:t xml:space="preserve">0.823</w:t>
            </w:r>
          </w:p>
        </w:tc>
        <w:tc>
          <w:tcPr/>
          <w:p>
            <w:pPr>
              <w:pStyle w:val="Compact"/>
              <w:jc w:val="right"/>
            </w:pPr>
            <w:r>
              <w:t xml:space="preserve">0.930</w:t>
            </w:r>
          </w:p>
        </w:tc>
        <w:tc>
          <w:tcPr/>
          <w:p>
            <w:pPr>
              <w:pStyle w:val="Compact"/>
              <w:jc w:val="right"/>
            </w:pPr>
            <w:r>
              <w:t xml:space="preserve">0.495</w:t>
            </w:r>
          </w:p>
        </w:tc>
        <w:tc>
          <w:tcPr/>
          <w:p>
            <w:pPr>
              <w:pStyle w:val="Compact"/>
              <w:jc w:val="right"/>
            </w:pPr>
            <w:r>
              <w:t xml:space="preserve">1.750</w:t>
            </w:r>
          </w:p>
        </w:tc>
      </w:tr>
      <w:tr>
        <w:tc>
          <w:tcPr/>
          <w:p>
            <w:pPr>
              <w:pStyle w:val="Compact"/>
              <w:jc w:val="left"/>
            </w:pPr>
            <w:r>
              <w:t xml:space="preserve">ruralSuburban</w:t>
            </w:r>
          </w:p>
        </w:tc>
        <w:tc>
          <w:tcPr/>
          <w:p>
            <w:pPr>
              <w:pStyle w:val="Compact"/>
              <w:jc w:val="right"/>
            </w:pPr>
            <w:r>
              <w:t xml:space="preserve">0.034</w:t>
            </w:r>
          </w:p>
        </w:tc>
        <w:tc>
          <w:tcPr/>
          <w:p>
            <w:pPr>
              <w:pStyle w:val="Compact"/>
              <w:jc w:val="right"/>
            </w:pPr>
            <w:r>
              <w:t xml:space="preserve">0.189</w:t>
            </w:r>
          </w:p>
        </w:tc>
        <w:tc>
          <w:tcPr/>
          <w:p>
            <w:pPr>
              <w:pStyle w:val="Compact"/>
              <w:jc w:val="right"/>
            </w:pPr>
            <w:r>
              <w:t xml:space="preserve">0.180</w:t>
            </w:r>
          </w:p>
        </w:tc>
        <w:tc>
          <w:tcPr/>
          <w:p>
            <w:pPr>
              <w:pStyle w:val="Compact"/>
              <w:jc w:val="right"/>
            </w:pPr>
            <w:r>
              <w:t xml:space="preserve">0.857</w:t>
            </w:r>
          </w:p>
        </w:tc>
        <w:tc>
          <w:tcPr/>
          <w:p>
            <w:pPr>
              <w:pStyle w:val="Compact"/>
              <w:jc w:val="left"/>
            </w:pPr>
            <w:r>
              <w:t xml:space="preserve">0.857</w:t>
            </w:r>
          </w:p>
        </w:tc>
        <w:tc>
          <w:tcPr/>
          <w:p>
            <w:pPr>
              <w:pStyle w:val="Compact"/>
              <w:jc w:val="right"/>
            </w:pPr>
            <w:r>
              <w:t xml:space="preserve">1.034</w:t>
            </w:r>
          </w:p>
        </w:tc>
        <w:tc>
          <w:tcPr/>
          <w:p>
            <w:pPr>
              <w:pStyle w:val="Compact"/>
              <w:jc w:val="right"/>
            </w:pPr>
            <w:r>
              <w:t xml:space="preserve">0.715</w:t>
            </w:r>
          </w:p>
        </w:tc>
        <w:tc>
          <w:tcPr/>
          <w:p>
            <w:pPr>
              <w:pStyle w:val="Compact"/>
              <w:jc w:val="right"/>
            </w:pPr>
            <w:r>
              <w:t xml:space="preserve">1.497</w:t>
            </w:r>
          </w:p>
        </w:tc>
      </w:tr>
      <w:tr>
        <w:tc>
          <w:tcPr/>
          <w:p>
            <w:pPr>
              <w:pStyle w:val="Compact"/>
              <w:jc w:val="left"/>
            </w:pPr>
            <w:r>
              <w:t xml:space="preserve">caller_fDeol</w:t>
            </w:r>
          </w:p>
        </w:tc>
        <w:tc>
          <w:tcPr/>
          <w:p>
            <w:pPr>
              <w:pStyle w:val="Compact"/>
              <w:jc w:val="right"/>
            </w:pPr>
            <w:r>
              <w:t xml:space="preserve">0.851</w:t>
            </w:r>
          </w:p>
        </w:tc>
        <w:tc>
          <w:tcPr/>
          <w:p>
            <w:pPr>
              <w:pStyle w:val="Compact"/>
              <w:jc w:val="right"/>
            </w:pPr>
            <w:r>
              <w:t xml:space="preserve">0.255</w:t>
            </w:r>
          </w:p>
        </w:tc>
        <w:tc>
          <w:tcPr/>
          <w:p>
            <w:pPr>
              <w:pStyle w:val="Compact"/>
              <w:jc w:val="right"/>
            </w:pPr>
            <w:r>
              <w:t xml:space="preserve">3.341</w:t>
            </w:r>
          </w:p>
        </w:tc>
        <w:tc>
          <w:tcPr/>
          <w:p>
            <w:pPr>
              <w:pStyle w:val="Compact"/>
              <w:jc w:val="right"/>
            </w:pPr>
            <w:r>
              <w:t xml:space="preserve">0.001</w:t>
            </w:r>
          </w:p>
        </w:tc>
        <w:tc>
          <w:tcPr/>
          <w:p>
            <w:pPr>
              <w:pStyle w:val="Compact"/>
              <w:jc w:val="left"/>
            </w:pPr>
            <w:r>
              <w:t xml:space="preserve">&lt; 0.001</w:t>
            </w:r>
          </w:p>
        </w:tc>
        <w:tc>
          <w:tcPr/>
          <w:p>
            <w:pPr>
              <w:pStyle w:val="Compact"/>
              <w:jc w:val="right"/>
            </w:pPr>
            <w:r>
              <w:t xml:space="preserve">2.342</w:t>
            </w:r>
          </w:p>
        </w:tc>
        <w:tc>
          <w:tcPr/>
          <w:p>
            <w:pPr>
              <w:pStyle w:val="Compact"/>
              <w:jc w:val="right"/>
            </w:pPr>
            <w:r>
              <w:t xml:space="preserve">1.422</w:t>
            </w:r>
          </w:p>
        </w:tc>
        <w:tc>
          <w:tcPr/>
          <w:p>
            <w:pPr>
              <w:pStyle w:val="Compact"/>
              <w:jc w:val="right"/>
            </w:pPr>
            <w:r>
              <w:t xml:space="preserve">3.858</w:t>
            </w:r>
          </w:p>
        </w:tc>
      </w:tr>
      <w:tr>
        <w:tc>
          <w:tcPr/>
          <w:p>
            <w:pPr>
              <w:pStyle w:val="Compact"/>
              <w:jc w:val="left"/>
            </w:pPr>
            <w:r>
              <w:t xml:space="preserve">caller_fFalk</w:t>
            </w:r>
          </w:p>
        </w:tc>
        <w:tc>
          <w:tcPr/>
          <w:p>
            <w:pPr>
              <w:pStyle w:val="Compact"/>
              <w:jc w:val="right"/>
            </w:pPr>
            <w:r>
              <w:t xml:space="preserve">0.693</w:t>
            </w:r>
          </w:p>
        </w:tc>
        <w:tc>
          <w:tcPr/>
          <w:p>
            <w:pPr>
              <w:pStyle w:val="Compact"/>
              <w:jc w:val="right"/>
            </w:pPr>
            <w:r>
              <w:t xml:space="preserve">0.290</w:t>
            </w:r>
          </w:p>
        </w:tc>
        <w:tc>
          <w:tcPr/>
          <w:p>
            <w:pPr>
              <w:pStyle w:val="Compact"/>
              <w:jc w:val="right"/>
            </w:pPr>
            <w:r>
              <w:t xml:space="preserve">2.394</w:t>
            </w:r>
          </w:p>
        </w:tc>
        <w:tc>
          <w:tcPr/>
          <w:p>
            <w:pPr>
              <w:pStyle w:val="Compact"/>
              <w:jc w:val="right"/>
            </w:pPr>
            <w:r>
              <w:t xml:space="preserve">0.017</w:t>
            </w:r>
          </w:p>
        </w:tc>
        <w:tc>
          <w:tcPr/>
          <w:p>
            <w:pPr>
              <w:pStyle w:val="Compact"/>
              <w:jc w:val="left"/>
            </w:pPr>
            <w:r>
              <w:t xml:space="preserve">0.017</w:t>
            </w:r>
          </w:p>
        </w:tc>
        <w:tc>
          <w:tcPr/>
          <w:p>
            <w:pPr>
              <w:pStyle w:val="Compact"/>
              <w:jc w:val="right"/>
            </w:pPr>
            <w:r>
              <w:t xml:space="preserve">2.000</w:t>
            </w:r>
          </w:p>
        </w:tc>
        <w:tc>
          <w:tcPr/>
          <w:p>
            <w:pPr>
              <w:pStyle w:val="Compact"/>
              <w:jc w:val="right"/>
            </w:pPr>
            <w:r>
              <w:t xml:space="preserve">1.134</w:t>
            </w:r>
          </w:p>
        </w:tc>
        <w:tc>
          <w:tcPr/>
          <w:p>
            <w:pPr>
              <w:pStyle w:val="Compact"/>
              <w:jc w:val="right"/>
            </w:pPr>
            <w:r>
              <w:t xml:space="preserve">3.527</w:t>
            </w:r>
          </w:p>
        </w:tc>
      </w:tr>
      <w:tr>
        <w:tc>
          <w:tcPr/>
          <w:p>
            <w:pPr>
              <w:pStyle w:val="Compact"/>
              <w:jc w:val="left"/>
            </w:pPr>
            <w:r>
              <w:t xml:space="preserve">caller_fGregg</w:t>
            </w:r>
          </w:p>
        </w:tc>
        <w:tc>
          <w:tcPr/>
          <w:p>
            <w:pPr>
              <w:pStyle w:val="Compact"/>
              <w:jc w:val="right"/>
            </w:pPr>
            <w:r>
              <w:t xml:space="preserve">0.640</w:t>
            </w:r>
          </w:p>
        </w:tc>
        <w:tc>
          <w:tcPr/>
          <w:p>
            <w:pPr>
              <w:pStyle w:val="Compact"/>
              <w:jc w:val="right"/>
            </w:pPr>
            <w:r>
              <w:t xml:space="preserve">0.254</w:t>
            </w:r>
          </w:p>
        </w:tc>
        <w:tc>
          <w:tcPr/>
          <w:p>
            <w:pPr>
              <w:pStyle w:val="Compact"/>
              <w:jc w:val="right"/>
            </w:pPr>
            <w:r>
              <w:t xml:space="preserve">2.516</w:t>
            </w:r>
          </w:p>
        </w:tc>
        <w:tc>
          <w:tcPr/>
          <w:p>
            <w:pPr>
              <w:pStyle w:val="Compact"/>
              <w:jc w:val="right"/>
            </w:pPr>
            <w:r>
              <w:t xml:space="preserve">0.012</w:t>
            </w:r>
          </w:p>
        </w:tc>
        <w:tc>
          <w:tcPr/>
          <w:p>
            <w:pPr>
              <w:pStyle w:val="Compact"/>
              <w:jc w:val="left"/>
            </w:pPr>
            <w:r>
              <w:t xml:space="preserve">0.012</w:t>
            </w:r>
          </w:p>
        </w:tc>
        <w:tc>
          <w:tcPr/>
          <w:p>
            <w:pPr>
              <w:pStyle w:val="Compact"/>
              <w:jc w:val="right"/>
            </w:pPr>
            <w:r>
              <w:t xml:space="preserve">1.896</w:t>
            </w:r>
          </w:p>
        </w:tc>
        <w:tc>
          <w:tcPr/>
          <w:p>
            <w:pPr>
              <w:pStyle w:val="Compact"/>
              <w:jc w:val="right"/>
            </w:pPr>
            <w:r>
              <w:t xml:space="preserve">1.152</w:t>
            </w:r>
          </w:p>
        </w:tc>
        <w:tc>
          <w:tcPr/>
          <w:p>
            <w:pPr>
              <w:pStyle w:val="Compact"/>
              <w:jc w:val="right"/>
            </w:pPr>
            <w:r>
              <w:t xml:space="preserve">3.121</w:t>
            </w:r>
          </w:p>
        </w:tc>
      </w:tr>
      <w:tr>
        <w:tc>
          <w:tcPr/>
          <w:p>
            <w:pPr>
              <w:pStyle w:val="Compact"/>
              <w:jc w:val="left"/>
            </w:pPr>
            <w:r>
              <w:t xml:space="preserve">caller_fKim</w:t>
            </w:r>
          </w:p>
        </w:tc>
        <w:tc>
          <w:tcPr/>
          <w:p>
            <w:pPr>
              <w:pStyle w:val="Compact"/>
              <w:jc w:val="right"/>
            </w:pPr>
            <w:r>
              <w:t xml:space="preserve">0.685</w:t>
            </w:r>
          </w:p>
        </w:tc>
        <w:tc>
          <w:tcPr/>
          <w:p>
            <w:pPr>
              <w:pStyle w:val="Compact"/>
              <w:jc w:val="right"/>
            </w:pPr>
            <w:r>
              <w:t xml:space="preserve">0.254</w:t>
            </w:r>
          </w:p>
        </w:tc>
        <w:tc>
          <w:tcPr/>
          <w:p>
            <w:pPr>
              <w:pStyle w:val="Compact"/>
              <w:jc w:val="right"/>
            </w:pPr>
            <w:r>
              <w:t xml:space="preserve">2.691</w:t>
            </w:r>
          </w:p>
        </w:tc>
        <w:tc>
          <w:tcPr/>
          <w:p>
            <w:pPr>
              <w:pStyle w:val="Compact"/>
              <w:jc w:val="right"/>
            </w:pPr>
            <w:r>
              <w:t xml:space="preserve">0.007</w:t>
            </w:r>
          </w:p>
        </w:tc>
        <w:tc>
          <w:tcPr/>
          <w:p>
            <w:pPr>
              <w:pStyle w:val="Compact"/>
              <w:jc w:val="left"/>
            </w:pPr>
            <w:r>
              <w:t xml:space="preserve">0.007</w:t>
            </w:r>
          </w:p>
        </w:tc>
        <w:tc>
          <w:tcPr/>
          <w:p>
            <w:pPr>
              <w:pStyle w:val="Compact"/>
              <w:jc w:val="right"/>
            </w:pPr>
            <w:r>
              <w:t xml:space="preserve">1.983</w:t>
            </w:r>
          </w:p>
        </w:tc>
        <w:tc>
          <w:tcPr/>
          <w:p>
            <w:pPr>
              <w:pStyle w:val="Compact"/>
              <w:jc w:val="right"/>
            </w:pPr>
            <w:r>
              <w:t xml:space="preserve">1.205</w:t>
            </w:r>
          </w:p>
        </w:tc>
        <w:tc>
          <w:tcPr/>
          <w:p>
            <w:pPr>
              <w:pStyle w:val="Compact"/>
              <w:jc w:val="right"/>
            </w:pPr>
            <w:r>
              <w:t xml:space="preserve">3.266</w:t>
            </w:r>
          </w:p>
        </w:tc>
      </w:tr>
      <w:tr>
        <w:tc>
          <w:tcPr/>
          <w:p>
            <w:pPr>
              <w:pStyle w:val="Compact"/>
              <w:jc w:val="left"/>
            </w:pPr>
            <w:r>
              <w:t xml:space="preserve">caller_fOther</w:t>
            </w:r>
          </w:p>
        </w:tc>
        <w:tc>
          <w:tcPr/>
          <w:p>
            <w:pPr>
              <w:pStyle w:val="Compact"/>
              <w:jc w:val="right"/>
            </w:pPr>
            <w:r>
              <w:t xml:space="preserve">-0.694</w:t>
            </w:r>
          </w:p>
        </w:tc>
        <w:tc>
          <w:tcPr/>
          <w:p>
            <w:pPr>
              <w:pStyle w:val="Compact"/>
              <w:jc w:val="right"/>
            </w:pPr>
            <w:r>
              <w:t xml:space="preserve">0.634</w:t>
            </w:r>
          </w:p>
        </w:tc>
        <w:tc>
          <w:tcPr/>
          <w:p>
            <w:pPr>
              <w:pStyle w:val="Compact"/>
              <w:jc w:val="right"/>
            </w:pPr>
            <w:r>
              <w:t xml:space="preserve">-1.095</w:t>
            </w:r>
          </w:p>
        </w:tc>
        <w:tc>
          <w:tcPr/>
          <w:p>
            <w:pPr>
              <w:pStyle w:val="Compact"/>
              <w:jc w:val="right"/>
            </w:pPr>
            <w:r>
              <w:t xml:space="preserve">0.274</w:t>
            </w:r>
          </w:p>
        </w:tc>
        <w:tc>
          <w:tcPr/>
          <w:p>
            <w:pPr>
              <w:pStyle w:val="Compact"/>
              <w:jc w:val="left"/>
            </w:pPr>
            <w:r>
              <w:t xml:space="preserve">0.274</w:t>
            </w:r>
          </w:p>
        </w:tc>
        <w:tc>
          <w:tcPr/>
          <w:p>
            <w:pPr>
              <w:pStyle w:val="Compact"/>
              <w:jc w:val="right"/>
            </w:pPr>
            <w:r>
              <w:t xml:space="preserve">0.499</w:t>
            </w:r>
          </w:p>
        </w:tc>
        <w:tc>
          <w:tcPr/>
          <w:p>
            <w:pPr>
              <w:pStyle w:val="Compact"/>
              <w:jc w:val="right"/>
            </w:pPr>
            <w:r>
              <w:t xml:space="preserve">0.144</w:t>
            </w:r>
          </w:p>
        </w:tc>
        <w:tc>
          <w:tcPr/>
          <w:p>
            <w:pPr>
              <w:pStyle w:val="Compact"/>
              <w:jc w:val="right"/>
            </w:pPr>
            <w:r>
              <w:t xml:space="preserve">1.732</w:t>
            </w:r>
          </w:p>
        </w:tc>
      </w:tr>
      <w:tr>
        <w:tc>
          <w:tcPr/>
          <w:p>
            <w:pPr>
              <w:pStyle w:val="Compact"/>
              <w:jc w:val="left"/>
            </w:pPr>
            <w:r>
              <w:t xml:space="preserve">caller_fWalsh</w:t>
            </w:r>
          </w:p>
        </w:tc>
        <w:tc>
          <w:tcPr/>
          <w:p>
            <w:pPr>
              <w:pStyle w:val="Compact"/>
              <w:jc w:val="right"/>
            </w:pPr>
            <w:r>
              <w:t xml:space="preserve">0.809</w:t>
            </w:r>
          </w:p>
        </w:tc>
        <w:tc>
          <w:tcPr/>
          <w:p>
            <w:pPr>
              <w:pStyle w:val="Compact"/>
              <w:jc w:val="right"/>
            </w:pPr>
            <w:r>
              <w:t xml:space="preserve">0.250</w:t>
            </w:r>
          </w:p>
        </w:tc>
        <w:tc>
          <w:tcPr/>
          <w:p>
            <w:pPr>
              <w:pStyle w:val="Compact"/>
              <w:jc w:val="right"/>
            </w:pPr>
            <w:r>
              <w:t xml:space="preserve">3.235</w:t>
            </w:r>
          </w:p>
        </w:tc>
        <w:tc>
          <w:tcPr/>
          <w:p>
            <w:pPr>
              <w:pStyle w:val="Compact"/>
              <w:jc w:val="right"/>
            </w:pPr>
            <w:r>
              <w:t xml:space="preserve">0.001</w:t>
            </w:r>
          </w:p>
        </w:tc>
        <w:tc>
          <w:tcPr/>
          <w:p>
            <w:pPr>
              <w:pStyle w:val="Compact"/>
              <w:jc w:val="left"/>
            </w:pPr>
            <w:r>
              <w:t xml:space="preserve">0.001</w:t>
            </w:r>
          </w:p>
        </w:tc>
        <w:tc>
          <w:tcPr/>
          <w:p>
            <w:pPr>
              <w:pStyle w:val="Compact"/>
              <w:jc w:val="right"/>
            </w:pPr>
            <w:r>
              <w:t xml:space="preserve">2.247</w:t>
            </w:r>
          </w:p>
        </w:tc>
        <w:tc>
          <w:tcPr/>
          <w:p>
            <w:pPr>
              <w:pStyle w:val="Compact"/>
              <w:jc w:val="right"/>
            </w:pPr>
            <w:r>
              <w:t xml:space="preserve">1.376</w:t>
            </w:r>
          </w:p>
        </w:tc>
        <w:tc>
          <w:tcPr/>
          <w:p>
            <w:pPr>
              <w:pStyle w:val="Compact"/>
              <w:jc w:val="right"/>
            </w:pPr>
            <w:r>
              <w:t xml:space="preserve">3.669</w:t>
            </w:r>
          </w:p>
        </w:tc>
      </w:tr>
    </w:tbl>
    <w:p/>
    <w:p>
      <w:pPr>
        <w:pStyle w:val="TableCaption"/>
      </w:pPr>
      <w:r>
        <w:t xml:space="preserve">Table S2. Full timeliness model (all rate ratios).</w:t>
      </w:r>
    </w:p>
    <w:tbl>
      <w:tblPr>
        <w:tblStyle w:val="Table"/>
        <w:tblW w:type="auto" w:w="0"/>
        <w:tblLook w:firstRow="1" w:lastRow="0" w:firstColumn="0" w:lastColumn="0" w:noHBand="0" w:noVBand="0" w:val="0020"/>
        <w:tblCaption w:val="Table S2. Full timeliness model (all rate ratios)."/>
      </w:tblPr>
      <w:tblGrid>
        <w:gridCol w:w="2640"/>
        <w:gridCol w:w="2640"/>
        <w:gridCol w:w="2640"/>
      </w:tblGrid>
      <w:tr>
        <w:trPr>
          <w:tblHeader w:val="on"/>
        </w:trPr>
        <w:tc>
          <w:tcPr/>
          <w:p>
            <w:pPr>
              <w:pStyle w:val="Compact"/>
              <w:jc w:val="left"/>
            </w:pPr>
            <w:r>
              <w:t xml:space="preserve">Term</w:t>
            </w:r>
          </w:p>
        </w:tc>
        <w:tc>
          <w:tcPr/>
          <w:p>
            <w:pPr>
              <w:pStyle w:val="Compact"/>
              <w:jc w:val="left"/>
            </w:pPr>
            <w:r>
              <w:t xml:space="preserve">IRR (95% CI)</w:t>
            </w:r>
          </w:p>
        </w:tc>
        <w:tc>
          <w:tcPr/>
          <w:p>
            <w:pPr>
              <w:pStyle w:val="Compact"/>
              <w:jc w:val="right"/>
            </w:pPr>
            <w:r>
              <w:t xml:space="preserve">p-value</w:t>
            </w:r>
          </w:p>
        </w:tc>
      </w:tr>
      <w:tr>
        <w:tc>
          <w:tcPr/>
          <w:p>
            <w:pPr>
              <w:pStyle w:val="Compact"/>
              <w:jc w:val="left"/>
            </w:pPr>
            <w:r>
              <w:t xml:space="preserve">ent_typeFacial Plastics</w:t>
            </w:r>
          </w:p>
        </w:tc>
        <w:tc>
          <w:tcPr/>
          <w:p>
            <w:pPr>
              <w:pStyle w:val="Compact"/>
              <w:jc w:val="left"/>
            </w:pPr>
            <w:r>
              <w:t xml:space="preserve">1.04 (0.72-1.50)</w:t>
            </w:r>
          </w:p>
        </w:tc>
        <w:tc>
          <w:tcPr/>
          <w:p>
            <w:pPr>
              <w:pStyle w:val="Compact"/>
              <w:jc w:val="right"/>
            </w:pPr>
            <w:r>
              <w:t xml:space="preserve">0.852</w:t>
            </w:r>
          </w:p>
        </w:tc>
      </w:tr>
      <w:tr>
        <w:tc>
          <w:tcPr/>
          <w:p>
            <w:pPr>
              <w:pStyle w:val="Compact"/>
              <w:jc w:val="left"/>
            </w:pPr>
            <w:r>
              <w:t xml:space="preserve">ent_typeHead and Neck Cancer</w:t>
            </w:r>
          </w:p>
        </w:tc>
        <w:tc>
          <w:tcPr/>
          <w:p>
            <w:pPr>
              <w:pStyle w:val="Compact"/>
              <w:jc w:val="left"/>
            </w:pPr>
            <w:r>
              <w:t xml:space="preserve">1.26 (0.72-2.23)</w:t>
            </w:r>
          </w:p>
        </w:tc>
        <w:tc>
          <w:tcPr/>
          <w:p>
            <w:pPr>
              <w:pStyle w:val="Compact"/>
              <w:jc w:val="right"/>
            </w:pPr>
            <w:r>
              <w:t xml:space="preserve">0.421</w:t>
            </w:r>
          </w:p>
        </w:tc>
      </w:tr>
      <w:tr>
        <w:tc>
          <w:tcPr/>
          <w:p>
            <w:pPr>
              <w:pStyle w:val="Compact"/>
              <w:jc w:val="left"/>
            </w:pPr>
            <w:r>
              <w:t xml:space="preserve">ent_typeLaryngology</w:t>
            </w:r>
          </w:p>
        </w:tc>
        <w:tc>
          <w:tcPr/>
          <w:p>
            <w:pPr>
              <w:pStyle w:val="Compact"/>
              <w:jc w:val="left"/>
            </w:pPr>
            <w:r>
              <w:t xml:space="preserve">2.25 (1.13-4.46)</w:t>
            </w:r>
          </w:p>
        </w:tc>
        <w:tc>
          <w:tcPr/>
          <w:p>
            <w:pPr>
              <w:pStyle w:val="Compact"/>
              <w:jc w:val="right"/>
            </w:pPr>
            <w:r>
              <w:t xml:space="preserve">0.020</w:t>
            </w:r>
          </w:p>
        </w:tc>
      </w:tr>
      <w:tr>
        <w:tc>
          <w:tcPr/>
          <w:p>
            <w:pPr>
              <w:pStyle w:val="Compact"/>
              <w:jc w:val="left"/>
            </w:pPr>
            <w:r>
              <w:t xml:space="preserve">ent_typeOtology/neurotology</w:t>
            </w:r>
          </w:p>
        </w:tc>
        <w:tc>
          <w:tcPr/>
          <w:p>
            <w:pPr>
              <w:pStyle w:val="Compact"/>
              <w:jc w:val="left"/>
            </w:pPr>
            <w:r>
              <w:t xml:space="preserve">1.21 (0.64-2.26)</w:t>
            </w:r>
          </w:p>
        </w:tc>
        <w:tc>
          <w:tcPr/>
          <w:p>
            <w:pPr>
              <w:pStyle w:val="Compact"/>
              <w:jc w:val="right"/>
            </w:pPr>
            <w:r>
              <w:t xml:space="preserve">0.557</w:t>
            </w:r>
          </w:p>
        </w:tc>
      </w:tr>
      <w:tr>
        <w:tc>
          <w:tcPr/>
          <w:p>
            <w:pPr>
              <w:pStyle w:val="Compact"/>
              <w:jc w:val="left"/>
            </w:pPr>
            <w:r>
              <w:t xml:space="preserve">ent_typePediatrics</w:t>
            </w:r>
          </w:p>
        </w:tc>
        <w:tc>
          <w:tcPr/>
          <w:p>
            <w:pPr>
              <w:pStyle w:val="Compact"/>
              <w:jc w:val="left"/>
            </w:pPr>
            <w:r>
              <w:t xml:space="preserve">1.54 (1.04-2.28)</w:t>
            </w:r>
          </w:p>
        </w:tc>
        <w:tc>
          <w:tcPr/>
          <w:p>
            <w:pPr>
              <w:pStyle w:val="Compact"/>
              <w:jc w:val="right"/>
            </w:pPr>
            <w:r>
              <w:t xml:space="preserve">0.031</w:t>
            </w:r>
          </w:p>
        </w:tc>
      </w:tr>
      <w:tr>
        <w:tc>
          <w:tcPr/>
          <w:p>
            <w:pPr>
              <w:pStyle w:val="Compact"/>
              <w:jc w:val="left"/>
            </w:pPr>
            <w:r>
              <w:t xml:space="preserve">ent_typeRhinology</w:t>
            </w:r>
          </w:p>
        </w:tc>
        <w:tc>
          <w:tcPr/>
          <w:p>
            <w:pPr>
              <w:pStyle w:val="Compact"/>
              <w:jc w:val="left"/>
            </w:pPr>
            <w:r>
              <w:t xml:space="preserve">1.55 (0.89-2.68)</w:t>
            </w:r>
          </w:p>
        </w:tc>
        <w:tc>
          <w:tcPr/>
          <w:p>
            <w:pPr>
              <w:pStyle w:val="Compact"/>
              <w:jc w:val="right"/>
            </w:pPr>
            <w:r>
              <w:t xml:space="preserve">0.121</w:t>
            </w:r>
          </w:p>
        </w:tc>
      </w:tr>
      <w:tr>
        <w:tc>
          <w:tcPr/>
          <w:p>
            <w:pPr>
              <w:pStyle w:val="Compact"/>
              <w:jc w:val="left"/>
            </w:pPr>
            <w:r>
              <w:t xml:space="preserve">ent_typeSleep</w:t>
            </w:r>
          </w:p>
        </w:tc>
        <w:tc>
          <w:tcPr/>
          <w:p>
            <w:pPr>
              <w:pStyle w:val="Compact"/>
              <w:jc w:val="left"/>
            </w:pPr>
            <w:r>
              <w:t xml:space="preserve">1.17 (0.61-2.24)</w:t>
            </w:r>
          </w:p>
        </w:tc>
        <w:tc>
          <w:tcPr/>
          <w:p>
            <w:pPr>
              <w:pStyle w:val="Compact"/>
              <w:jc w:val="right"/>
            </w:pPr>
            <w:r>
              <w:t xml:space="preserve">0.646</w:t>
            </w:r>
          </w:p>
        </w:tc>
      </w:tr>
      <w:tr>
        <w:tc>
          <w:tcPr/>
          <w:p>
            <w:pPr>
              <w:pStyle w:val="Compact"/>
              <w:jc w:val="left"/>
            </w:pPr>
            <w:r>
              <w:t xml:space="preserve">ent_per_100k_z</w:t>
            </w:r>
          </w:p>
        </w:tc>
        <w:tc>
          <w:tcPr/>
          <w:p>
            <w:pPr>
              <w:pStyle w:val="Compact"/>
              <w:jc w:val="left"/>
            </w:pPr>
            <w:r>
              <w:t xml:space="preserve">0.95 (0.81-1.11)</w:t>
            </w:r>
          </w:p>
        </w:tc>
        <w:tc>
          <w:tcPr/>
          <w:p>
            <w:pPr>
              <w:pStyle w:val="Compact"/>
              <w:jc w:val="right"/>
            </w:pPr>
            <w:r>
              <w:t xml:space="preserve">0.499</w:t>
            </w:r>
          </w:p>
        </w:tc>
      </w:tr>
      <w:tr>
        <w:tc>
          <w:tcPr/>
          <w:p>
            <w:pPr>
              <w:pStyle w:val="Compact"/>
              <w:jc w:val="left"/>
            </w:pPr>
            <w:r>
              <w:t xml:space="preserve">medicaid_fee_index_z</w:t>
            </w:r>
          </w:p>
        </w:tc>
        <w:tc>
          <w:tcPr/>
          <w:p>
            <w:pPr>
              <w:pStyle w:val="Compact"/>
              <w:jc w:val="left"/>
            </w:pPr>
            <w:r>
              <w:t xml:space="preserve">0.96 (0.84-1.10)</w:t>
            </w:r>
          </w:p>
        </w:tc>
        <w:tc>
          <w:tcPr/>
          <w:p>
            <w:pPr>
              <w:pStyle w:val="Compact"/>
              <w:jc w:val="right"/>
            </w:pPr>
            <w:r>
              <w:t xml:space="preserve">0.545</w:t>
            </w:r>
          </w:p>
        </w:tc>
      </w:tr>
      <w:tr>
        <w:tc>
          <w:tcPr/>
          <w:p>
            <w:pPr>
              <w:pStyle w:val="Compact"/>
              <w:jc w:val="left"/>
            </w:pPr>
            <w:r>
              <w:t xml:space="preserve">svi_overall_z</w:t>
            </w:r>
          </w:p>
        </w:tc>
        <w:tc>
          <w:tcPr/>
          <w:p>
            <w:pPr>
              <w:pStyle w:val="Compact"/>
              <w:jc w:val="left"/>
            </w:pPr>
            <w:r>
              <w:t xml:space="preserve">0.95 (0.84-1.07)</w:t>
            </w:r>
          </w:p>
        </w:tc>
        <w:tc>
          <w:tcPr/>
          <w:p>
            <w:pPr>
              <w:pStyle w:val="Compact"/>
              <w:jc w:val="right"/>
            </w:pPr>
            <w:r>
              <w:t xml:space="preserve">0.423</w:t>
            </w:r>
          </w:p>
        </w:tc>
      </w:tr>
      <w:tr>
        <w:tc>
          <w:tcPr/>
          <w:p>
            <w:pPr>
              <w:pStyle w:val="Compact"/>
              <w:jc w:val="left"/>
            </w:pPr>
            <w:r>
              <w:t xml:space="preserve">dual_pct_z</w:t>
            </w:r>
          </w:p>
        </w:tc>
        <w:tc>
          <w:tcPr/>
          <w:p>
            <w:pPr>
              <w:pStyle w:val="Compact"/>
              <w:jc w:val="left"/>
            </w:pPr>
            <w:r>
              <w:t xml:space="preserve">0.98 (0.86-1.12)</w:t>
            </w:r>
          </w:p>
        </w:tc>
        <w:tc>
          <w:tcPr/>
          <w:p>
            <w:pPr>
              <w:pStyle w:val="Compact"/>
              <w:jc w:val="right"/>
            </w:pPr>
            <w:r>
              <w:t xml:space="preserve">0.801</w:t>
            </w:r>
          </w:p>
        </w:tc>
      </w:tr>
      <w:tr>
        <w:tc>
          <w:tcPr/>
          <w:p>
            <w:pPr>
              <w:pStyle w:val="Compact"/>
              <w:jc w:val="left"/>
            </w:pPr>
            <w:r>
              <w:t xml:space="preserve">ruralRural</w:t>
            </w:r>
          </w:p>
        </w:tc>
        <w:tc>
          <w:tcPr/>
          <w:p>
            <w:pPr>
              <w:pStyle w:val="Compact"/>
              <w:jc w:val="left"/>
            </w:pPr>
            <w:r>
              <w:t xml:space="preserve">1.14 (0.72-1.81)</w:t>
            </w:r>
          </w:p>
        </w:tc>
        <w:tc>
          <w:tcPr/>
          <w:p>
            <w:pPr>
              <w:pStyle w:val="Compact"/>
              <w:jc w:val="right"/>
            </w:pPr>
            <w:r>
              <w:t xml:space="preserve">0.579</w:t>
            </w:r>
          </w:p>
        </w:tc>
      </w:tr>
      <w:tr>
        <w:tc>
          <w:tcPr/>
          <w:p>
            <w:pPr>
              <w:pStyle w:val="Compact"/>
              <w:jc w:val="left"/>
            </w:pPr>
            <w:r>
              <w:t xml:space="preserve">ruralSuburban</w:t>
            </w:r>
          </w:p>
        </w:tc>
        <w:tc>
          <w:tcPr/>
          <w:p>
            <w:pPr>
              <w:pStyle w:val="Compact"/>
              <w:jc w:val="left"/>
            </w:pPr>
            <w:r>
              <w:t xml:space="preserve">1.08 (0.81-1.42)</w:t>
            </w:r>
          </w:p>
        </w:tc>
        <w:tc>
          <w:tcPr/>
          <w:p>
            <w:pPr>
              <w:pStyle w:val="Compact"/>
              <w:jc w:val="right"/>
            </w:pPr>
            <w:r>
              <w:t xml:space="preserve">0.606</w:t>
            </w:r>
          </w:p>
        </w:tc>
      </w:tr>
      <w:tr>
        <w:tc>
          <w:tcPr/>
          <w:p>
            <w:pPr>
              <w:pStyle w:val="Compact"/>
              <w:jc w:val="left"/>
            </w:pPr>
            <w:r>
              <w:t xml:space="preserve">caller_fDeol</w:t>
            </w:r>
          </w:p>
        </w:tc>
        <w:tc>
          <w:tcPr/>
          <w:p>
            <w:pPr>
              <w:pStyle w:val="Compact"/>
              <w:jc w:val="left"/>
            </w:pPr>
            <w:r>
              <w:t xml:space="preserve">0.82 (0.59-1.14)</w:t>
            </w:r>
          </w:p>
        </w:tc>
        <w:tc>
          <w:tcPr/>
          <w:p>
            <w:pPr>
              <w:pStyle w:val="Compact"/>
              <w:jc w:val="right"/>
            </w:pPr>
            <w:r>
              <w:t xml:space="preserve">0.235</w:t>
            </w:r>
          </w:p>
        </w:tc>
      </w:tr>
      <w:tr>
        <w:tc>
          <w:tcPr/>
          <w:p>
            <w:pPr>
              <w:pStyle w:val="Compact"/>
              <w:jc w:val="left"/>
            </w:pPr>
            <w:r>
              <w:t xml:space="preserve">caller_fFalk</w:t>
            </w:r>
          </w:p>
        </w:tc>
        <w:tc>
          <w:tcPr/>
          <w:p>
            <w:pPr>
              <w:pStyle w:val="Compact"/>
              <w:jc w:val="left"/>
            </w:pPr>
            <w:r>
              <w:t xml:space="preserve">0.61 (0.41-0.91)</w:t>
            </w:r>
          </w:p>
        </w:tc>
        <w:tc>
          <w:tcPr/>
          <w:p>
            <w:pPr>
              <w:pStyle w:val="Compact"/>
              <w:jc w:val="right"/>
            </w:pPr>
            <w:r>
              <w:t xml:space="preserve">0.015</w:t>
            </w:r>
          </w:p>
        </w:tc>
      </w:tr>
      <w:tr>
        <w:tc>
          <w:tcPr/>
          <w:p>
            <w:pPr>
              <w:pStyle w:val="Compact"/>
              <w:jc w:val="left"/>
            </w:pPr>
            <w:r>
              <w:t xml:space="preserve">caller_fGregg</w:t>
            </w:r>
          </w:p>
        </w:tc>
        <w:tc>
          <w:tcPr/>
          <w:p>
            <w:pPr>
              <w:pStyle w:val="Compact"/>
              <w:jc w:val="left"/>
            </w:pPr>
            <w:r>
              <w:t xml:space="preserve">1.00 (0.71-1.40)</w:t>
            </w:r>
          </w:p>
        </w:tc>
        <w:tc>
          <w:tcPr/>
          <w:p>
            <w:pPr>
              <w:pStyle w:val="Compact"/>
              <w:jc w:val="right"/>
            </w:pPr>
            <w:r>
              <w:t xml:space="preserve">0.978</w:t>
            </w:r>
          </w:p>
        </w:tc>
      </w:tr>
      <w:tr>
        <w:tc>
          <w:tcPr/>
          <w:p>
            <w:pPr>
              <w:pStyle w:val="Compact"/>
              <w:jc w:val="left"/>
            </w:pPr>
            <w:r>
              <w:t xml:space="preserve">caller_fKim</w:t>
            </w:r>
          </w:p>
        </w:tc>
        <w:tc>
          <w:tcPr/>
          <w:p>
            <w:pPr>
              <w:pStyle w:val="Compact"/>
              <w:jc w:val="left"/>
            </w:pPr>
            <w:r>
              <w:t xml:space="preserve">1.00 (0.71-1.42)</w:t>
            </w:r>
          </w:p>
        </w:tc>
        <w:tc>
          <w:tcPr/>
          <w:p>
            <w:pPr>
              <w:pStyle w:val="Compact"/>
              <w:jc w:val="right"/>
            </w:pPr>
            <w:r>
              <w:t xml:space="preserve">0.999</w:t>
            </w:r>
          </w:p>
        </w:tc>
      </w:tr>
      <w:tr>
        <w:tc>
          <w:tcPr/>
          <w:p>
            <w:pPr>
              <w:pStyle w:val="Compact"/>
              <w:jc w:val="left"/>
            </w:pPr>
            <w:r>
              <w:t xml:space="preserve">caller_fOther</w:t>
            </w:r>
          </w:p>
        </w:tc>
        <w:tc>
          <w:tcPr/>
          <w:p>
            <w:pPr>
              <w:pStyle w:val="Compact"/>
              <w:jc w:val="left"/>
            </w:pPr>
            <w:r>
              <w:t xml:space="preserve">0.73 (0.26-2.10)</w:t>
            </w:r>
          </w:p>
        </w:tc>
        <w:tc>
          <w:tcPr/>
          <w:p>
            <w:pPr>
              <w:pStyle w:val="Compact"/>
              <w:jc w:val="right"/>
            </w:pPr>
            <w:r>
              <w:t xml:space="preserve">0.565</w:t>
            </w:r>
          </w:p>
        </w:tc>
      </w:tr>
      <w:tr>
        <w:tc>
          <w:tcPr/>
          <w:p>
            <w:pPr>
              <w:pStyle w:val="Compact"/>
              <w:jc w:val="left"/>
            </w:pPr>
            <w:r>
              <w:t xml:space="preserve">caller_fWalsh</w:t>
            </w:r>
          </w:p>
        </w:tc>
        <w:tc>
          <w:tcPr/>
          <w:p>
            <w:pPr>
              <w:pStyle w:val="Compact"/>
              <w:jc w:val="left"/>
            </w:pPr>
            <w:r>
              <w:t xml:space="preserve">0.86 (0.62-1.20)</w:t>
            </w:r>
          </w:p>
        </w:tc>
        <w:tc>
          <w:tcPr/>
          <w:p>
            <w:pPr>
              <w:pStyle w:val="Compact"/>
              <w:jc w:val="right"/>
            </w:pPr>
            <w:r>
              <w:t xml:space="preserve">0.379</w:t>
            </w:r>
          </w:p>
        </w:tc>
      </w:tr>
    </w:tbl>
    <w:p/>
    <w:p>
      <w:pPr>
        <w:pStyle w:val="TableCaption"/>
      </w:pPr>
      <w:r>
        <w:t xml:space="preserve">Table S3. Business-day wait by subspecialty.</w:t>
      </w:r>
    </w:p>
    <w:tbl>
      <w:tblPr>
        <w:tblStyle w:val="Table"/>
        <w:tblW w:type="auto" w:w="0"/>
        <w:tblLook w:firstRow="1" w:lastRow="0" w:firstColumn="0" w:lastColumn="0" w:noHBand="0" w:noVBand="0" w:val="0020"/>
        <w:tblCaption w:val="Table S3. Business-day wait by subspecialty."/>
      </w:tblPr>
      <w:tblGrid>
        <w:gridCol w:w="1584"/>
        <w:gridCol w:w="1584"/>
        <w:gridCol w:w="1584"/>
        <w:gridCol w:w="1584"/>
        <w:gridCol w:w="1584"/>
      </w:tblGrid>
      <w:tr>
        <w:trPr>
          <w:tblHeader w:val="on"/>
        </w:trPr>
        <w:tc>
          <w:tcPr/>
          <w:p>
            <w:pPr>
              <w:pStyle w:val="Compact"/>
              <w:jc w:val="left"/>
            </w:pPr>
            <w:r>
              <w:t xml:space="preserve">ent_type</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General</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26</w:t>
            </w:r>
          </w:p>
        </w:tc>
        <w:tc>
          <w:tcPr/>
          <w:p>
            <w:pPr>
              <w:pStyle w:val="Compact"/>
              <w:jc w:val="right"/>
            </w:pPr>
            <w:r>
              <w:t xml:space="preserve">290</w:t>
            </w:r>
          </w:p>
        </w:tc>
      </w:tr>
      <w:tr>
        <w:tc>
          <w:tcPr/>
          <w:p>
            <w:pPr>
              <w:pStyle w:val="Compact"/>
              <w:jc w:val="left"/>
            </w:pPr>
            <w:r>
              <w:t xml:space="preserve">Facial Plastics</w:t>
            </w:r>
          </w:p>
        </w:tc>
        <w:tc>
          <w:tcPr/>
          <w:p>
            <w:pPr>
              <w:pStyle w:val="Compact"/>
              <w:jc w:val="right"/>
            </w:pPr>
            <w:r>
              <w:t xml:space="preserve">11.5</w:t>
            </w:r>
          </w:p>
        </w:tc>
        <w:tc>
          <w:tcPr/>
          <w:p>
            <w:pPr>
              <w:pStyle w:val="Compact"/>
              <w:jc w:val="right"/>
            </w:pPr>
            <w:r>
              <w:t xml:space="preserve">5</w:t>
            </w:r>
          </w:p>
        </w:tc>
        <w:tc>
          <w:tcPr/>
          <w:p>
            <w:pPr>
              <w:pStyle w:val="Compact"/>
              <w:jc w:val="right"/>
            </w:pPr>
            <w:r>
              <w:t xml:space="preserve">22</w:t>
            </w:r>
          </w:p>
        </w:tc>
        <w:tc>
          <w:tcPr/>
          <w:p>
            <w:pPr>
              <w:pStyle w:val="Compact"/>
              <w:jc w:val="right"/>
            </w:pPr>
            <w:r>
              <w:t xml:space="preserve">44</w:t>
            </w:r>
          </w:p>
        </w:tc>
      </w:tr>
      <w:tr>
        <w:tc>
          <w:tcPr/>
          <w:p>
            <w:pPr>
              <w:pStyle w:val="Compact"/>
              <w:jc w:val="left"/>
            </w:pPr>
            <w:r>
              <w:t xml:space="preserve">Head and Neck Cancer</w:t>
            </w:r>
          </w:p>
        </w:tc>
        <w:tc>
          <w:tcPr/>
          <w:p>
            <w:pPr>
              <w:pStyle w:val="Compact"/>
              <w:jc w:val="right"/>
            </w:pPr>
            <w:r>
              <w:t xml:space="preserve">11.0</w:t>
            </w:r>
          </w:p>
        </w:tc>
        <w:tc>
          <w:tcPr/>
          <w:p>
            <w:pPr>
              <w:pStyle w:val="Compact"/>
              <w:jc w:val="right"/>
            </w:pPr>
            <w:r>
              <w:t xml:space="preserve">6</w:t>
            </w:r>
          </w:p>
        </w:tc>
        <w:tc>
          <w:tcPr/>
          <w:p>
            <w:pPr>
              <w:pStyle w:val="Compact"/>
              <w:jc w:val="right"/>
            </w:pPr>
            <w:r>
              <w:t xml:space="preserve">22</w:t>
            </w:r>
          </w:p>
        </w:tc>
        <w:tc>
          <w:tcPr/>
          <w:p>
            <w:pPr>
              <w:pStyle w:val="Compact"/>
              <w:jc w:val="right"/>
            </w:pPr>
            <w:r>
              <w:t xml:space="preserve">15</w:t>
            </w:r>
          </w:p>
        </w:tc>
      </w:tr>
      <w:tr>
        <w:tc>
          <w:tcPr/>
          <w:p>
            <w:pPr>
              <w:pStyle w:val="Compact"/>
              <w:jc w:val="left"/>
            </w:pPr>
            <w:r>
              <w:t xml:space="preserve">Laryngology</w:t>
            </w:r>
          </w:p>
        </w:tc>
        <w:tc>
          <w:tcPr/>
          <w:p>
            <w:pPr>
              <w:pStyle w:val="Compact"/>
              <w:jc w:val="right"/>
            </w:pPr>
            <w:r>
              <w:t xml:space="preserve">32.0</w:t>
            </w:r>
          </w:p>
        </w:tc>
        <w:tc>
          <w:tcPr/>
          <w:p>
            <w:pPr>
              <w:pStyle w:val="Compact"/>
              <w:jc w:val="right"/>
            </w:pPr>
            <w:r>
              <w:t xml:space="preserve">13</w:t>
            </w:r>
          </w:p>
        </w:tc>
        <w:tc>
          <w:tcPr/>
          <w:p>
            <w:pPr>
              <w:pStyle w:val="Compact"/>
              <w:jc w:val="right"/>
            </w:pPr>
            <w:r>
              <w:t xml:space="preserve">41</w:t>
            </w:r>
          </w:p>
        </w:tc>
        <w:tc>
          <w:tcPr/>
          <w:p>
            <w:pPr>
              <w:pStyle w:val="Compact"/>
              <w:jc w:val="right"/>
            </w:pPr>
            <w:r>
              <w:t xml:space="preserve">9</w:t>
            </w:r>
          </w:p>
        </w:tc>
      </w:tr>
      <w:tr>
        <w:tc>
          <w:tcPr/>
          <w:p>
            <w:pPr>
              <w:pStyle w:val="Compact"/>
              <w:jc w:val="left"/>
            </w:pPr>
            <w:r>
              <w:t xml:space="preserve">Otology/neurotology</w:t>
            </w:r>
          </w:p>
        </w:tc>
        <w:tc>
          <w:tcPr/>
          <w:p>
            <w:pPr>
              <w:pStyle w:val="Compact"/>
              <w:jc w:val="right"/>
            </w:pPr>
            <w:r>
              <w:t xml:space="preserve">22.0</w:t>
            </w:r>
          </w:p>
        </w:tc>
        <w:tc>
          <w:tcPr/>
          <w:p>
            <w:pPr>
              <w:pStyle w:val="Compact"/>
              <w:jc w:val="right"/>
            </w:pPr>
            <w:r>
              <w:t xml:space="preserve">5</w:t>
            </w:r>
          </w:p>
        </w:tc>
        <w:tc>
          <w:tcPr/>
          <w:p>
            <w:pPr>
              <w:pStyle w:val="Compact"/>
              <w:jc w:val="right"/>
            </w:pPr>
            <w:r>
              <w:t xml:space="preserve">42</w:t>
            </w:r>
          </w:p>
        </w:tc>
        <w:tc>
          <w:tcPr/>
          <w:p>
            <w:pPr>
              <w:pStyle w:val="Compact"/>
              <w:jc w:val="right"/>
            </w:pPr>
            <w:r>
              <w:t xml:space="preserve">13</w:t>
            </w:r>
          </w:p>
        </w:tc>
      </w:tr>
      <w:tr>
        <w:tc>
          <w:tcPr/>
          <w:p>
            <w:pPr>
              <w:pStyle w:val="Compact"/>
              <w:jc w:val="left"/>
            </w:pPr>
            <w:r>
              <w:t xml:space="preserve">Pediatrics</w:t>
            </w:r>
          </w:p>
        </w:tc>
        <w:tc>
          <w:tcPr/>
          <w:p>
            <w:pPr>
              <w:pStyle w:val="Compact"/>
              <w:jc w:val="right"/>
            </w:pPr>
            <w:r>
              <w:t xml:space="preserve">25.5</w:t>
            </w:r>
          </w:p>
        </w:tc>
        <w:tc>
          <w:tcPr/>
          <w:p>
            <w:pPr>
              <w:pStyle w:val="Compact"/>
              <w:jc w:val="right"/>
            </w:pPr>
            <w:r>
              <w:t xml:space="preserve">7</w:t>
            </w:r>
          </w:p>
        </w:tc>
        <w:tc>
          <w:tcPr/>
          <w:p>
            <w:pPr>
              <w:pStyle w:val="Compact"/>
              <w:jc w:val="right"/>
            </w:pPr>
            <w:r>
              <w:t xml:space="preserve">46</w:t>
            </w:r>
          </w:p>
        </w:tc>
        <w:tc>
          <w:tcPr/>
          <w:p>
            <w:pPr>
              <w:pStyle w:val="Compact"/>
              <w:jc w:val="right"/>
            </w:pPr>
            <w:r>
              <w:t xml:space="preserve">34</w:t>
            </w:r>
          </w:p>
        </w:tc>
      </w:tr>
      <w:tr>
        <w:tc>
          <w:tcPr/>
          <w:p>
            <w:pPr>
              <w:pStyle w:val="Compact"/>
              <w:jc w:val="left"/>
            </w:pPr>
            <w:r>
              <w:t xml:space="preserve">Rhinology</w:t>
            </w:r>
          </w:p>
        </w:tc>
        <w:tc>
          <w:tcPr/>
          <w:p>
            <w:pPr>
              <w:pStyle w:val="Compact"/>
              <w:jc w:val="right"/>
            </w:pPr>
            <w:r>
              <w:t xml:space="preserve">15.5</w:t>
            </w:r>
          </w:p>
        </w:tc>
        <w:tc>
          <w:tcPr/>
          <w:p>
            <w:pPr>
              <w:pStyle w:val="Compact"/>
              <w:jc w:val="right"/>
            </w:pPr>
            <w:r>
              <w:t xml:space="preserve">10</w:t>
            </w:r>
          </w:p>
        </w:tc>
        <w:tc>
          <w:tcPr/>
          <w:p>
            <w:pPr>
              <w:pStyle w:val="Compact"/>
              <w:jc w:val="right"/>
            </w:pPr>
            <w:r>
              <w:t xml:space="preserve">39</w:t>
            </w:r>
          </w:p>
        </w:tc>
        <w:tc>
          <w:tcPr/>
          <w:p>
            <w:pPr>
              <w:pStyle w:val="Compact"/>
              <w:jc w:val="right"/>
            </w:pPr>
            <w:r>
              <w:t xml:space="preserve">14</w:t>
            </w:r>
          </w:p>
        </w:tc>
      </w:tr>
      <w:tr>
        <w:tc>
          <w:tcPr/>
          <w:p>
            <w:pPr>
              <w:pStyle w:val="Compact"/>
              <w:jc w:val="left"/>
            </w:pPr>
            <w:r>
              <w:t xml:space="preserve">Sleep</w:t>
            </w:r>
          </w:p>
        </w:tc>
        <w:tc>
          <w:tcPr/>
          <w:p>
            <w:pPr>
              <w:pStyle w:val="Compact"/>
              <w:jc w:val="right"/>
            </w:pPr>
            <w:r>
              <w:t xml:space="preserve">15.0</w:t>
            </w:r>
          </w:p>
        </w:tc>
        <w:tc>
          <w:tcPr/>
          <w:p>
            <w:pPr>
              <w:pStyle w:val="Compact"/>
              <w:jc w:val="right"/>
            </w:pPr>
            <w:r>
              <w:t xml:space="preserve">6</w:t>
            </w:r>
          </w:p>
        </w:tc>
        <w:tc>
          <w:tcPr/>
          <w:p>
            <w:pPr>
              <w:pStyle w:val="Compact"/>
              <w:jc w:val="right"/>
            </w:pPr>
            <w:r>
              <w:t xml:space="preserve">34</w:t>
            </w:r>
          </w:p>
        </w:tc>
        <w:tc>
          <w:tcPr/>
          <w:p>
            <w:pPr>
              <w:pStyle w:val="Compact"/>
              <w:jc w:val="right"/>
            </w:pPr>
            <w:r>
              <w:t xml:space="preserve">11</w:t>
            </w:r>
          </w:p>
        </w:tc>
      </w:tr>
    </w:tbl>
    <w:p/>
    <w:p>
      <w:pPr>
        <w:pStyle w:val="TableCaption"/>
      </w:pPr>
      <w:r>
        <w:t xml:space="preserve">Table S4. Business-day wait by rurality.</w:t>
      </w:r>
    </w:p>
    <w:tbl>
      <w:tblPr>
        <w:tblStyle w:val="Table"/>
        <w:tblW w:type="auto" w:w="0"/>
        <w:tblLook w:firstRow="1" w:lastRow="0" w:firstColumn="0" w:lastColumn="0" w:noHBand="0" w:noVBand="0" w:val="0020"/>
        <w:tblCaption w:val="Table S4. Business-day wait by rurality."/>
      </w:tblPr>
      <w:tblGrid>
        <w:gridCol w:w="1584"/>
        <w:gridCol w:w="1584"/>
        <w:gridCol w:w="1584"/>
        <w:gridCol w:w="1584"/>
        <w:gridCol w:w="1584"/>
      </w:tblGrid>
      <w:tr>
        <w:trPr>
          <w:tblHeader w:val="on"/>
        </w:trPr>
        <w:tc>
          <w:tcPr/>
          <w:p>
            <w:pPr>
              <w:pStyle w:val="Compact"/>
              <w:jc w:val="left"/>
            </w:pPr>
            <w:r>
              <w:t xml:space="preserve">rural</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Urban</w:t>
            </w:r>
          </w:p>
        </w:tc>
        <w:tc>
          <w:tcPr/>
          <w:p>
            <w:pPr>
              <w:pStyle w:val="Compact"/>
              <w:jc w:val="right"/>
            </w:pPr>
            <w:r>
              <w:t xml:space="preserve">13.0</w:t>
            </w:r>
          </w:p>
        </w:tc>
        <w:tc>
          <w:tcPr/>
          <w:p>
            <w:pPr>
              <w:pStyle w:val="Compact"/>
              <w:jc w:val="right"/>
            </w:pPr>
            <w:r>
              <w:t xml:space="preserve">5</w:t>
            </w:r>
          </w:p>
        </w:tc>
        <w:tc>
          <w:tcPr/>
          <w:p>
            <w:pPr>
              <w:pStyle w:val="Compact"/>
              <w:jc w:val="right"/>
            </w:pPr>
            <w:r>
              <w:t xml:space="preserve">31</w:t>
            </w:r>
          </w:p>
        </w:tc>
        <w:tc>
          <w:tcPr/>
          <w:p>
            <w:pPr>
              <w:pStyle w:val="Compact"/>
              <w:jc w:val="right"/>
            </w:pPr>
            <w:r>
              <w:t xml:space="preserve">218</w:t>
            </w:r>
          </w:p>
        </w:tc>
      </w:tr>
      <w:tr>
        <w:tc>
          <w:tcPr/>
          <w:p>
            <w:pPr>
              <w:pStyle w:val="Compact"/>
              <w:jc w:val="left"/>
            </w:pPr>
            <w:r>
              <w:t xml:space="preserve">Rural</w:t>
            </w:r>
          </w:p>
        </w:tc>
        <w:tc>
          <w:tcPr/>
          <w:p>
            <w:pPr>
              <w:pStyle w:val="Compact"/>
              <w:jc w:val="right"/>
            </w:pPr>
            <w:r>
              <w:t xml:space="preserve">20.5</w:t>
            </w:r>
          </w:p>
        </w:tc>
        <w:tc>
          <w:tcPr/>
          <w:p>
            <w:pPr>
              <w:pStyle w:val="Compact"/>
              <w:jc w:val="right"/>
            </w:pPr>
            <w:r>
              <w:t xml:space="preserve">4</w:t>
            </w:r>
          </w:p>
        </w:tc>
        <w:tc>
          <w:tcPr/>
          <w:p>
            <w:pPr>
              <w:pStyle w:val="Compact"/>
              <w:jc w:val="right"/>
            </w:pPr>
            <w:r>
              <w:t xml:space="preserve">40</w:t>
            </w:r>
          </w:p>
        </w:tc>
        <w:tc>
          <w:tcPr/>
          <w:p>
            <w:pPr>
              <w:pStyle w:val="Compact"/>
              <w:jc w:val="right"/>
            </w:pPr>
            <w:r>
              <w:t xml:space="preserve">32</w:t>
            </w:r>
          </w:p>
        </w:tc>
      </w:tr>
      <w:tr>
        <w:tc>
          <w:tcPr/>
          <w:p>
            <w:pPr>
              <w:pStyle w:val="Compact"/>
              <w:jc w:val="left"/>
            </w:pPr>
            <w:r>
              <w:t xml:space="preserve">Suburban</w:t>
            </w:r>
          </w:p>
        </w:tc>
        <w:tc>
          <w:tcPr/>
          <w:p>
            <w:pPr>
              <w:pStyle w:val="Compact"/>
              <w:jc w:val="right"/>
            </w:pPr>
            <w:r>
              <w:t xml:space="preserve">14.0</w:t>
            </w:r>
          </w:p>
        </w:tc>
        <w:tc>
          <w:tcPr/>
          <w:p>
            <w:pPr>
              <w:pStyle w:val="Compact"/>
              <w:jc w:val="right"/>
            </w:pPr>
            <w:r>
              <w:t xml:space="preserve">6</w:t>
            </w:r>
          </w:p>
        </w:tc>
        <w:tc>
          <w:tcPr/>
          <w:p>
            <w:pPr>
              <w:pStyle w:val="Compact"/>
              <w:jc w:val="right"/>
            </w:pPr>
            <w:r>
              <w:t xml:space="preserve">26</w:t>
            </w:r>
          </w:p>
        </w:tc>
        <w:tc>
          <w:tcPr/>
          <w:p>
            <w:pPr>
              <w:pStyle w:val="Compact"/>
              <w:jc w:val="right"/>
            </w:pPr>
            <w:r>
              <w:t xml:space="preserve">180</w:t>
            </w:r>
          </w:p>
        </w:tc>
      </w:tr>
    </w:tbl>
    <w:p/>
    <w:p>
      <w:pPr>
        <w:pStyle w:val="TableCaption"/>
      </w:pPr>
      <w:r>
        <w:t xml:space="preserve">Table S5. Business-day wait by AAO-HNS region.</w:t>
      </w:r>
    </w:p>
    <w:tbl>
      <w:tblPr>
        <w:tblStyle w:val="Table"/>
        <w:tblW w:type="auto" w:w="0"/>
        <w:tblLook w:firstRow="1" w:lastRow="0" w:firstColumn="0" w:lastColumn="0" w:noHBand="0" w:noVBand="0" w:val="0020"/>
        <w:tblCaption w:val="Table S5. Business-day wait by AAO-HNS region."/>
      </w:tblPr>
      <w:tblGrid>
        <w:gridCol w:w="1584"/>
        <w:gridCol w:w="1584"/>
        <w:gridCol w:w="1584"/>
        <w:gridCol w:w="1584"/>
        <w:gridCol w:w="1584"/>
      </w:tblGrid>
      <w:tr>
        <w:trPr>
          <w:tblHeader w:val="on"/>
        </w:trPr>
        <w:tc>
          <w:tcPr/>
          <w:p>
            <w:pPr>
              <w:pStyle w:val="Compact"/>
              <w:jc w:val="left"/>
            </w:pPr>
            <w:r>
              <w:t xml:space="preserve">aao_hns_region</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Central</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33</w:t>
            </w:r>
          </w:p>
        </w:tc>
        <w:tc>
          <w:tcPr/>
          <w:p>
            <w:pPr>
              <w:pStyle w:val="Compact"/>
              <w:jc w:val="right"/>
            </w:pPr>
            <w:r>
              <w:t xml:space="preserve">73</w:t>
            </w:r>
          </w:p>
        </w:tc>
      </w:tr>
      <w:tr>
        <w:tc>
          <w:tcPr/>
          <w:p>
            <w:pPr>
              <w:pStyle w:val="Compact"/>
              <w:jc w:val="left"/>
            </w:pPr>
            <w:r>
              <w:t xml:space="preserve">Mid-Atlantic/Southeast</w:t>
            </w:r>
          </w:p>
        </w:tc>
        <w:tc>
          <w:tcPr/>
          <w:p>
            <w:pPr>
              <w:pStyle w:val="Compact"/>
              <w:jc w:val="right"/>
            </w:pPr>
            <w:r>
              <w:t xml:space="preserve">12.0</w:t>
            </w:r>
          </w:p>
        </w:tc>
        <w:tc>
          <w:tcPr/>
          <w:p>
            <w:pPr>
              <w:pStyle w:val="Compact"/>
              <w:jc w:val="right"/>
            </w:pPr>
            <w:r>
              <w:t xml:space="preserve">5</w:t>
            </w:r>
          </w:p>
        </w:tc>
        <w:tc>
          <w:tcPr/>
          <w:p>
            <w:pPr>
              <w:pStyle w:val="Compact"/>
              <w:jc w:val="right"/>
            </w:pPr>
            <w:r>
              <w:t xml:space="preserve">24</w:t>
            </w:r>
          </w:p>
        </w:tc>
        <w:tc>
          <w:tcPr/>
          <w:p>
            <w:pPr>
              <w:pStyle w:val="Compact"/>
              <w:jc w:val="right"/>
            </w:pPr>
            <w:r>
              <w:t xml:space="preserve">38</w:t>
            </w:r>
          </w:p>
        </w:tc>
      </w:tr>
      <w:tr>
        <w:tc>
          <w:tcPr/>
          <w:p>
            <w:pPr>
              <w:pStyle w:val="Compact"/>
              <w:jc w:val="left"/>
            </w:pPr>
            <w:r>
              <w:t xml:space="preserve">Middle Atlantic</w:t>
            </w:r>
          </w:p>
        </w:tc>
        <w:tc>
          <w:tcPr/>
          <w:p>
            <w:pPr>
              <w:pStyle w:val="Compact"/>
              <w:jc w:val="right"/>
            </w:pPr>
            <w:r>
              <w:t xml:space="preserve">14.5</w:t>
            </w:r>
          </w:p>
        </w:tc>
        <w:tc>
          <w:tcPr/>
          <w:p>
            <w:pPr>
              <w:pStyle w:val="Compact"/>
              <w:jc w:val="right"/>
            </w:pPr>
            <w:r>
              <w:t xml:space="preserve">6</w:t>
            </w:r>
          </w:p>
        </w:tc>
        <w:tc>
          <w:tcPr/>
          <w:p>
            <w:pPr>
              <w:pStyle w:val="Compact"/>
              <w:jc w:val="right"/>
            </w:pPr>
            <w:r>
              <w:t xml:space="preserve">32</w:t>
            </w:r>
          </w:p>
        </w:tc>
        <w:tc>
          <w:tcPr/>
          <w:p>
            <w:pPr>
              <w:pStyle w:val="Compact"/>
              <w:jc w:val="right"/>
            </w:pPr>
            <w:r>
              <w:t xml:space="preserve">44</w:t>
            </w:r>
          </w:p>
        </w:tc>
      </w:tr>
      <w:tr>
        <w:tc>
          <w:tcPr/>
          <w:p>
            <w:pPr>
              <w:pStyle w:val="Compact"/>
              <w:jc w:val="left"/>
            </w:pPr>
            <w:r>
              <w:t xml:space="preserve">Midwest</w:t>
            </w:r>
          </w:p>
        </w:tc>
        <w:tc>
          <w:tcPr/>
          <w:p>
            <w:pPr>
              <w:pStyle w:val="Compact"/>
              <w:jc w:val="right"/>
            </w:pPr>
            <w:r>
              <w:t xml:space="preserve">16.0</w:t>
            </w:r>
          </w:p>
        </w:tc>
        <w:tc>
          <w:tcPr/>
          <w:p>
            <w:pPr>
              <w:pStyle w:val="Compact"/>
              <w:jc w:val="right"/>
            </w:pPr>
            <w:r>
              <w:t xml:space="preserve">10</w:t>
            </w:r>
          </w:p>
        </w:tc>
        <w:tc>
          <w:tcPr/>
          <w:p>
            <w:pPr>
              <w:pStyle w:val="Compact"/>
              <w:jc w:val="right"/>
            </w:pPr>
            <w:r>
              <w:t xml:space="preserve">32</w:t>
            </w:r>
          </w:p>
        </w:tc>
        <w:tc>
          <w:tcPr/>
          <w:p>
            <w:pPr>
              <w:pStyle w:val="Compact"/>
              <w:jc w:val="right"/>
            </w:pPr>
            <w:r>
              <w:t xml:space="preserve">97</w:t>
            </w:r>
          </w:p>
        </w:tc>
      </w:tr>
      <w:tr>
        <w:tc>
          <w:tcPr/>
          <w:p>
            <w:pPr>
              <w:pStyle w:val="Compact"/>
              <w:jc w:val="left"/>
            </w:pPr>
            <w:r>
              <w:t xml:space="preserve">Mountain/Southwest</w:t>
            </w:r>
          </w:p>
        </w:tc>
        <w:tc>
          <w:tcPr/>
          <w:p>
            <w:pPr>
              <w:pStyle w:val="Compact"/>
              <w:jc w:val="right"/>
            </w:pPr>
            <w:r>
              <w:t xml:space="preserve">14.0</w:t>
            </w:r>
          </w:p>
        </w:tc>
        <w:tc>
          <w:tcPr/>
          <w:p>
            <w:pPr>
              <w:pStyle w:val="Compact"/>
              <w:jc w:val="right"/>
            </w:pPr>
            <w:r>
              <w:t xml:space="preserve">12</w:t>
            </w:r>
          </w:p>
        </w:tc>
        <w:tc>
          <w:tcPr/>
          <w:p>
            <w:pPr>
              <w:pStyle w:val="Compact"/>
              <w:jc w:val="right"/>
            </w:pPr>
            <w:r>
              <w:t xml:space="preserve">20</w:t>
            </w:r>
          </w:p>
        </w:tc>
        <w:tc>
          <w:tcPr/>
          <w:p>
            <w:pPr>
              <w:pStyle w:val="Compact"/>
              <w:jc w:val="right"/>
            </w:pPr>
            <w:r>
              <w:t xml:space="preserve">21</w:t>
            </w:r>
          </w:p>
        </w:tc>
      </w:tr>
      <w:tr>
        <w:tc>
          <w:tcPr/>
          <w:p>
            <w:pPr>
              <w:pStyle w:val="Compact"/>
              <w:jc w:val="left"/>
            </w:pPr>
            <w:r>
              <w:t xml:space="preserve">New England</w:t>
            </w:r>
          </w:p>
        </w:tc>
        <w:tc>
          <w:tcPr/>
          <w:p>
            <w:pPr>
              <w:pStyle w:val="Compact"/>
              <w:jc w:val="right"/>
            </w:pPr>
            <w:r>
              <w:t xml:space="preserve">29.0</w:t>
            </w:r>
          </w:p>
        </w:tc>
        <w:tc>
          <w:tcPr/>
          <w:p>
            <w:pPr>
              <w:pStyle w:val="Compact"/>
              <w:jc w:val="right"/>
            </w:pPr>
            <w:r>
              <w:t xml:space="preserve">12</w:t>
            </w:r>
          </w:p>
        </w:tc>
        <w:tc>
          <w:tcPr/>
          <w:p>
            <w:pPr>
              <w:pStyle w:val="Compact"/>
              <w:jc w:val="right"/>
            </w:pPr>
            <w:r>
              <w:t xml:space="preserve">50</w:t>
            </w:r>
          </w:p>
        </w:tc>
        <w:tc>
          <w:tcPr/>
          <w:p>
            <w:pPr>
              <w:pStyle w:val="Compact"/>
              <w:jc w:val="right"/>
            </w:pPr>
            <w:r>
              <w:t xml:space="preserve">27</w:t>
            </w:r>
          </w:p>
        </w:tc>
      </w:tr>
      <w:tr>
        <w:tc>
          <w:tcPr/>
          <w:p>
            <w:pPr>
              <w:pStyle w:val="Compact"/>
              <w:jc w:val="left"/>
            </w:pPr>
            <w:r>
              <w:t xml:space="preserve">Pacific</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28</w:t>
            </w:r>
          </w:p>
        </w:tc>
        <w:tc>
          <w:tcPr/>
          <w:p>
            <w:pPr>
              <w:pStyle w:val="Compact"/>
              <w:jc w:val="right"/>
            </w:pPr>
            <w:r>
              <w:t xml:space="preserve">49</w:t>
            </w:r>
          </w:p>
        </w:tc>
      </w:tr>
      <w:tr>
        <w:tc>
          <w:tcPr/>
          <w:p>
            <w:pPr>
              <w:pStyle w:val="Compact"/>
              <w:jc w:val="left"/>
            </w:pPr>
            <w:r>
              <w:t xml:space="preserve">Southeast</w:t>
            </w:r>
          </w:p>
        </w:tc>
        <w:tc>
          <w:tcPr/>
          <w:p>
            <w:pPr>
              <w:pStyle w:val="Compact"/>
              <w:jc w:val="right"/>
            </w:pPr>
            <w:r>
              <w:t xml:space="preserve">9.0</w:t>
            </w:r>
          </w:p>
        </w:tc>
        <w:tc>
          <w:tcPr/>
          <w:p>
            <w:pPr>
              <w:pStyle w:val="Compact"/>
              <w:jc w:val="right"/>
            </w:pPr>
            <w:r>
              <w:t xml:space="preserve">4</w:t>
            </w:r>
          </w:p>
        </w:tc>
        <w:tc>
          <w:tcPr/>
          <w:p>
            <w:pPr>
              <w:pStyle w:val="Compact"/>
              <w:jc w:val="right"/>
            </w:pPr>
            <w:r>
              <w:t xml:space="preserve">20</w:t>
            </w:r>
          </w:p>
        </w:tc>
        <w:tc>
          <w:tcPr/>
          <w:p>
            <w:pPr>
              <w:pStyle w:val="Compact"/>
              <w:jc w:val="right"/>
            </w:pPr>
            <w:r>
              <w:t xml:space="preserve">81</w:t>
            </w:r>
          </w:p>
        </w:tc>
      </w:tr>
    </w:tbl>
    <w:p/>
    <w:p>
      <w:pPr>
        <w:pStyle w:val="TableCaption"/>
      </w:pPr>
      <w:r>
        <w:t xml:space="preserve">Table S6. Appointment offer-rate disparities by region.</w:t>
      </w:r>
    </w:p>
    <w:tbl>
      <w:tblPr>
        <w:tblStyle w:val="Table"/>
        <w:tblW w:type="pct" w:w="5000"/>
        <w:tblLayout w:type="fixed"/>
        <w:tblLook w:firstRow="1" w:lastRow="0" w:firstColumn="0" w:lastColumn="0" w:noHBand="0" w:noVBand="0" w:val="0020"/>
        <w:tblCaption w:val="Table S6. Appointment offer-rate disparities by region."/>
      </w:tblPr>
      <w:tblGrid>
        <w:gridCol w:w="1543"/>
        <w:gridCol w:w="268"/>
        <w:gridCol w:w="738"/>
        <w:gridCol w:w="402"/>
        <w:gridCol w:w="604"/>
        <w:gridCol w:w="604"/>
        <w:gridCol w:w="604"/>
        <w:gridCol w:w="604"/>
        <w:gridCol w:w="604"/>
        <w:gridCol w:w="604"/>
        <w:gridCol w:w="536"/>
        <w:gridCol w:w="805"/>
      </w:tblGrid>
      <w:tr>
        <w:trPr>
          <w:tblHeader w:val="on"/>
        </w:trPr>
        <w:tc>
          <w:tcPr/>
          <w:p>
            <w:pPr>
              <w:pStyle w:val="Compact"/>
              <w:jc w:val="left"/>
            </w:pPr>
            <w:r>
              <w:t xml:space="preserve">group</w:t>
            </w:r>
          </w:p>
        </w:tc>
        <w:tc>
          <w:tcPr/>
          <w:p>
            <w:pPr>
              <w:pStyle w:val="Compact"/>
              <w:jc w:val="right"/>
            </w:pPr>
            <w:r>
              <w:t xml:space="preserve">n</w:t>
            </w:r>
          </w:p>
        </w:tc>
        <w:tc>
          <w:tcPr/>
          <w:p>
            <w:pPr>
              <w:pStyle w:val="Compact"/>
              <w:jc w:val="right"/>
            </w:pPr>
            <w:r>
              <w:t xml:space="preserve">n_accepted</w:t>
            </w:r>
          </w:p>
        </w:tc>
        <w:tc>
          <w:tcPr/>
          <w:p>
            <w:pPr>
              <w:pStyle w:val="Compact"/>
              <w:jc w:val="right"/>
            </w:pPr>
            <w:r>
              <w:t xml:space="preserve">rate</w:t>
            </w:r>
          </w:p>
        </w:tc>
        <w:tc>
          <w:tcPr/>
          <w:p>
            <w:pPr>
              <w:pStyle w:val="Compact"/>
              <w:jc w:val="right"/>
            </w:pPr>
            <w:r>
              <w:t xml:space="preserve">lower_ci</w:t>
            </w:r>
          </w:p>
        </w:tc>
        <w:tc>
          <w:tcPr/>
          <w:p>
            <w:pPr>
              <w:pStyle w:val="Compact"/>
              <w:jc w:val="right"/>
            </w:pPr>
            <w:r>
              <w:t xml:space="preserve">upper_ci</w:t>
            </w:r>
          </w:p>
        </w:tc>
        <w:tc>
          <w:tcPr/>
          <w:p>
            <w:pPr>
              <w:pStyle w:val="Compact"/>
              <w:jc w:val="right"/>
            </w:pPr>
            <w:r>
              <w:t xml:space="preserve">abs_diff</w:t>
            </w:r>
          </w:p>
        </w:tc>
        <w:tc>
          <w:tcPr/>
          <w:p>
            <w:pPr>
              <w:pStyle w:val="Compact"/>
              <w:jc w:val="right"/>
            </w:pPr>
            <w:r>
              <w:t xml:space="preserve">rel_risk</w:t>
            </w:r>
          </w:p>
        </w:tc>
        <w:tc>
          <w:tcPr/>
          <w:p>
            <w:pPr>
              <w:pStyle w:val="Compact"/>
              <w:jc w:val="right"/>
            </w:pPr>
            <w:r>
              <w:t xml:space="preserve">rr_lower</w:t>
            </w:r>
          </w:p>
        </w:tc>
        <w:tc>
          <w:tcPr/>
          <w:p>
            <w:pPr>
              <w:pStyle w:val="Compact"/>
              <w:jc w:val="right"/>
            </w:pPr>
            <w:r>
              <w:t xml:space="preserve">rr_upper</w:t>
            </w:r>
          </w:p>
        </w:tc>
        <w:tc>
          <w:tcPr/>
          <w:p>
            <w:pPr>
              <w:pStyle w:val="Compact"/>
              <w:jc w:val="right"/>
            </w:pPr>
            <w:r>
              <w:t xml:space="preserve">p_value</w:t>
            </w:r>
          </w:p>
        </w:tc>
        <w:tc>
          <w:tcPr/>
          <w:p>
            <w:pPr>
              <w:pStyle w:val="Compact"/>
              <w:jc w:val="left"/>
            </w:pPr>
            <w:r>
              <w:t xml:space="preserve">p_value_fmt</w:t>
            </w:r>
          </w:p>
        </w:tc>
      </w:tr>
      <w:tr>
        <w:tc>
          <w:tcPr/>
          <w:p>
            <w:pPr>
              <w:pStyle w:val="Compact"/>
              <w:jc w:val="left"/>
            </w:pPr>
            <w:r>
              <w:t xml:space="preserve">New England</w:t>
            </w:r>
          </w:p>
        </w:tc>
        <w:tc>
          <w:tcPr/>
          <w:p>
            <w:pPr>
              <w:pStyle w:val="Compact"/>
              <w:jc w:val="right"/>
            </w:pPr>
            <w:r>
              <w:t xml:space="preserve">48</w:t>
            </w:r>
          </w:p>
        </w:tc>
        <w:tc>
          <w:tcPr/>
          <w:p>
            <w:pPr>
              <w:pStyle w:val="Compact"/>
              <w:jc w:val="right"/>
            </w:pPr>
            <w:r>
              <w:t xml:space="preserve">27</w:t>
            </w:r>
          </w:p>
        </w:tc>
        <w:tc>
          <w:tcPr/>
          <w:p>
            <w:pPr>
              <w:pStyle w:val="Compact"/>
              <w:jc w:val="right"/>
            </w:pPr>
            <w:r>
              <w:t xml:space="preserve">0.562</w:t>
            </w:r>
          </w:p>
        </w:tc>
        <w:tc>
          <w:tcPr/>
          <w:p>
            <w:pPr>
              <w:pStyle w:val="Compact"/>
              <w:jc w:val="right"/>
            </w:pPr>
            <w:r>
              <w:t xml:space="preserve">0.423</w:t>
            </w:r>
          </w:p>
        </w:tc>
        <w:tc>
          <w:tcPr/>
          <w:p>
            <w:pPr>
              <w:pStyle w:val="Compact"/>
              <w:jc w:val="right"/>
            </w:pPr>
            <w:r>
              <w:t xml:space="preserve">0.693</w:t>
            </w:r>
          </w:p>
        </w:tc>
        <w:tc>
          <w:tcPr/>
          <w:p>
            <w:pPr>
              <w:pStyle w:val="Compact"/>
              <w:jc w:val="right"/>
            </w:pPr>
            <w:r>
              <w:t xml:space="preserve">0.000</w:t>
            </w:r>
          </w:p>
        </w:tc>
        <w:tc>
          <w:tcPr/>
          <w:p>
            <w:pPr>
              <w:pStyle w:val="Compact"/>
              <w:jc w:val="right"/>
            </w:pPr>
            <w:r>
              <w:t xml:space="preserve">1.000</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left"/>
            </w:pPr>
            <w:r>
              <w:t xml:space="preserve">NA</w:t>
            </w:r>
          </w:p>
        </w:tc>
      </w:tr>
      <w:tr>
        <w:tc>
          <w:tcPr/>
          <w:p>
            <w:pPr>
              <w:pStyle w:val="Compact"/>
              <w:jc w:val="left"/>
            </w:pPr>
            <w:r>
              <w:t xml:space="preserve">Central</w:t>
            </w:r>
          </w:p>
        </w:tc>
        <w:tc>
          <w:tcPr/>
          <w:p>
            <w:pPr>
              <w:pStyle w:val="Compact"/>
              <w:jc w:val="right"/>
            </w:pPr>
            <w:r>
              <w:t xml:space="preserve">109</w:t>
            </w:r>
          </w:p>
        </w:tc>
        <w:tc>
          <w:tcPr/>
          <w:p>
            <w:pPr>
              <w:pStyle w:val="Compact"/>
              <w:jc w:val="right"/>
            </w:pPr>
            <w:r>
              <w:t xml:space="preserve">74</w:t>
            </w:r>
          </w:p>
        </w:tc>
        <w:tc>
          <w:tcPr/>
          <w:p>
            <w:pPr>
              <w:pStyle w:val="Compact"/>
              <w:jc w:val="right"/>
            </w:pPr>
            <w:r>
              <w:t xml:space="preserve">0.679</w:t>
            </w:r>
          </w:p>
        </w:tc>
        <w:tc>
          <w:tcPr/>
          <w:p>
            <w:pPr>
              <w:pStyle w:val="Compact"/>
              <w:jc w:val="right"/>
            </w:pPr>
            <w:r>
              <w:t xml:space="preserve">0.586</w:t>
            </w:r>
          </w:p>
        </w:tc>
        <w:tc>
          <w:tcPr/>
          <w:p>
            <w:pPr>
              <w:pStyle w:val="Compact"/>
              <w:jc w:val="right"/>
            </w:pPr>
            <w:r>
              <w:t xml:space="preserve">0.759</w:t>
            </w:r>
          </w:p>
        </w:tc>
        <w:tc>
          <w:tcPr/>
          <w:p>
            <w:pPr>
              <w:pStyle w:val="Compact"/>
              <w:jc w:val="right"/>
            </w:pPr>
            <w:r>
              <w:t xml:space="preserve">11.640</w:t>
            </w:r>
          </w:p>
        </w:tc>
        <w:tc>
          <w:tcPr/>
          <w:p>
            <w:pPr>
              <w:pStyle w:val="Compact"/>
              <w:jc w:val="right"/>
            </w:pPr>
            <w:r>
              <w:t xml:space="preserve">1.207</w:t>
            </w:r>
          </w:p>
        </w:tc>
        <w:tc>
          <w:tcPr/>
          <w:p>
            <w:pPr>
              <w:pStyle w:val="Compact"/>
              <w:jc w:val="right"/>
            </w:pPr>
            <w:r>
              <w:t xml:space="preserve">0.911</w:t>
            </w:r>
          </w:p>
        </w:tc>
        <w:tc>
          <w:tcPr/>
          <w:p>
            <w:pPr>
              <w:pStyle w:val="Compact"/>
              <w:jc w:val="right"/>
            </w:pPr>
            <w:r>
              <w:t xml:space="preserve">1.598</w:t>
            </w:r>
          </w:p>
        </w:tc>
        <w:tc>
          <w:tcPr/>
          <w:p>
            <w:pPr>
              <w:pStyle w:val="Compact"/>
              <w:jc w:val="right"/>
            </w:pPr>
            <w:r>
              <w:t xml:space="preserve">0.161</w:t>
            </w:r>
          </w:p>
        </w:tc>
        <w:tc>
          <w:tcPr/>
          <w:p>
            <w:pPr>
              <w:pStyle w:val="Compact"/>
              <w:jc w:val="left"/>
            </w:pPr>
            <w:r>
              <w:t xml:space="preserve">p = 0.161</w:t>
            </w:r>
          </w:p>
        </w:tc>
      </w:tr>
      <w:tr>
        <w:tc>
          <w:tcPr/>
          <w:p>
            <w:pPr>
              <w:pStyle w:val="Compact"/>
              <w:jc w:val="left"/>
            </w:pPr>
            <w:r>
              <w:t xml:space="preserve">Midwest</w:t>
            </w:r>
          </w:p>
        </w:tc>
        <w:tc>
          <w:tcPr/>
          <w:p>
            <w:pPr>
              <w:pStyle w:val="Compact"/>
              <w:jc w:val="right"/>
            </w:pPr>
            <w:r>
              <w:t xml:space="preserve">154</w:t>
            </w:r>
          </w:p>
        </w:tc>
        <w:tc>
          <w:tcPr/>
          <w:p>
            <w:pPr>
              <w:pStyle w:val="Compact"/>
              <w:jc w:val="right"/>
            </w:pPr>
            <w:r>
              <w:t xml:space="preserve">98</w:t>
            </w:r>
          </w:p>
        </w:tc>
        <w:tc>
          <w:tcPr/>
          <w:p>
            <w:pPr>
              <w:pStyle w:val="Compact"/>
              <w:jc w:val="right"/>
            </w:pPr>
            <w:r>
              <w:t xml:space="preserve">0.636</w:t>
            </w:r>
          </w:p>
        </w:tc>
        <w:tc>
          <w:tcPr/>
          <w:p>
            <w:pPr>
              <w:pStyle w:val="Compact"/>
              <w:jc w:val="right"/>
            </w:pPr>
            <w:r>
              <w:t xml:space="preserve">0.558</w:t>
            </w:r>
          </w:p>
        </w:tc>
        <w:tc>
          <w:tcPr/>
          <w:p>
            <w:pPr>
              <w:pStyle w:val="Compact"/>
              <w:jc w:val="right"/>
            </w:pPr>
            <w:r>
              <w:t xml:space="preserve">0.708</w:t>
            </w:r>
          </w:p>
        </w:tc>
        <w:tc>
          <w:tcPr/>
          <w:p>
            <w:pPr>
              <w:pStyle w:val="Compact"/>
              <w:jc w:val="right"/>
            </w:pPr>
            <w:r>
              <w:t xml:space="preserve">7.386</w:t>
            </w:r>
          </w:p>
        </w:tc>
        <w:tc>
          <w:tcPr/>
          <w:p>
            <w:pPr>
              <w:pStyle w:val="Compact"/>
              <w:jc w:val="right"/>
            </w:pPr>
            <w:r>
              <w:t xml:space="preserve">1.131</w:t>
            </w:r>
          </w:p>
        </w:tc>
        <w:tc>
          <w:tcPr/>
          <w:p>
            <w:pPr>
              <w:pStyle w:val="Compact"/>
              <w:jc w:val="right"/>
            </w:pPr>
            <w:r>
              <w:t xml:space="preserve">0.858</w:t>
            </w:r>
          </w:p>
        </w:tc>
        <w:tc>
          <w:tcPr/>
          <w:p>
            <w:pPr>
              <w:pStyle w:val="Compact"/>
              <w:jc w:val="right"/>
            </w:pPr>
            <w:r>
              <w:t xml:space="preserve">1.492</w:t>
            </w:r>
          </w:p>
        </w:tc>
        <w:tc>
          <w:tcPr/>
          <w:p>
            <w:pPr>
              <w:pStyle w:val="Compact"/>
              <w:jc w:val="right"/>
            </w:pPr>
            <w:r>
              <w:t xml:space="preserve">0.358</w:t>
            </w:r>
          </w:p>
        </w:tc>
        <w:tc>
          <w:tcPr/>
          <w:p>
            <w:pPr>
              <w:pStyle w:val="Compact"/>
              <w:jc w:val="left"/>
            </w:pPr>
            <w:r>
              <w:t xml:space="preserve">p = 0.358</w:t>
            </w:r>
          </w:p>
        </w:tc>
      </w:tr>
      <w:tr>
        <w:tc>
          <w:tcPr/>
          <w:p>
            <w:pPr>
              <w:pStyle w:val="Compact"/>
              <w:jc w:val="left"/>
            </w:pPr>
            <w:r>
              <w:t xml:space="preserve">Southeast</w:t>
            </w:r>
          </w:p>
        </w:tc>
        <w:tc>
          <w:tcPr/>
          <w:p>
            <w:pPr>
              <w:pStyle w:val="Compact"/>
              <w:jc w:val="right"/>
            </w:pPr>
            <w:r>
              <w:t xml:space="preserve">129</w:t>
            </w:r>
          </w:p>
        </w:tc>
        <w:tc>
          <w:tcPr/>
          <w:p>
            <w:pPr>
              <w:pStyle w:val="Compact"/>
              <w:jc w:val="right"/>
            </w:pPr>
            <w:r>
              <w:t xml:space="preserve">81</w:t>
            </w:r>
          </w:p>
        </w:tc>
        <w:tc>
          <w:tcPr/>
          <w:p>
            <w:pPr>
              <w:pStyle w:val="Compact"/>
              <w:jc w:val="right"/>
            </w:pPr>
            <w:r>
              <w:t xml:space="preserve">0.628</w:t>
            </w:r>
          </w:p>
        </w:tc>
        <w:tc>
          <w:tcPr/>
          <w:p>
            <w:pPr>
              <w:pStyle w:val="Compact"/>
              <w:jc w:val="right"/>
            </w:pPr>
            <w:r>
              <w:t xml:space="preserve">0.542</w:t>
            </w:r>
          </w:p>
        </w:tc>
        <w:tc>
          <w:tcPr/>
          <w:p>
            <w:pPr>
              <w:pStyle w:val="Compact"/>
              <w:jc w:val="right"/>
            </w:pPr>
            <w:r>
              <w:t xml:space="preserve">0.706</w:t>
            </w:r>
          </w:p>
        </w:tc>
        <w:tc>
          <w:tcPr/>
          <w:p>
            <w:pPr>
              <w:pStyle w:val="Compact"/>
              <w:jc w:val="right"/>
            </w:pPr>
            <w:r>
              <w:t xml:space="preserve">6.541</w:t>
            </w:r>
          </w:p>
        </w:tc>
        <w:tc>
          <w:tcPr/>
          <w:p>
            <w:pPr>
              <w:pStyle w:val="Compact"/>
              <w:jc w:val="right"/>
            </w:pPr>
            <w:r>
              <w:t xml:space="preserve">1.116</w:t>
            </w:r>
          </w:p>
        </w:tc>
        <w:tc>
          <w:tcPr/>
          <w:p>
            <w:pPr>
              <w:pStyle w:val="Compact"/>
              <w:jc w:val="right"/>
            </w:pPr>
            <w:r>
              <w:t xml:space="preserve">0.841</w:t>
            </w:r>
          </w:p>
        </w:tc>
        <w:tc>
          <w:tcPr/>
          <w:p>
            <w:pPr>
              <w:pStyle w:val="Compact"/>
              <w:jc w:val="right"/>
            </w:pPr>
            <w:r>
              <w:t xml:space="preserve">1.481</w:t>
            </w:r>
          </w:p>
        </w:tc>
        <w:tc>
          <w:tcPr/>
          <w:p>
            <w:pPr>
              <w:pStyle w:val="Compact"/>
              <w:jc w:val="right"/>
            </w:pPr>
            <w:r>
              <w:t xml:space="preserve">0.428</w:t>
            </w:r>
          </w:p>
        </w:tc>
        <w:tc>
          <w:tcPr/>
          <w:p>
            <w:pPr>
              <w:pStyle w:val="Compact"/>
              <w:jc w:val="left"/>
            </w:pPr>
            <w:r>
              <w:t xml:space="preserve">p = 0.428</w:t>
            </w:r>
          </w:p>
        </w:tc>
      </w:tr>
      <w:tr>
        <w:tc>
          <w:tcPr/>
          <w:p>
            <w:pPr>
              <w:pStyle w:val="Compact"/>
              <w:jc w:val="left"/>
            </w:pPr>
            <w:r>
              <w:t xml:space="preserve">Pacific</w:t>
            </w:r>
          </w:p>
        </w:tc>
        <w:tc>
          <w:tcPr/>
          <w:p>
            <w:pPr>
              <w:pStyle w:val="Compact"/>
              <w:jc w:val="right"/>
            </w:pPr>
            <w:r>
              <w:t xml:space="preserve">88</w:t>
            </w:r>
          </w:p>
        </w:tc>
        <w:tc>
          <w:tcPr/>
          <w:p>
            <w:pPr>
              <w:pStyle w:val="Compact"/>
              <w:jc w:val="right"/>
            </w:pPr>
            <w:r>
              <w:t xml:space="preserve">50</w:t>
            </w:r>
          </w:p>
        </w:tc>
        <w:tc>
          <w:tcPr/>
          <w:p>
            <w:pPr>
              <w:pStyle w:val="Compact"/>
              <w:jc w:val="right"/>
            </w:pPr>
            <w:r>
              <w:t xml:space="preserve">0.568</w:t>
            </w:r>
          </w:p>
        </w:tc>
        <w:tc>
          <w:tcPr/>
          <w:p>
            <w:pPr>
              <w:pStyle w:val="Compact"/>
              <w:jc w:val="right"/>
            </w:pPr>
            <w:r>
              <w:t xml:space="preserve">0.464</w:t>
            </w:r>
          </w:p>
        </w:tc>
        <w:tc>
          <w:tcPr/>
          <w:p>
            <w:pPr>
              <w:pStyle w:val="Compact"/>
              <w:jc w:val="right"/>
            </w:pPr>
            <w:r>
              <w:t xml:space="preserve">0.667</w:t>
            </w:r>
          </w:p>
        </w:tc>
        <w:tc>
          <w:tcPr/>
          <w:p>
            <w:pPr>
              <w:pStyle w:val="Compact"/>
              <w:jc w:val="right"/>
            </w:pPr>
            <w:r>
              <w:t xml:space="preserve">0.568</w:t>
            </w:r>
          </w:p>
        </w:tc>
        <w:tc>
          <w:tcPr/>
          <w:p>
            <w:pPr>
              <w:pStyle w:val="Compact"/>
              <w:jc w:val="right"/>
            </w:pPr>
            <w:r>
              <w:t xml:space="preserve">1.010</w:t>
            </w:r>
          </w:p>
        </w:tc>
        <w:tc>
          <w:tcPr/>
          <w:p>
            <w:pPr>
              <w:pStyle w:val="Compact"/>
              <w:jc w:val="right"/>
            </w:pPr>
            <w:r>
              <w:t xml:space="preserve">0.742</w:t>
            </w:r>
          </w:p>
        </w:tc>
        <w:tc>
          <w:tcPr/>
          <w:p>
            <w:pPr>
              <w:pStyle w:val="Compact"/>
              <w:jc w:val="right"/>
            </w:pPr>
            <w:r>
              <w:t xml:space="preserve">1.376</w:t>
            </w:r>
          </w:p>
        </w:tc>
        <w:tc>
          <w:tcPr/>
          <w:p>
            <w:pPr>
              <w:pStyle w:val="Compact"/>
              <w:jc w:val="right"/>
            </w:pPr>
            <w:r>
              <w:t xml:space="preserve">0.949</w:t>
            </w:r>
          </w:p>
        </w:tc>
        <w:tc>
          <w:tcPr/>
          <w:p>
            <w:pPr>
              <w:pStyle w:val="Compact"/>
              <w:jc w:val="left"/>
            </w:pPr>
            <w:r>
              <w:t xml:space="preserve">p = 0.949</w:t>
            </w:r>
          </w:p>
        </w:tc>
      </w:tr>
      <w:tr>
        <w:tc>
          <w:tcPr/>
          <w:p>
            <w:pPr>
              <w:pStyle w:val="Compact"/>
              <w:jc w:val="left"/>
            </w:pPr>
            <w:r>
              <w:t xml:space="preserve">Mid-Atlantic/Southeast</w:t>
            </w:r>
          </w:p>
        </w:tc>
        <w:tc>
          <w:tcPr/>
          <w:p>
            <w:pPr>
              <w:pStyle w:val="Compact"/>
              <w:jc w:val="right"/>
            </w:pPr>
            <w:r>
              <w:t xml:space="preserve">67</w:t>
            </w:r>
          </w:p>
        </w:tc>
        <w:tc>
          <w:tcPr/>
          <w:p>
            <w:pPr>
              <w:pStyle w:val="Compact"/>
              <w:jc w:val="right"/>
            </w:pPr>
            <w:r>
              <w:t xml:space="preserve">38</w:t>
            </w:r>
          </w:p>
        </w:tc>
        <w:tc>
          <w:tcPr/>
          <w:p>
            <w:pPr>
              <w:pStyle w:val="Compact"/>
              <w:jc w:val="right"/>
            </w:pPr>
            <w:r>
              <w:t xml:space="preserve">0.567</w:t>
            </w:r>
          </w:p>
        </w:tc>
        <w:tc>
          <w:tcPr/>
          <w:p>
            <w:pPr>
              <w:pStyle w:val="Compact"/>
              <w:jc w:val="right"/>
            </w:pPr>
            <w:r>
              <w:t xml:space="preserve">0.448</w:t>
            </w:r>
          </w:p>
        </w:tc>
        <w:tc>
          <w:tcPr/>
          <w:p>
            <w:pPr>
              <w:pStyle w:val="Compact"/>
              <w:jc w:val="right"/>
            </w:pPr>
            <w:r>
              <w:t xml:space="preserve">0.679</w:t>
            </w:r>
          </w:p>
        </w:tc>
        <w:tc>
          <w:tcPr/>
          <w:p>
            <w:pPr>
              <w:pStyle w:val="Compact"/>
              <w:jc w:val="right"/>
            </w:pPr>
            <w:r>
              <w:t xml:space="preserve">0.466</w:t>
            </w:r>
          </w:p>
        </w:tc>
        <w:tc>
          <w:tcPr/>
          <w:p>
            <w:pPr>
              <w:pStyle w:val="Compact"/>
              <w:jc w:val="right"/>
            </w:pPr>
            <w:r>
              <w:t xml:space="preserve">1.008</w:t>
            </w:r>
          </w:p>
        </w:tc>
        <w:tc>
          <w:tcPr/>
          <w:p>
            <w:pPr>
              <w:pStyle w:val="Compact"/>
              <w:jc w:val="right"/>
            </w:pPr>
            <w:r>
              <w:t xml:space="preserve">0.728</w:t>
            </w:r>
          </w:p>
        </w:tc>
        <w:tc>
          <w:tcPr/>
          <w:p>
            <w:pPr>
              <w:pStyle w:val="Compact"/>
              <w:jc w:val="right"/>
            </w:pPr>
            <w:r>
              <w:t xml:space="preserve">1.396</w:t>
            </w:r>
          </w:p>
        </w:tc>
        <w:tc>
          <w:tcPr/>
          <w:p>
            <w:pPr>
              <w:pStyle w:val="Compact"/>
              <w:jc w:val="right"/>
            </w:pPr>
            <w:r>
              <w:t xml:space="preserve">0.960</w:t>
            </w:r>
          </w:p>
        </w:tc>
        <w:tc>
          <w:tcPr/>
          <w:p>
            <w:pPr>
              <w:pStyle w:val="Compact"/>
              <w:jc w:val="left"/>
            </w:pPr>
            <w:r>
              <w:t xml:space="preserve">p = 0.960</w:t>
            </w:r>
          </w:p>
        </w:tc>
      </w:tr>
      <w:tr>
        <w:tc>
          <w:tcPr/>
          <w:p>
            <w:pPr>
              <w:pStyle w:val="Compact"/>
              <w:jc w:val="left"/>
            </w:pPr>
            <w:r>
              <w:t xml:space="preserve">Middle Atlantic</w:t>
            </w:r>
          </w:p>
        </w:tc>
        <w:tc>
          <w:tcPr/>
          <w:p>
            <w:pPr>
              <w:pStyle w:val="Compact"/>
              <w:jc w:val="right"/>
            </w:pPr>
            <w:r>
              <w:t xml:space="preserve">91</w:t>
            </w:r>
          </w:p>
        </w:tc>
        <w:tc>
          <w:tcPr/>
          <w:p>
            <w:pPr>
              <w:pStyle w:val="Compact"/>
              <w:jc w:val="right"/>
            </w:pPr>
            <w:r>
              <w:t xml:space="preserve">44</w:t>
            </w:r>
          </w:p>
        </w:tc>
        <w:tc>
          <w:tcPr/>
          <w:p>
            <w:pPr>
              <w:pStyle w:val="Compact"/>
              <w:jc w:val="right"/>
            </w:pPr>
            <w:r>
              <w:t xml:space="preserve">0.484</w:t>
            </w:r>
          </w:p>
        </w:tc>
        <w:tc>
          <w:tcPr/>
          <w:p>
            <w:pPr>
              <w:pStyle w:val="Compact"/>
              <w:jc w:val="right"/>
            </w:pPr>
            <w:r>
              <w:t xml:space="preserve">0.384</w:t>
            </w:r>
          </w:p>
        </w:tc>
        <w:tc>
          <w:tcPr/>
          <w:p>
            <w:pPr>
              <w:pStyle w:val="Compact"/>
              <w:jc w:val="right"/>
            </w:pPr>
            <w:r>
              <w:t xml:space="preserve">0.585</w:t>
            </w:r>
          </w:p>
        </w:tc>
        <w:tc>
          <w:tcPr/>
          <w:p>
            <w:pPr>
              <w:pStyle w:val="Compact"/>
              <w:jc w:val="right"/>
            </w:pPr>
            <w:r>
              <w:t xml:space="preserve">-7.898</w:t>
            </w:r>
          </w:p>
        </w:tc>
        <w:tc>
          <w:tcPr/>
          <w:p>
            <w:pPr>
              <w:pStyle w:val="Compact"/>
              <w:jc w:val="right"/>
            </w:pPr>
            <w:r>
              <w:t xml:space="preserve">0.860</w:t>
            </w:r>
          </w:p>
        </w:tc>
        <w:tc>
          <w:tcPr/>
          <w:p>
            <w:pPr>
              <w:pStyle w:val="Compact"/>
              <w:jc w:val="right"/>
            </w:pPr>
            <w:r>
              <w:t xml:space="preserve">0.619</w:t>
            </w:r>
          </w:p>
        </w:tc>
        <w:tc>
          <w:tcPr/>
          <w:p>
            <w:pPr>
              <w:pStyle w:val="Compact"/>
              <w:jc w:val="right"/>
            </w:pPr>
            <w:r>
              <w:t xml:space="preserve">1.193</w:t>
            </w:r>
          </w:p>
        </w:tc>
        <w:tc>
          <w:tcPr/>
          <w:p>
            <w:pPr>
              <w:pStyle w:val="Compact"/>
              <w:jc w:val="right"/>
            </w:pPr>
            <w:r>
              <w:t xml:space="preserve">0.376</w:t>
            </w:r>
          </w:p>
        </w:tc>
        <w:tc>
          <w:tcPr/>
          <w:p>
            <w:pPr>
              <w:pStyle w:val="Compact"/>
              <w:jc w:val="left"/>
            </w:pPr>
            <w:r>
              <w:t xml:space="preserve">p = 0.376</w:t>
            </w:r>
          </w:p>
        </w:tc>
      </w:tr>
      <w:tr>
        <w:tc>
          <w:tcPr/>
          <w:p>
            <w:pPr>
              <w:pStyle w:val="Compact"/>
              <w:jc w:val="left"/>
            </w:pPr>
            <w:r>
              <w:t xml:space="preserve">Mountain/Southwest</w:t>
            </w:r>
          </w:p>
        </w:tc>
        <w:tc>
          <w:tcPr/>
          <w:p>
            <w:pPr>
              <w:pStyle w:val="Compact"/>
              <w:jc w:val="right"/>
            </w:pPr>
            <w:r>
              <w:t xml:space="preserve">45</w:t>
            </w:r>
          </w:p>
        </w:tc>
        <w:tc>
          <w:tcPr/>
          <w:p>
            <w:pPr>
              <w:pStyle w:val="Compact"/>
              <w:jc w:val="right"/>
            </w:pPr>
            <w:r>
              <w:t xml:space="preserve">21</w:t>
            </w:r>
          </w:p>
        </w:tc>
        <w:tc>
          <w:tcPr/>
          <w:p>
            <w:pPr>
              <w:pStyle w:val="Compact"/>
              <w:jc w:val="right"/>
            </w:pPr>
            <w:r>
              <w:t xml:space="preserve">0.467</w:t>
            </w:r>
          </w:p>
        </w:tc>
        <w:tc>
          <w:tcPr/>
          <w:p>
            <w:pPr>
              <w:pStyle w:val="Compact"/>
              <w:jc w:val="right"/>
            </w:pPr>
            <w:r>
              <w:t xml:space="preserve">0.329</w:t>
            </w:r>
          </w:p>
        </w:tc>
        <w:tc>
          <w:tcPr/>
          <w:p>
            <w:pPr>
              <w:pStyle w:val="Compact"/>
              <w:jc w:val="right"/>
            </w:pPr>
            <w:r>
              <w:t xml:space="preserve">0.609</w:t>
            </w:r>
          </w:p>
        </w:tc>
        <w:tc>
          <w:tcPr/>
          <w:p>
            <w:pPr>
              <w:pStyle w:val="Compact"/>
              <w:jc w:val="right"/>
            </w:pPr>
            <w:r>
              <w:t xml:space="preserve">-9.583</w:t>
            </w:r>
          </w:p>
        </w:tc>
        <w:tc>
          <w:tcPr/>
          <w:p>
            <w:pPr>
              <w:pStyle w:val="Compact"/>
              <w:jc w:val="right"/>
            </w:pPr>
            <w:r>
              <w:t xml:space="preserve">0.830</w:t>
            </w:r>
          </w:p>
        </w:tc>
        <w:tc>
          <w:tcPr/>
          <w:p>
            <w:pPr>
              <w:pStyle w:val="Compact"/>
              <w:jc w:val="right"/>
            </w:pPr>
            <w:r>
              <w:t xml:space="preserve">0.556</w:t>
            </w:r>
          </w:p>
        </w:tc>
        <w:tc>
          <w:tcPr/>
          <w:p>
            <w:pPr>
              <w:pStyle w:val="Compact"/>
              <w:jc w:val="right"/>
            </w:pPr>
            <w:r>
              <w:t xml:space="preserve">1.237</w:t>
            </w:r>
          </w:p>
        </w:tc>
        <w:tc>
          <w:tcPr/>
          <w:p>
            <w:pPr>
              <w:pStyle w:val="Compact"/>
              <w:jc w:val="right"/>
            </w:pPr>
            <w:r>
              <w:t xml:space="preserve">0.355</w:t>
            </w:r>
          </w:p>
        </w:tc>
        <w:tc>
          <w:tcPr/>
          <w:p>
            <w:pPr>
              <w:pStyle w:val="Compact"/>
              <w:jc w:val="left"/>
            </w:pPr>
            <w:r>
              <w:t xml:space="preserve">p = 0.355</w:t>
            </w:r>
          </w:p>
        </w:tc>
      </w:tr>
    </w:tbl>
    <w:p/>
    <w:p>
      <w:pPr>
        <w:pStyle w:val="TableCaption"/>
      </w:pPr>
      <w:r>
        <w:t xml:space="preserve">Table S7. Access vs. timeliness models, side by side.</w:t>
      </w:r>
    </w:p>
    <w:tbl>
      <w:tblPr>
        <w:tblStyle w:val="Table"/>
        <w:tblW w:type="pct" w:w="5000"/>
        <w:tblLayout w:type="fixed"/>
        <w:tblLook w:firstRow="1" w:lastRow="0" w:firstColumn="0" w:lastColumn="0" w:noHBand="0" w:noVBand="0" w:val="0020"/>
        <w:tblCaption w:val="Table S7. Access vs. timeliness models, side by side."/>
      </w:tblPr>
      <w:tblGrid>
        <w:gridCol w:w="2907"/>
        <w:gridCol w:w="2606"/>
        <w:gridCol w:w="2406"/>
      </w:tblGrid>
      <w:tr>
        <w:trPr>
          <w:tblHeader w:val="on"/>
        </w:trPr>
        <w:tc>
          <w:tcPr/>
          <w:p>
            <w:pPr>
              <w:pStyle w:val="Compact"/>
              <w:jc w:val="left"/>
            </w:pPr>
            <w:r>
              <w:t xml:space="preserve">Term</w:t>
            </w:r>
          </w:p>
        </w:tc>
        <w:tc>
          <w:tcPr/>
          <w:p>
            <w:pPr>
              <w:pStyle w:val="Compact"/>
              <w:jc w:val="left"/>
            </w:pPr>
            <w:r>
              <w:t xml:space="preserve">Access [Logistic]</w:t>
            </w:r>
          </w:p>
        </w:tc>
        <w:tc>
          <w:tcPr/>
          <w:p>
            <w:pPr>
              <w:pStyle w:val="Compact"/>
              <w:jc w:val="left"/>
            </w:pPr>
            <w:r>
              <w:t xml:space="preserve">Timeliness [NB]</w:t>
            </w:r>
          </w:p>
        </w:tc>
      </w:tr>
      <w:tr>
        <w:tc>
          <w:tcPr/>
          <w:p>
            <w:pPr>
              <w:pStyle w:val="Compact"/>
              <w:jc w:val="left"/>
            </w:pPr>
            <w:r>
              <w:t xml:space="preserve">ent_typeGeneral</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ent_typeFacial Plastics</w:t>
            </w:r>
          </w:p>
        </w:tc>
        <w:tc>
          <w:tcPr/>
          <w:p>
            <w:pPr>
              <w:pStyle w:val="Compact"/>
              <w:jc w:val="left"/>
            </w:pPr>
            <w:r>
              <w:t xml:space="preserve">0.90 (0.54-1.52)</w:t>
            </w:r>
          </w:p>
        </w:tc>
        <w:tc>
          <w:tcPr/>
          <w:p>
            <w:pPr>
              <w:pStyle w:val="Compact"/>
            </w:pPr>
          </w:p>
        </w:tc>
      </w:tr>
      <w:tr>
        <w:tc>
          <w:tcPr/>
          <w:p>
            <w:pPr>
              <w:pStyle w:val="Compact"/>
              <w:jc w:val="left"/>
            </w:pPr>
            <w:r>
              <w:t xml:space="preserve">p=0.696</w:t>
            </w:r>
          </w:p>
        </w:tc>
        <w:tc>
          <w:tcPr/>
          <w:p>
            <w:pPr>
              <w:pStyle w:val="Compact"/>
              <w:jc w:val="left"/>
            </w:pPr>
            <w:r>
              <w:t xml:space="preserve">1.04 (0.72-1.50)</w:t>
            </w:r>
          </w:p>
        </w:tc>
        <w:tc>
          <w:tcPr/>
          <w:p>
            <w:pPr>
              <w:pStyle w:val="Compact"/>
            </w:pPr>
          </w:p>
        </w:tc>
      </w:tr>
      <w:tr>
        <w:tc>
          <w:tcPr/>
          <w:p>
            <w:pPr>
              <w:pStyle w:val="Compact"/>
              <w:jc w:val="left"/>
            </w:pPr>
            <w:r>
              <w:t xml:space="preserve">p=0.852</w:t>
            </w:r>
          </w:p>
        </w:tc>
        <w:tc>
          <w:tcPr/>
          <w:p>
            <w:pPr>
              <w:pStyle w:val="Compact"/>
            </w:pPr>
          </w:p>
        </w:tc>
        <w:tc>
          <w:tcPr/>
          <w:p>
            <w:pPr>
              <w:pStyle w:val="Compact"/>
            </w:pPr>
          </w:p>
        </w:tc>
      </w:tr>
      <w:tr>
        <w:tc>
          <w:tcPr/>
          <w:p>
            <w:pPr>
              <w:pStyle w:val="Compact"/>
              <w:jc w:val="left"/>
            </w:pPr>
            <w:r>
              <w:t xml:space="preserve">ent_typeHead and Neck Cancer</w:t>
            </w:r>
          </w:p>
        </w:tc>
        <w:tc>
          <w:tcPr/>
          <w:p>
            <w:pPr>
              <w:pStyle w:val="Compact"/>
              <w:jc w:val="left"/>
            </w:pPr>
            <w:r>
              <w:t xml:space="preserve">0.83 (0.36-1.91)</w:t>
            </w:r>
          </w:p>
        </w:tc>
        <w:tc>
          <w:tcPr/>
          <w:p>
            <w:pPr>
              <w:pStyle w:val="Compact"/>
            </w:pPr>
          </w:p>
        </w:tc>
      </w:tr>
      <w:tr>
        <w:tc>
          <w:tcPr/>
          <w:p>
            <w:pPr>
              <w:pStyle w:val="Compact"/>
              <w:jc w:val="left"/>
            </w:pPr>
            <w:r>
              <w:t xml:space="preserve">p=0.661</w:t>
            </w:r>
          </w:p>
        </w:tc>
        <w:tc>
          <w:tcPr/>
          <w:p>
            <w:pPr>
              <w:pStyle w:val="Compact"/>
              <w:jc w:val="left"/>
            </w:pPr>
            <w:r>
              <w:t xml:space="preserve">1.26 (0.72-2.23)</w:t>
            </w:r>
          </w:p>
        </w:tc>
        <w:tc>
          <w:tcPr/>
          <w:p>
            <w:pPr>
              <w:pStyle w:val="Compact"/>
            </w:pPr>
          </w:p>
        </w:tc>
      </w:tr>
      <w:tr>
        <w:tc>
          <w:tcPr/>
          <w:p>
            <w:pPr>
              <w:pStyle w:val="Compact"/>
              <w:jc w:val="left"/>
            </w:pPr>
            <w:r>
              <w:t xml:space="preserve">p=0.421</w:t>
            </w:r>
          </w:p>
        </w:tc>
        <w:tc>
          <w:tcPr/>
          <w:p>
            <w:pPr>
              <w:pStyle w:val="Compact"/>
            </w:pPr>
          </w:p>
        </w:tc>
        <w:tc>
          <w:tcPr/>
          <w:p>
            <w:pPr>
              <w:pStyle w:val="Compact"/>
            </w:pPr>
          </w:p>
        </w:tc>
      </w:tr>
      <w:tr>
        <w:tc>
          <w:tcPr/>
          <w:p>
            <w:pPr>
              <w:pStyle w:val="Compact"/>
              <w:jc w:val="left"/>
            </w:pPr>
            <w:r>
              <w:t xml:space="preserve">ent_typeLaryngology</w:t>
            </w:r>
          </w:p>
        </w:tc>
        <w:tc>
          <w:tcPr/>
          <w:p>
            <w:pPr>
              <w:pStyle w:val="Compact"/>
              <w:jc w:val="left"/>
            </w:pPr>
            <w:r>
              <w:t xml:space="preserve">1.74 (0.50-6.08)</w:t>
            </w:r>
          </w:p>
        </w:tc>
        <w:tc>
          <w:tcPr/>
          <w:p>
            <w:pPr>
              <w:pStyle w:val="Compact"/>
            </w:pPr>
          </w:p>
        </w:tc>
      </w:tr>
      <w:tr>
        <w:tc>
          <w:tcPr/>
          <w:p>
            <w:pPr>
              <w:pStyle w:val="Compact"/>
              <w:jc w:val="left"/>
            </w:pPr>
            <w:r>
              <w:t xml:space="preserve">p=0.385</w:t>
            </w:r>
          </w:p>
        </w:tc>
        <w:tc>
          <w:tcPr/>
          <w:p>
            <w:pPr>
              <w:pStyle w:val="Compact"/>
              <w:jc w:val="left"/>
            </w:pPr>
            <w:r>
              <w:t xml:space="preserve">2.25 (1.13-4.46)</w:t>
            </w:r>
          </w:p>
        </w:tc>
        <w:tc>
          <w:tcPr/>
          <w:p>
            <w:pPr>
              <w:pStyle w:val="Compact"/>
            </w:pPr>
          </w:p>
        </w:tc>
      </w:tr>
      <w:tr>
        <w:tc>
          <w:tcPr/>
          <w:p>
            <w:pPr>
              <w:pStyle w:val="Compact"/>
              <w:jc w:val="left"/>
            </w:pPr>
            <w:r>
              <w:t xml:space="preserve">p=0.020</w:t>
            </w:r>
          </w:p>
        </w:tc>
        <w:tc>
          <w:tcPr/>
          <w:p>
            <w:pPr>
              <w:pStyle w:val="Compact"/>
            </w:pPr>
          </w:p>
        </w:tc>
        <w:tc>
          <w:tcPr/>
          <w:p>
            <w:pPr>
              <w:pStyle w:val="Compact"/>
            </w:pPr>
          </w:p>
        </w:tc>
      </w:tr>
      <w:tr>
        <w:tc>
          <w:tcPr/>
          <w:p>
            <w:pPr>
              <w:pStyle w:val="Compact"/>
              <w:jc w:val="left"/>
            </w:pPr>
            <w:r>
              <w:t xml:space="preserve">ent_typeOtology/neurotology</w:t>
            </w:r>
          </w:p>
        </w:tc>
        <w:tc>
          <w:tcPr/>
          <w:p>
            <w:pPr>
              <w:pStyle w:val="Compact"/>
              <w:jc w:val="left"/>
            </w:pPr>
            <w:r>
              <w:t xml:space="preserve">0.49 (0.23-1.07)</w:t>
            </w:r>
          </w:p>
        </w:tc>
        <w:tc>
          <w:tcPr/>
          <w:p>
            <w:pPr>
              <w:pStyle w:val="Compact"/>
            </w:pPr>
          </w:p>
        </w:tc>
      </w:tr>
      <w:tr>
        <w:tc>
          <w:tcPr/>
          <w:p>
            <w:pPr>
              <w:pStyle w:val="Compact"/>
              <w:jc w:val="left"/>
            </w:pPr>
            <w:r>
              <w:t xml:space="preserve">p=0.074</w:t>
            </w:r>
          </w:p>
        </w:tc>
        <w:tc>
          <w:tcPr/>
          <w:p>
            <w:pPr>
              <w:pStyle w:val="Compact"/>
              <w:jc w:val="left"/>
            </w:pPr>
            <w:r>
              <w:t xml:space="preserve">1.21 (0.64-2.26)</w:t>
            </w:r>
          </w:p>
        </w:tc>
        <w:tc>
          <w:tcPr/>
          <w:p>
            <w:pPr>
              <w:pStyle w:val="Compact"/>
            </w:pPr>
          </w:p>
        </w:tc>
      </w:tr>
      <w:tr>
        <w:tc>
          <w:tcPr/>
          <w:p>
            <w:pPr>
              <w:pStyle w:val="Compact"/>
              <w:jc w:val="left"/>
            </w:pPr>
            <w:r>
              <w:t xml:space="preserve">p=0.557</w:t>
            </w:r>
          </w:p>
        </w:tc>
        <w:tc>
          <w:tcPr/>
          <w:p>
            <w:pPr>
              <w:pStyle w:val="Compact"/>
            </w:pPr>
          </w:p>
        </w:tc>
        <w:tc>
          <w:tcPr/>
          <w:p>
            <w:pPr>
              <w:pStyle w:val="Compact"/>
            </w:pPr>
          </w:p>
        </w:tc>
      </w:tr>
      <w:tr>
        <w:tc>
          <w:tcPr/>
          <w:p>
            <w:pPr>
              <w:pStyle w:val="Compact"/>
              <w:jc w:val="left"/>
            </w:pPr>
            <w:r>
              <w:t xml:space="preserve">ent_typePediatrics</w:t>
            </w:r>
          </w:p>
        </w:tc>
        <w:tc>
          <w:tcPr/>
          <w:p>
            <w:pPr>
              <w:pStyle w:val="Compact"/>
              <w:jc w:val="left"/>
            </w:pPr>
            <w:r>
              <w:t xml:space="preserve">2.26 (1.08-4.75)</w:t>
            </w:r>
          </w:p>
        </w:tc>
        <w:tc>
          <w:tcPr/>
          <w:p>
            <w:pPr>
              <w:pStyle w:val="Compact"/>
            </w:pPr>
          </w:p>
        </w:tc>
      </w:tr>
      <w:tr>
        <w:tc>
          <w:tcPr/>
          <w:p>
            <w:pPr>
              <w:pStyle w:val="Compact"/>
              <w:jc w:val="left"/>
            </w:pPr>
            <w:r>
              <w:t xml:space="preserve">p=0.031</w:t>
            </w:r>
          </w:p>
        </w:tc>
        <w:tc>
          <w:tcPr/>
          <w:p>
            <w:pPr>
              <w:pStyle w:val="Compact"/>
              <w:jc w:val="left"/>
            </w:pPr>
            <w:r>
              <w:t xml:space="preserve">1.54 (1.04-2.28)</w:t>
            </w:r>
          </w:p>
        </w:tc>
        <w:tc>
          <w:tcPr/>
          <w:p>
            <w:pPr>
              <w:pStyle w:val="Compact"/>
            </w:pPr>
          </w:p>
        </w:tc>
      </w:tr>
      <w:tr>
        <w:tc>
          <w:tcPr/>
          <w:p>
            <w:pPr>
              <w:pStyle w:val="Compact"/>
              <w:jc w:val="left"/>
            </w:pPr>
            <w:r>
              <w:t xml:space="preserve">p=0.031</w:t>
            </w:r>
          </w:p>
        </w:tc>
        <w:tc>
          <w:tcPr/>
          <w:p>
            <w:pPr>
              <w:pStyle w:val="Compact"/>
            </w:pPr>
          </w:p>
        </w:tc>
        <w:tc>
          <w:tcPr/>
          <w:p>
            <w:pPr>
              <w:pStyle w:val="Compact"/>
            </w:pPr>
          </w:p>
        </w:tc>
      </w:tr>
      <w:tr>
        <w:tc>
          <w:tcPr/>
          <w:p>
            <w:pPr>
              <w:pStyle w:val="Compact"/>
              <w:jc w:val="left"/>
            </w:pPr>
            <w:r>
              <w:t xml:space="preserve">ent_typeRhinology</w:t>
            </w:r>
          </w:p>
        </w:tc>
        <w:tc>
          <w:tcPr/>
          <w:p>
            <w:pPr>
              <w:pStyle w:val="Compact"/>
              <w:jc w:val="left"/>
            </w:pPr>
            <w:r>
              <w:t xml:space="preserve">2.11 (0.72-6.17)</w:t>
            </w:r>
          </w:p>
        </w:tc>
        <w:tc>
          <w:tcPr/>
          <w:p>
            <w:pPr>
              <w:pStyle w:val="Compact"/>
            </w:pPr>
          </w:p>
        </w:tc>
      </w:tr>
      <w:tr>
        <w:tc>
          <w:tcPr/>
          <w:p>
            <w:pPr>
              <w:pStyle w:val="Compact"/>
              <w:jc w:val="left"/>
            </w:pPr>
            <w:r>
              <w:t xml:space="preserve">p=0.174</w:t>
            </w:r>
          </w:p>
        </w:tc>
        <w:tc>
          <w:tcPr/>
          <w:p>
            <w:pPr>
              <w:pStyle w:val="Compact"/>
              <w:jc w:val="left"/>
            </w:pPr>
            <w:r>
              <w:t xml:space="preserve">1.55 (0.89-2.68)</w:t>
            </w:r>
          </w:p>
        </w:tc>
        <w:tc>
          <w:tcPr/>
          <w:p>
            <w:pPr>
              <w:pStyle w:val="Compact"/>
            </w:pPr>
          </w:p>
        </w:tc>
      </w:tr>
      <w:tr>
        <w:tc>
          <w:tcPr/>
          <w:p>
            <w:pPr>
              <w:pStyle w:val="Compact"/>
              <w:jc w:val="left"/>
            </w:pPr>
            <w:r>
              <w:t xml:space="preserve">p=0.121</w:t>
            </w:r>
          </w:p>
        </w:tc>
        <w:tc>
          <w:tcPr/>
          <w:p>
            <w:pPr>
              <w:pStyle w:val="Compact"/>
            </w:pPr>
          </w:p>
        </w:tc>
        <w:tc>
          <w:tcPr/>
          <w:p>
            <w:pPr>
              <w:pStyle w:val="Compact"/>
            </w:pPr>
          </w:p>
        </w:tc>
      </w:tr>
      <w:tr>
        <w:tc>
          <w:tcPr/>
          <w:p>
            <w:pPr>
              <w:pStyle w:val="Compact"/>
              <w:jc w:val="left"/>
            </w:pPr>
            <w:r>
              <w:t xml:space="preserve">ent_typeSleep</w:t>
            </w:r>
          </w:p>
        </w:tc>
        <w:tc>
          <w:tcPr/>
          <w:p>
            <w:pPr>
              <w:pStyle w:val="Compact"/>
              <w:jc w:val="left"/>
            </w:pPr>
            <w:r>
              <w:t xml:space="preserve">1.66 (0.55-5.03)</w:t>
            </w:r>
          </w:p>
        </w:tc>
        <w:tc>
          <w:tcPr/>
          <w:p>
            <w:pPr>
              <w:pStyle w:val="Compact"/>
            </w:pPr>
          </w:p>
        </w:tc>
      </w:tr>
      <w:tr>
        <w:tc>
          <w:tcPr/>
          <w:p>
            <w:pPr>
              <w:pStyle w:val="Compact"/>
              <w:jc w:val="left"/>
            </w:pPr>
            <w:r>
              <w:t xml:space="preserve">p=0.371</w:t>
            </w:r>
          </w:p>
        </w:tc>
        <w:tc>
          <w:tcPr/>
          <w:p>
            <w:pPr>
              <w:pStyle w:val="Compact"/>
              <w:jc w:val="left"/>
            </w:pPr>
            <w:r>
              <w:t xml:space="preserve">1.17 (0.61-2.24)</w:t>
            </w:r>
          </w:p>
        </w:tc>
        <w:tc>
          <w:tcPr/>
          <w:p>
            <w:pPr>
              <w:pStyle w:val="Compact"/>
            </w:pPr>
          </w:p>
        </w:tc>
      </w:tr>
      <w:tr>
        <w:tc>
          <w:tcPr/>
          <w:p>
            <w:pPr>
              <w:pStyle w:val="Compact"/>
              <w:jc w:val="left"/>
            </w:pPr>
            <w:r>
              <w:t xml:space="preserve">p=0.646</w:t>
            </w:r>
          </w:p>
        </w:tc>
        <w:tc>
          <w:tcPr/>
          <w:p>
            <w:pPr>
              <w:pStyle w:val="Compact"/>
            </w:pPr>
          </w:p>
        </w:tc>
        <w:tc>
          <w:tcPr/>
          <w:p>
            <w:pPr>
              <w:pStyle w:val="Compact"/>
            </w:pPr>
          </w:p>
        </w:tc>
      </w:tr>
      <w:tr>
        <w:tc>
          <w:tcPr/>
          <w:p>
            <w:pPr>
              <w:pStyle w:val="Compact"/>
              <w:jc w:val="left"/>
            </w:pPr>
            <w:r>
              <w:t xml:space="preserve">ent_per_100k_z</w:t>
            </w:r>
          </w:p>
        </w:tc>
        <w:tc>
          <w:tcPr/>
          <w:p>
            <w:pPr>
              <w:pStyle w:val="Compact"/>
              <w:jc w:val="left"/>
            </w:pPr>
            <w:r>
              <w:t xml:space="preserve">0.96 (0.81-1.13)</w:t>
            </w:r>
          </w:p>
        </w:tc>
        <w:tc>
          <w:tcPr/>
          <w:p>
            <w:pPr>
              <w:pStyle w:val="Compact"/>
            </w:pPr>
          </w:p>
        </w:tc>
      </w:tr>
      <w:tr>
        <w:tc>
          <w:tcPr/>
          <w:p>
            <w:pPr>
              <w:pStyle w:val="Compact"/>
              <w:jc w:val="left"/>
            </w:pPr>
            <w:r>
              <w:t xml:space="preserve">p=0.603</w:t>
            </w:r>
          </w:p>
        </w:tc>
        <w:tc>
          <w:tcPr/>
          <w:p>
            <w:pPr>
              <w:pStyle w:val="Compact"/>
              <w:jc w:val="left"/>
            </w:pPr>
            <w:r>
              <w:t xml:space="preserve">0.95 (0.81-1.11)</w:t>
            </w:r>
          </w:p>
        </w:tc>
        <w:tc>
          <w:tcPr/>
          <w:p>
            <w:pPr>
              <w:pStyle w:val="Compact"/>
            </w:pPr>
          </w:p>
        </w:tc>
      </w:tr>
      <w:tr>
        <w:tc>
          <w:tcPr/>
          <w:p>
            <w:pPr>
              <w:pStyle w:val="Compact"/>
              <w:jc w:val="left"/>
            </w:pPr>
            <w:r>
              <w:t xml:space="preserve">p=0.499</w:t>
            </w:r>
          </w:p>
        </w:tc>
        <w:tc>
          <w:tcPr/>
          <w:p>
            <w:pPr>
              <w:pStyle w:val="Compact"/>
            </w:pPr>
          </w:p>
        </w:tc>
        <w:tc>
          <w:tcPr/>
          <w:p>
            <w:pPr>
              <w:pStyle w:val="Compact"/>
            </w:pPr>
          </w:p>
        </w:tc>
      </w:tr>
      <w:tr>
        <w:tc>
          <w:tcPr/>
          <w:p>
            <w:pPr>
              <w:pStyle w:val="Compact"/>
              <w:jc w:val="left"/>
            </w:pPr>
            <w:r>
              <w:t xml:space="preserve">medicaid_fee_index_z</w:t>
            </w:r>
          </w:p>
        </w:tc>
        <w:tc>
          <w:tcPr/>
          <w:p>
            <w:pPr>
              <w:pStyle w:val="Compact"/>
              <w:jc w:val="left"/>
            </w:pPr>
            <w:r>
              <w:t xml:space="preserve">0.91 (0.77-1.07)</w:t>
            </w:r>
          </w:p>
        </w:tc>
        <w:tc>
          <w:tcPr/>
          <w:p>
            <w:pPr>
              <w:pStyle w:val="Compact"/>
            </w:pPr>
          </w:p>
        </w:tc>
      </w:tr>
      <w:tr>
        <w:tc>
          <w:tcPr/>
          <w:p>
            <w:pPr>
              <w:pStyle w:val="Compact"/>
              <w:jc w:val="left"/>
            </w:pPr>
            <w:r>
              <w:t xml:space="preserve">p=0.250</w:t>
            </w:r>
          </w:p>
        </w:tc>
        <w:tc>
          <w:tcPr/>
          <w:p>
            <w:pPr>
              <w:pStyle w:val="Compact"/>
              <w:jc w:val="left"/>
            </w:pPr>
            <w:r>
              <w:t xml:space="preserve">0.96 (0.84-1.10)</w:t>
            </w:r>
          </w:p>
        </w:tc>
        <w:tc>
          <w:tcPr/>
          <w:p>
            <w:pPr>
              <w:pStyle w:val="Compact"/>
            </w:pPr>
          </w:p>
        </w:tc>
      </w:tr>
      <w:tr>
        <w:tc>
          <w:tcPr/>
          <w:p>
            <w:pPr>
              <w:pStyle w:val="Compact"/>
              <w:jc w:val="left"/>
            </w:pPr>
            <w:r>
              <w:t xml:space="preserve">p=0.545</w:t>
            </w:r>
          </w:p>
        </w:tc>
        <w:tc>
          <w:tcPr/>
          <w:p>
            <w:pPr>
              <w:pStyle w:val="Compact"/>
            </w:pPr>
          </w:p>
        </w:tc>
        <w:tc>
          <w:tcPr/>
          <w:p>
            <w:pPr>
              <w:pStyle w:val="Compact"/>
            </w:pPr>
          </w:p>
        </w:tc>
      </w:tr>
      <w:tr>
        <w:tc>
          <w:tcPr/>
          <w:p>
            <w:pPr>
              <w:pStyle w:val="Compact"/>
              <w:jc w:val="left"/>
            </w:pPr>
            <w:r>
              <w:t xml:space="preserve">svi_overall_z</w:t>
            </w:r>
          </w:p>
        </w:tc>
        <w:tc>
          <w:tcPr/>
          <w:p>
            <w:pPr>
              <w:pStyle w:val="Compact"/>
              <w:jc w:val="left"/>
            </w:pPr>
            <w:r>
              <w:t xml:space="preserve">0.95 (0.80-1.13)</w:t>
            </w:r>
          </w:p>
        </w:tc>
        <w:tc>
          <w:tcPr/>
          <w:p>
            <w:pPr>
              <w:pStyle w:val="Compact"/>
            </w:pPr>
          </w:p>
        </w:tc>
      </w:tr>
      <w:tr>
        <w:tc>
          <w:tcPr/>
          <w:p>
            <w:pPr>
              <w:pStyle w:val="Compact"/>
              <w:jc w:val="left"/>
            </w:pPr>
            <w:r>
              <w:t xml:space="preserve">p=0.583</w:t>
            </w:r>
          </w:p>
        </w:tc>
        <w:tc>
          <w:tcPr/>
          <w:p>
            <w:pPr>
              <w:pStyle w:val="Compact"/>
              <w:jc w:val="left"/>
            </w:pPr>
            <w:r>
              <w:t xml:space="preserve">0.95 (0.84-1.07)</w:t>
            </w:r>
          </w:p>
        </w:tc>
        <w:tc>
          <w:tcPr/>
          <w:p>
            <w:pPr>
              <w:pStyle w:val="Compact"/>
            </w:pPr>
          </w:p>
        </w:tc>
      </w:tr>
      <w:tr>
        <w:tc>
          <w:tcPr/>
          <w:p>
            <w:pPr>
              <w:pStyle w:val="Compact"/>
              <w:jc w:val="left"/>
            </w:pPr>
            <w:r>
              <w:t xml:space="preserve">p=0.423</w:t>
            </w:r>
          </w:p>
        </w:tc>
        <w:tc>
          <w:tcPr/>
          <w:p>
            <w:pPr>
              <w:pStyle w:val="Compact"/>
            </w:pPr>
          </w:p>
        </w:tc>
        <w:tc>
          <w:tcPr/>
          <w:p>
            <w:pPr>
              <w:pStyle w:val="Compact"/>
            </w:pPr>
          </w:p>
        </w:tc>
      </w:tr>
      <w:tr>
        <w:tc>
          <w:tcPr/>
          <w:p>
            <w:pPr>
              <w:pStyle w:val="Compact"/>
              <w:jc w:val="left"/>
            </w:pPr>
            <w:r>
              <w:t xml:space="preserve">dual_pct_z</w:t>
            </w:r>
          </w:p>
        </w:tc>
        <w:tc>
          <w:tcPr/>
          <w:p>
            <w:pPr>
              <w:pStyle w:val="Compact"/>
              <w:jc w:val="left"/>
            </w:pPr>
            <w:r>
              <w:t xml:space="preserve">1.00 (0.83-1.20)</w:t>
            </w:r>
          </w:p>
        </w:tc>
        <w:tc>
          <w:tcPr/>
          <w:p>
            <w:pPr>
              <w:pStyle w:val="Compact"/>
            </w:pPr>
          </w:p>
        </w:tc>
      </w:tr>
      <w:tr>
        <w:tc>
          <w:tcPr/>
          <w:p>
            <w:pPr>
              <w:pStyle w:val="Compact"/>
              <w:jc w:val="left"/>
            </w:pPr>
            <w:r>
              <w:t xml:space="preserve">p=0.975</w:t>
            </w:r>
          </w:p>
        </w:tc>
        <w:tc>
          <w:tcPr/>
          <w:p>
            <w:pPr>
              <w:pStyle w:val="Compact"/>
              <w:jc w:val="left"/>
            </w:pPr>
            <w:r>
              <w:t xml:space="preserve">0.98 (0.86-1.12)</w:t>
            </w:r>
          </w:p>
        </w:tc>
        <w:tc>
          <w:tcPr/>
          <w:p>
            <w:pPr>
              <w:pStyle w:val="Compact"/>
            </w:pPr>
          </w:p>
        </w:tc>
      </w:tr>
      <w:tr>
        <w:tc>
          <w:tcPr/>
          <w:p>
            <w:pPr>
              <w:pStyle w:val="Compact"/>
              <w:jc w:val="left"/>
            </w:pPr>
            <w:r>
              <w:t xml:space="preserve">p=0.801</w:t>
            </w:r>
          </w:p>
        </w:tc>
        <w:tc>
          <w:tcPr/>
          <w:p>
            <w:pPr>
              <w:pStyle w:val="Compact"/>
            </w:pPr>
          </w:p>
        </w:tc>
        <w:tc>
          <w:tcPr/>
          <w:p>
            <w:pPr>
              <w:pStyle w:val="Compact"/>
            </w:pPr>
          </w:p>
        </w:tc>
      </w:tr>
      <w:tr>
        <w:tc>
          <w:tcPr/>
          <w:p>
            <w:pPr>
              <w:pStyle w:val="Compact"/>
              <w:jc w:val="left"/>
            </w:pPr>
            <w:r>
              <w:t xml:space="preserve">ruralUrban</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ruralRural</w:t>
            </w:r>
          </w:p>
        </w:tc>
        <w:tc>
          <w:tcPr/>
          <w:p>
            <w:pPr>
              <w:pStyle w:val="Compact"/>
              <w:jc w:val="left"/>
            </w:pPr>
            <w:r>
              <w:t xml:space="preserve">0.93 (0.49-1.75)</w:t>
            </w:r>
          </w:p>
        </w:tc>
        <w:tc>
          <w:tcPr/>
          <w:p>
            <w:pPr>
              <w:pStyle w:val="Compact"/>
            </w:pPr>
          </w:p>
        </w:tc>
      </w:tr>
      <w:tr>
        <w:tc>
          <w:tcPr/>
          <w:p>
            <w:pPr>
              <w:pStyle w:val="Compact"/>
              <w:jc w:val="left"/>
            </w:pPr>
            <w:r>
              <w:t xml:space="preserve">p=0.823</w:t>
            </w:r>
          </w:p>
        </w:tc>
        <w:tc>
          <w:tcPr/>
          <w:p>
            <w:pPr>
              <w:pStyle w:val="Compact"/>
              <w:jc w:val="left"/>
            </w:pPr>
            <w:r>
              <w:t xml:space="preserve">1.14 (0.72-1.81)</w:t>
            </w:r>
          </w:p>
        </w:tc>
        <w:tc>
          <w:tcPr/>
          <w:p>
            <w:pPr>
              <w:pStyle w:val="Compact"/>
            </w:pPr>
          </w:p>
        </w:tc>
      </w:tr>
      <w:tr>
        <w:tc>
          <w:tcPr/>
          <w:p>
            <w:pPr>
              <w:pStyle w:val="Compact"/>
              <w:jc w:val="left"/>
            </w:pPr>
            <w:r>
              <w:t xml:space="preserve">p=0.579</w:t>
            </w:r>
          </w:p>
        </w:tc>
        <w:tc>
          <w:tcPr/>
          <w:p>
            <w:pPr>
              <w:pStyle w:val="Compact"/>
            </w:pPr>
          </w:p>
        </w:tc>
        <w:tc>
          <w:tcPr/>
          <w:p>
            <w:pPr>
              <w:pStyle w:val="Compact"/>
            </w:pPr>
          </w:p>
        </w:tc>
      </w:tr>
      <w:tr>
        <w:tc>
          <w:tcPr/>
          <w:p>
            <w:pPr>
              <w:pStyle w:val="Compact"/>
              <w:jc w:val="left"/>
            </w:pPr>
            <w:r>
              <w:t xml:space="preserve">ruralSuburban</w:t>
            </w:r>
          </w:p>
        </w:tc>
        <w:tc>
          <w:tcPr/>
          <w:p>
            <w:pPr>
              <w:pStyle w:val="Compact"/>
              <w:jc w:val="left"/>
            </w:pPr>
            <w:r>
              <w:t xml:space="preserve">1.03 (0.71-1.50)</w:t>
            </w:r>
          </w:p>
        </w:tc>
        <w:tc>
          <w:tcPr/>
          <w:p>
            <w:pPr>
              <w:pStyle w:val="Compact"/>
            </w:pPr>
          </w:p>
        </w:tc>
      </w:tr>
      <w:tr>
        <w:tc>
          <w:tcPr/>
          <w:p>
            <w:pPr>
              <w:pStyle w:val="Compact"/>
              <w:jc w:val="left"/>
            </w:pPr>
            <w:r>
              <w:t xml:space="preserve">p=0.857</w:t>
            </w:r>
          </w:p>
        </w:tc>
        <w:tc>
          <w:tcPr/>
          <w:p>
            <w:pPr>
              <w:pStyle w:val="Compact"/>
              <w:jc w:val="left"/>
            </w:pPr>
            <w:r>
              <w:t xml:space="preserve">1.08 (0.81-1.42)</w:t>
            </w:r>
          </w:p>
        </w:tc>
        <w:tc>
          <w:tcPr/>
          <w:p>
            <w:pPr>
              <w:pStyle w:val="Compact"/>
            </w:pPr>
          </w:p>
        </w:tc>
      </w:tr>
      <w:tr>
        <w:tc>
          <w:tcPr/>
          <w:p>
            <w:pPr>
              <w:pStyle w:val="Compact"/>
              <w:jc w:val="left"/>
            </w:pPr>
            <w:r>
              <w:t xml:space="preserve">p=0.606</w:t>
            </w:r>
          </w:p>
        </w:tc>
        <w:tc>
          <w:tcPr/>
          <w:p>
            <w:pPr>
              <w:pStyle w:val="Compact"/>
            </w:pPr>
          </w:p>
        </w:tc>
        <w:tc>
          <w:tcPr/>
          <w:p>
            <w:pPr>
              <w:pStyle w:val="Compact"/>
            </w:pPr>
          </w:p>
        </w:tc>
      </w:tr>
      <w:tr>
        <w:tc>
          <w:tcPr/>
          <w:p>
            <w:pPr>
              <w:pStyle w:val="Compact"/>
              <w:jc w:val="left"/>
            </w:pPr>
            <w:r>
              <w:t xml:space="preserve">caller_fRoesch</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caller_fDeol</w:t>
            </w:r>
          </w:p>
        </w:tc>
        <w:tc>
          <w:tcPr/>
          <w:p>
            <w:pPr>
              <w:pStyle w:val="Compact"/>
              <w:jc w:val="left"/>
            </w:pPr>
            <w:r>
              <w:t xml:space="preserve">2.34 (1.42-3.86)</w:t>
            </w:r>
          </w:p>
        </w:tc>
        <w:tc>
          <w:tcPr/>
          <w:p>
            <w:pPr>
              <w:pStyle w:val="Compact"/>
            </w:pPr>
          </w:p>
        </w:tc>
      </w:tr>
      <w:tr>
        <w:tc>
          <w:tcPr/>
          <w:p>
            <w:pPr>
              <w:pStyle w:val="Compact"/>
              <w:jc w:val="left"/>
            </w:pPr>
            <w:r>
              <w:t xml:space="preserve">p=&lt; 0.001</w:t>
            </w:r>
          </w:p>
        </w:tc>
        <w:tc>
          <w:tcPr/>
          <w:p>
            <w:pPr>
              <w:pStyle w:val="Compact"/>
              <w:jc w:val="left"/>
            </w:pPr>
            <w:r>
              <w:t xml:space="preserve">0.82 (0.59-1.14)</w:t>
            </w:r>
          </w:p>
        </w:tc>
        <w:tc>
          <w:tcPr/>
          <w:p>
            <w:pPr>
              <w:pStyle w:val="Compact"/>
            </w:pPr>
          </w:p>
        </w:tc>
      </w:tr>
      <w:tr>
        <w:tc>
          <w:tcPr/>
          <w:p>
            <w:pPr>
              <w:pStyle w:val="Compact"/>
              <w:jc w:val="left"/>
            </w:pPr>
            <w:r>
              <w:t xml:space="preserve">p=0.235</w:t>
            </w:r>
          </w:p>
        </w:tc>
        <w:tc>
          <w:tcPr/>
          <w:p>
            <w:pPr>
              <w:pStyle w:val="Compact"/>
            </w:pPr>
          </w:p>
        </w:tc>
        <w:tc>
          <w:tcPr/>
          <w:p>
            <w:pPr>
              <w:pStyle w:val="Compact"/>
            </w:pPr>
          </w:p>
        </w:tc>
      </w:tr>
      <w:tr>
        <w:tc>
          <w:tcPr/>
          <w:p>
            <w:pPr>
              <w:pStyle w:val="Compact"/>
              <w:jc w:val="left"/>
            </w:pPr>
            <w:r>
              <w:t xml:space="preserve">caller_fFalk</w:t>
            </w:r>
          </w:p>
        </w:tc>
        <w:tc>
          <w:tcPr/>
          <w:p>
            <w:pPr>
              <w:pStyle w:val="Compact"/>
              <w:jc w:val="left"/>
            </w:pPr>
            <w:r>
              <w:t xml:space="preserve">2.00 (1.13-3.53)</w:t>
            </w:r>
          </w:p>
        </w:tc>
        <w:tc>
          <w:tcPr/>
          <w:p>
            <w:pPr>
              <w:pStyle w:val="Compact"/>
            </w:pPr>
          </w:p>
        </w:tc>
      </w:tr>
      <w:tr>
        <w:tc>
          <w:tcPr/>
          <w:p>
            <w:pPr>
              <w:pStyle w:val="Compact"/>
              <w:jc w:val="left"/>
            </w:pPr>
            <w:r>
              <w:t xml:space="preserve">p=0.017</w:t>
            </w:r>
          </w:p>
        </w:tc>
        <w:tc>
          <w:tcPr/>
          <w:p>
            <w:pPr>
              <w:pStyle w:val="Compact"/>
              <w:jc w:val="left"/>
            </w:pPr>
            <w:r>
              <w:t xml:space="preserve">0.61 (0.41-0.91)</w:t>
            </w:r>
          </w:p>
        </w:tc>
        <w:tc>
          <w:tcPr/>
          <w:p>
            <w:pPr>
              <w:pStyle w:val="Compact"/>
            </w:pPr>
          </w:p>
        </w:tc>
      </w:tr>
      <w:tr>
        <w:tc>
          <w:tcPr/>
          <w:p>
            <w:pPr>
              <w:pStyle w:val="Compact"/>
              <w:jc w:val="left"/>
            </w:pPr>
            <w:r>
              <w:t xml:space="preserve">p=0.015</w:t>
            </w:r>
          </w:p>
        </w:tc>
        <w:tc>
          <w:tcPr/>
          <w:p>
            <w:pPr>
              <w:pStyle w:val="Compact"/>
            </w:pPr>
          </w:p>
        </w:tc>
        <w:tc>
          <w:tcPr/>
          <w:p>
            <w:pPr>
              <w:pStyle w:val="Compact"/>
            </w:pPr>
          </w:p>
        </w:tc>
      </w:tr>
      <w:tr>
        <w:tc>
          <w:tcPr/>
          <w:p>
            <w:pPr>
              <w:pStyle w:val="Compact"/>
              <w:jc w:val="left"/>
            </w:pPr>
            <w:r>
              <w:t xml:space="preserve">caller_fGregg</w:t>
            </w:r>
          </w:p>
        </w:tc>
        <w:tc>
          <w:tcPr/>
          <w:p>
            <w:pPr>
              <w:pStyle w:val="Compact"/>
              <w:jc w:val="left"/>
            </w:pPr>
            <w:r>
              <w:t xml:space="preserve">1.90 (1.15-3.12)</w:t>
            </w:r>
          </w:p>
        </w:tc>
        <w:tc>
          <w:tcPr/>
          <w:p>
            <w:pPr>
              <w:pStyle w:val="Compact"/>
            </w:pPr>
          </w:p>
        </w:tc>
      </w:tr>
      <w:tr>
        <w:tc>
          <w:tcPr/>
          <w:p>
            <w:pPr>
              <w:pStyle w:val="Compact"/>
              <w:jc w:val="left"/>
            </w:pPr>
            <w:r>
              <w:t xml:space="preserve">p=0.012</w:t>
            </w:r>
          </w:p>
        </w:tc>
        <w:tc>
          <w:tcPr/>
          <w:p>
            <w:pPr>
              <w:pStyle w:val="Compact"/>
              <w:jc w:val="left"/>
            </w:pPr>
            <w:r>
              <w:t xml:space="preserve">1.00 (0.71-1.40)</w:t>
            </w:r>
          </w:p>
        </w:tc>
        <w:tc>
          <w:tcPr/>
          <w:p>
            <w:pPr>
              <w:pStyle w:val="Compact"/>
            </w:pPr>
          </w:p>
        </w:tc>
      </w:tr>
      <w:tr>
        <w:tc>
          <w:tcPr/>
          <w:p>
            <w:pPr>
              <w:pStyle w:val="Compact"/>
              <w:jc w:val="left"/>
            </w:pPr>
            <w:r>
              <w:t xml:space="preserve">p=0.978</w:t>
            </w:r>
          </w:p>
        </w:tc>
        <w:tc>
          <w:tcPr/>
          <w:p>
            <w:pPr>
              <w:pStyle w:val="Compact"/>
            </w:pPr>
          </w:p>
        </w:tc>
        <w:tc>
          <w:tcPr/>
          <w:p>
            <w:pPr>
              <w:pStyle w:val="Compact"/>
            </w:pPr>
          </w:p>
        </w:tc>
      </w:tr>
      <w:tr>
        <w:tc>
          <w:tcPr/>
          <w:p>
            <w:pPr>
              <w:pStyle w:val="Compact"/>
              <w:jc w:val="left"/>
            </w:pPr>
            <w:r>
              <w:t xml:space="preserve">caller_fKim</w:t>
            </w:r>
          </w:p>
        </w:tc>
        <w:tc>
          <w:tcPr/>
          <w:p>
            <w:pPr>
              <w:pStyle w:val="Compact"/>
              <w:jc w:val="left"/>
            </w:pPr>
            <w:r>
              <w:t xml:space="preserve">1.98 (1.20-3.27)</w:t>
            </w:r>
          </w:p>
        </w:tc>
        <w:tc>
          <w:tcPr/>
          <w:p>
            <w:pPr>
              <w:pStyle w:val="Compact"/>
            </w:pPr>
          </w:p>
        </w:tc>
      </w:tr>
      <w:tr>
        <w:tc>
          <w:tcPr/>
          <w:p>
            <w:pPr>
              <w:pStyle w:val="Compact"/>
              <w:jc w:val="left"/>
            </w:pPr>
            <w:r>
              <w:t xml:space="preserve">p=0.007</w:t>
            </w:r>
          </w:p>
        </w:tc>
        <w:tc>
          <w:tcPr/>
          <w:p>
            <w:pPr>
              <w:pStyle w:val="Compact"/>
              <w:jc w:val="left"/>
            </w:pPr>
            <w:r>
              <w:t xml:space="preserve">1.00 (0.71-1.42)</w:t>
            </w:r>
          </w:p>
        </w:tc>
        <w:tc>
          <w:tcPr/>
          <w:p>
            <w:pPr>
              <w:pStyle w:val="Compact"/>
            </w:pPr>
          </w:p>
        </w:tc>
      </w:tr>
      <w:tr>
        <w:tc>
          <w:tcPr/>
          <w:p>
            <w:pPr>
              <w:pStyle w:val="Compact"/>
              <w:jc w:val="left"/>
            </w:pPr>
            <w:r>
              <w:t xml:space="preserve">p=0.999</w:t>
            </w:r>
          </w:p>
        </w:tc>
        <w:tc>
          <w:tcPr/>
          <w:p>
            <w:pPr>
              <w:pStyle w:val="Compact"/>
            </w:pPr>
          </w:p>
        </w:tc>
        <w:tc>
          <w:tcPr/>
          <w:p>
            <w:pPr>
              <w:pStyle w:val="Compact"/>
            </w:pPr>
          </w:p>
        </w:tc>
      </w:tr>
      <w:tr>
        <w:tc>
          <w:tcPr/>
          <w:p>
            <w:pPr>
              <w:pStyle w:val="Compact"/>
              <w:jc w:val="left"/>
            </w:pPr>
            <w:r>
              <w:t xml:space="preserve">caller_fOther</w:t>
            </w:r>
          </w:p>
        </w:tc>
        <w:tc>
          <w:tcPr/>
          <w:p>
            <w:pPr>
              <w:pStyle w:val="Compact"/>
              <w:jc w:val="left"/>
            </w:pPr>
            <w:r>
              <w:t xml:space="preserve">0.50 (0.14-1.73)</w:t>
            </w:r>
          </w:p>
        </w:tc>
        <w:tc>
          <w:tcPr/>
          <w:p>
            <w:pPr>
              <w:pStyle w:val="Compact"/>
            </w:pPr>
          </w:p>
        </w:tc>
      </w:tr>
      <w:tr>
        <w:tc>
          <w:tcPr/>
          <w:p>
            <w:pPr>
              <w:pStyle w:val="Compact"/>
              <w:jc w:val="left"/>
            </w:pPr>
            <w:r>
              <w:t xml:space="preserve">p=0.274</w:t>
            </w:r>
          </w:p>
        </w:tc>
        <w:tc>
          <w:tcPr/>
          <w:p>
            <w:pPr>
              <w:pStyle w:val="Compact"/>
              <w:jc w:val="left"/>
            </w:pPr>
            <w:r>
              <w:t xml:space="preserve">0.73 (0.26-2.10)</w:t>
            </w:r>
          </w:p>
        </w:tc>
        <w:tc>
          <w:tcPr/>
          <w:p>
            <w:pPr>
              <w:pStyle w:val="Compact"/>
            </w:pPr>
          </w:p>
        </w:tc>
      </w:tr>
      <w:tr>
        <w:tc>
          <w:tcPr/>
          <w:p>
            <w:pPr>
              <w:pStyle w:val="Compact"/>
              <w:jc w:val="left"/>
            </w:pPr>
            <w:r>
              <w:t xml:space="preserve">p=0.565</w:t>
            </w:r>
          </w:p>
        </w:tc>
        <w:tc>
          <w:tcPr/>
          <w:p>
            <w:pPr>
              <w:pStyle w:val="Compact"/>
            </w:pPr>
          </w:p>
        </w:tc>
        <w:tc>
          <w:tcPr/>
          <w:p>
            <w:pPr>
              <w:pStyle w:val="Compact"/>
            </w:pPr>
          </w:p>
        </w:tc>
      </w:tr>
      <w:tr>
        <w:tc>
          <w:tcPr/>
          <w:p>
            <w:pPr>
              <w:pStyle w:val="Compact"/>
              <w:jc w:val="left"/>
            </w:pPr>
            <w:r>
              <w:t xml:space="preserve">caller_fWalsh</w:t>
            </w:r>
          </w:p>
        </w:tc>
        <w:tc>
          <w:tcPr/>
          <w:p>
            <w:pPr>
              <w:pStyle w:val="Compact"/>
              <w:jc w:val="left"/>
            </w:pPr>
            <w:r>
              <w:t xml:space="preserve">2.25 (1.38-3.67)</w:t>
            </w:r>
          </w:p>
        </w:tc>
        <w:tc>
          <w:tcPr/>
          <w:p>
            <w:pPr>
              <w:pStyle w:val="Compact"/>
            </w:pPr>
          </w:p>
        </w:tc>
      </w:tr>
      <w:tr>
        <w:tc>
          <w:tcPr/>
          <w:p>
            <w:pPr>
              <w:pStyle w:val="Compact"/>
              <w:jc w:val="left"/>
            </w:pPr>
            <w:r>
              <w:t xml:space="preserve">p=0.001</w:t>
            </w:r>
          </w:p>
        </w:tc>
        <w:tc>
          <w:tcPr/>
          <w:p>
            <w:pPr>
              <w:pStyle w:val="Compact"/>
              <w:jc w:val="left"/>
            </w:pPr>
            <w:r>
              <w:t xml:space="preserve">0.86 (0.62-1.20)</w:t>
            </w:r>
          </w:p>
        </w:tc>
        <w:tc>
          <w:tcPr/>
          <w:p>
            <w:pPr>
              <w:pStyle w:val="Compact"/>
            </w:pPr>
          </w:p>
        </w:tc>
      </w:tr>
      <w:tr>
        <w:tc>
          <w:tcPr/>
          <w:p>
            <w:pPr>
              <w:pStyle w:val="Compact"/>
              <w:jc w:val="left"/>
            </w:pPr>
            <w:r>
              <w:t xml:space="preserve">p=0.379</w:t>
            </w:r>
          </w:p>
        </w:tc>
        <w:tc>
          <w:tcPr/>
          <w:p>
            <w:pPr>
              <w:pStyle w:val="Compact"/>
            </w:pPr>
          </w:p>
        </w:tc>
        <w:tc>
          <w:tcPr/>
          <w:p>
            <w:pPr>
              <w:pStyle w:val="Compact"/>
            </w:pPr>
          </w:p>
        </w:tc>
      </w:tr>
      <w:tr>
        <w:tc>
          <w:tcPr/>
          <w:p>
            <w:pPr>
              <w:pStyle w:val="Compact"/>
              <w:jc w:val="left"/>
            </w:pPr>
            <w:r>
              <w:t xml:space="preserve">N</w:t>
            </w:r>
          </w:p>
        </w:tc>
        <w:tc>
          <w:tcPr/>
          <w:p>
            <w:pPr>
              <w:pStyle w:val="Compact"/>
              <w:jc w:val="left"/>
            </w:pPr>
            <w:r>
              <w:t xml:space="preserve">731</w:t>
            </w:r>
          </w:p>
        </w:tc>
        <w:tc>
          <w:tcPr/>
          <w:p>
            <w:pPr>
              <w:pStyle w:val="Compact"/>
              <w:jc w:val="left"/>
            </w:pPr>
            <w:r>
              <w:t xml:space="preserve">430</w:t>
            </w:r>
          </w:p>
        </w:tc>
      </w:tr>
      <w:tr>
        <w:tc>
          <w:tcPr/>
          <w:p>
            <w:pPr>
              <w:pStyle w:val="Compact"/>
              <w:jc w:val="left"/>
            </w:pPr>
            <w:r>
              <w:t xml:space="preserve">AIC</w:t>
            </w:r>
          </w:p>
        </w:tc>
        <w:tc>
          <w:tcPr/>
          <w:p>
            <w:pPr>
              <w:pStyle w:val="Compact"/>
              <w:jc w:val="left"/>
            </w:pPr>
            <w:r>
              <w:t xml:space="preserve">991.2</w:t>
            </w:r>
          </w:p>
        </w:tc>
        <w:tc>
          <w:tcPr/>
          <w:p>
            <w:pPr>
              <w:pStyle w:val="Compact"/>
              <w:jc w:val="left"/>
            </w:pPr>
            <w:r>
              <w:t xml:space="preserve">3572.6</w:t>
            </w:r>
          </w:p>
        </w:tc>
      </w:tr>
    </w:tbl>
    <w:bookmarkEnd w:id="45"/>
    <w:bookmarkStart w:id="64" w:name="supplementary-figures"/>
    <w:p>
      <w:pPr>
        <w:pStyle w:val="Heading2"/>
      </w:pPr>
      <w:r>
        <w:t xml:space="preserve">Supplementary Figures</w:t>
      </w:r>
    </w:p>
    <w:p>
      <w:pPr>
        <w:pStyle w:val="FirstParagraph"/>
      </w:pPr>
      <w:r>
        <w:rPr>
          <w:b/>
          <w:bCs/>
        </w:rPr>
        <w:t xml:space="preserve">Figure S1. Kaplan–Meier time to secured appointment, by subspecialty.</w:t>
      </w:r>
    </w:p>
    <w:p>
      <w:pPr>
        <w:pStyle w:val="BodyText"/>
      </w:pPr>
      <w:r>
        <w:drawing>
          <wp:inline>
            <wp:extent cx="5334000" cy="4148666"/>
            <wp:effectExtent b="0" l="0" r="0" t="0"/>
            <wp:docPr descr="" title="" id="47" name="Picture"/>
            <a:graphic>
              <a:graphicData uri="http://schemas.openxmlformats.org/drawingml/2006/picture">
                <pic:pic>
                  <pic:nvPicPr>
                    <pic:cNvPr descr="model_output/supp/figS1_km_time_to_appointment.png" id="48" name="Picture"/>
                    <pic:cNvPicPr>
                      <a:picLocks noChangeArrowheads="1" noChangeAspect="1"/>
                    </pic:cNvPicPr>
                  </pic:nvPicPr>
                  <pic:blipFill>
                    <a:blip r:embed="rId46"/>
                    <a:stretch>
                      <a:fillRect/>
                    </a:stretch>
                  </pic:blipFill>
                  <pic:spPr bwMode="auto">
                    <a:xfrm>
                      <a:off x="0" y="0"/>
                      <a:ext cx="5334000" cy="4148666"/>
                    </a:xfrm>
                    <a:prstGeom prst="rect">
                      <a:avLst/>
                    </a:prstGeom>
                    <a:noFill/>
                    <a:ln w="9525">
                      <a:noFill/>
                      <a:headEnd/>
                      <a:tailEnd/>
                    </a:ln>
                  </pic:spPr>
                </pic:pic>
              </a:graphicData>
            </a:graphic>
          </wp:inline>
        </w:drawing>
      </w:r>
    </w:p>
    <w:p>
      <w:pPr>
        <w:pStyle w:val="BodyText"/>
      </w:pPr>
      <w:r>
        <w:rPr>
          <w:b/>
          <w:bCs/>
        </w:rPr>
        <w:t xml:space="preserve">Figure S2. Business-day wait-time distribution by subspecialty.</w:t>
      </w:r>
    </w:p>
    <w:p>
      <w:pPr>
        <w:pStyle w:val="BodyText"/>
      </w:pPr>
      <w:r>
        <w:drawing>
          <wp:inline>
            <wp:extent cx="5334000" cy="3333750"/>
            <wp:effectExtent b="0" l="0" r="0" t="0"/>
            <wp:docPr descr="" title="" id="50" name="Picture"/>
            <a:graphic>
              <a:graphicData uri="http://schemas.openxmlformats.org/drawingml/2006/picture">
                <pic:pic>
                  <pic:nvPicPr>
                    <pic:cNvPr descr="model_output/supp/figS2_wait_distribution.png" id="51" name="Picture"/>
                    <pic:cNvPicPr>
                      <a:picLocks noChangeArrowheads="1" noChangeAspect="1"/>
                    </pic:cNvPicPr>
                  </pic:nvPicPr>
                  <pic:blipFill>
                    <a:blip r:embed="rId49"/>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S3. Negative binomial model diagnostics (DHARMa).</w:t>
      </w:r>
    </w:p>
    <w:p>
      <w:pPr>
        <w:pStyle w:val="BodyText"/>
      </w:pPr>
      <w:r>
        <w:drawing>
          <wp:inline>
            <wp:extent cx="5334000" cy="2667000"/>
            <wp:effectExtent b="0" l="0" r="0" t="0"/>
            <wp:docPr descr="" title="" id="53" name="Picture"/>
            <a:graphic>
              <a:graphicData uri="http://schemas.openxmlformats.org/drawingml/2006/picture">
                <pic:pic>
                  <pic:nvPicPr>
                    <pic:cNvPr descr="model_output/supp/figS3_nb_diagnostics.png" id="54" name="Picture"/>
                    <pic:cNvPicPr>
                      <a:picLocks noChangeArrowheads="1" noChangeAspect="1"/>
                    </pic:cNvPicPr>
                  </pic:nvPicPr>
                  <pic:blipFill>
                    <a:blip r:embed="rId52"/>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S4a. Appointment offer rate by AAO-HNS region.</w:t>
      </w:r>
    </w:p>
    <w:p>
      <w:pPr>
        <w:pStyle w:val="BodyText"/>
      </w:pPr>
      <w:r>
        <w:drawing>
          <wp:inline>
            <wp:extent cx="5334000" cy="3333750"/>
            <wp:effectExtent b="0" l="0" r="0" t="0"/>
            <wp:docPr descr="" title="" id="56" name="Picture"/>
            <a:graphic>
              <a:graphicData uri="http://schemas.openxmlformats.org/drawingml/2006/picture">
                <pic:pic>
                  <pic:nvPicPr>
                    <pic:cNvPr descr="model_output/supp/figS4_choropleth_offer_rate.png" id="57" name="Picture"/>
                    <pic:cNvPicPr>
                      <a:picLocks noChangeArrowheads="1" noChangeAspect="1"/>
                    </pic:cNvPicPr>
                  </pic:nvPicPr>
                  <pic:blipFill>
                    <a:blip r:embed="rId5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S4b. Median business-day wait by AAO-HNS region.</w:t>
      </w:r>
    </w:p>
    <w:p>
      <w:pPr>
        <w:pStyle w:val="BodyText"/>
      </w:pPr>
      <w:r>
        <w:drawing>
          <wp:inline>
            <wp:extent cx="5334000" cy="3333750"/>
            <wp:effectExtent b="0" l="0" r="0" t="0"/>
            <wp:docPr descr="" title="" id="59" name="Picture"/>
            <a:graphic>
              <a:graphicData uri="http://schemas.openxmlformats.org/drawingml/2006/picture">
                <pic:pic>
                  <pic:nvPicPr>
                    <pic:cNvPr descr="model_output/supp/figS4_choropleth_median_wait.png" id="60" name="Picture"/>
                    <pic:cNvPicPr>
                      <a:picLocks noChangeArrowheads="1" noChangeAspect="1"/>
                    </pic:cNvPicPr>
                  </pic:nvPicPr>
                  <pic:blipFill>
                    <a:blip r:embed="rId58"/>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S5. Appointment offer rate by state (mysterymaps).</w:t>
      </w:r>
    </w:p>
    <w:p>
      <w:pPr>
        <w:pStyle w:val="BodyText"/>
      </w:pPr>
      <w:r>
        <w:drawing>
          <wp:inline>
            <wp:extent cx="5334000" cy="3556000"/>
            <wp:effectExtent b="0" l="0" r="0" t="0"/>
            <wp:docPr descr="" title="" id="62" name="Picture"/>
            <a:graphic>
              <a:graphicData uri="http://schemas.openxmlformats.org/drawingml/2006/picture">
                <pic:pic>
                  <pic:nvPicPr>
                    <pic:cNvPr descr="model_output/supp/figS4b_offer_rate_by_state.png" id="63" name="Picture"/>
                    <pic:cNvPicPr>
                      <a:picLocks noChangeArrowheads="1" noChangeAspect="1"/>
                    </pic:cNvPicPr>
                  </pic:nvPicPr>
                  <pic:blipFill>
                    <a:blip r:embed="rId61"/>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i/>
          <w:iCs/>
        </w:rPr>
        <w:t xml:space="preserve">Full legends for all supplementary items are in</w:t>
      </w:r>
      <w:r>
        <w:rPr>
          <w:i/>
          <w:iCs/>
        </w:rPr>
        <w:t xml:space="preserve"> </w:t>
      </w:r>
      <w:r>
        <w:rPr>
          <w:rStyle w:val="VerbatimChar"/>
          <w:i/>
          <w:iCs/>
        </w:rPr>
        <w:t xml:space="preserve">docs/supplementary_legends.md</w:t>
      </w:r>
      <w:r>
        <w:rPr>
          <w:i/>
          <w:iCs/>
        </w:rPr>
        <w:t xml:space="preserve">.</w:t>
      </w:r>
    </w:p>
    <w:p>
      <w:r>
        <w:br w:type="page"/>
      </w:r>
    </w:p>
    <w:bookmarkEnd w:id="64"/>
    <w:bookmarkEnd w:id="65"/>
    <w:bookmarkStart w:id="78" w:name="references"/>
    <w:p>
      <w:pPr>
        <w:pStyle w:val="Heading1"/>
      </w:pPr>
      <w:r>
        <w:t xml:space="preserve">References</w:t>
      </w:r>
    </w:p>
    <w:bookmarkStart w:id="77" w:name="refs"/>
    <w:bookmarkStart w:id="66" w:name="ref-kfffee"/>
    <w:p>
      <w:pPr>
        <w:pStyle w:val="Bibliography"/>
      </w:pPr>
      <w:r>
        <w:t xml:space="preserve">1.</w:t>
      </w:r>
      <w:r>
        <w:t xml:space="preserve"> </w:t>
      </w:r>
      <w:r>
        <w:t xml:space="preserve">	</w:t>
      </w:r>
      <w:r>
        <w:t xml:space="preserve">Kaiser Family Foundation. Medicaid-to-medicare fee index. Published online 2024.</w:t>
      </w:r>
    </w:p>
    <w:bookmarkEnd w:id="66"/>
    <w:bookmarkStart w:id="67" w:name="ref-cdcsvi"/>
    <w:p>
      <w:pPr>
        <w:pStyle w:val="Bibliography"/>
      </w:pPr>
      <w:r>
        <w:t xml:space="preserve">2.</w:t>
      </w:r>
      <w:r>
        <w:t xml:space="preserve"> </w:t>
      </w:r>
      <w:r>
        <w:t xml:space="preserve">	</w:t>
      </w:r>
      <w:r>
        <w:t xml:space="preserve">Agency for Toxic Substances and Disease Registry.</w:t>
      </w:r>
      <w:r>
        <w:t xml:space="preserve"> </w:t>
      </w:r>
      <w:r>
        <w:t xml:space="preserve">CDC/ATSDR</w:t>
      </w:r>
      <w:r>
        <w:t xml:space="preserve"> </w:t>
      </w:r>
      <w:r>
        <w:t xml:space="preserve">social vulnerability index (2022 database). Published online 2022.</w:t>
      </w:r>
    </w:p>
    <w:bookmarkEnd w:id="67"/>
    <w:bookmarkStart w:id="68" w:name="ref-valhalla"/>
    <w:p>
      <w:pPr>
        <w:pStyle w:val="Bibliography"/>
      </w:pPr>
      <w:r>
        <w:t xml:space="preserve">3.</w:t>
      </w:r>
      <w:r>
        <w:t xml:space="preserve"> </w:t>
      </w:r>
      <w:r>
        <w:t xml:space="preserve">	</w:t>
      </w:r>
      <w:r>
        <w:t xml:space="preserve">Valhalla Contributors. Valhalla: Open-source routing engine for</w:t>
      </w:r>
      <w:r>
        <w:t xml:space="preserve"> </w:t>
      </w:r>
      <w:r>
        <w:t xml:space="preserve">OpenStreetMap</w:t>
      </w:r>
      <w:r>
        <w:t xml:space="preserve">. Published online 2024.</w:t>
      </w:r>
    </w:p>
    <w:bookmarkEnd w:id="68"/>
    <w:bookmarkStart w:id="70" w:name="ref-emmeans"/>
    <w:p>
      <w:pPr>
        <w:pStyle w:val="Bibliography"/>
      </w:pPr>
      <w:r>
        <w:t xml:space="preserve">4.</w:t>
      </w:r>
      <w:r>
        <w:t xml:space="preserve"> </w:t>
      </w:r>
      <w:r>
        <w:t xml:space="preserve">	</w:t>
      </w:r>
      <w:r>
        <w:t xml:space="preserve">Russell V. Lenth.</w:t>
      </w:r>
      <w:r>
        <w:t xml:space="preserve"> </w:t>
      </w:r>
      <w:r>
        <w:rPr>
          <w:i/>
          <w:iCs/>
        </w:rPr>
        <w:t xml:space="preserve">Emmeans: Estimated Marginal Means, Aka Least-Squares Means</w:t>
      </w:r>
      <w:r>
        <w:t xml:space="preserve">. 2024.</w:t>
      </w:r>
      <w:r>
        <w:t xml:space="preserve"> </w:t>
      </w:r>
      <w:hyperlink r:id="rId69">
        <w:r>
          <w:rPr>
            <w:rStyle w:val="Hyperlink"/>
          </w:rPr>
          <w:t xml:space="preserve">https://CRAN.R-project.org/package=emmeans</w:t>
        </w:r>
      </w:hyperlink>
    </w:p>
    <w:bookmarkEnd w:id="70"/>
    <w:bookmarkStart w:id="72" w:name="ref-rcoreteam"/>
    <w:p>
      <w:pPr>
        <w:pStyle w:val="Bibliography"/>
      </w:pPr>
      <w:r>
        <w:t xml:space="preserve">5.</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2024.</w:t>
      </w:r>
      <w:r>
        <w:t xml:space="preserve"> </w:t>
      </w:r>
      <w:hyperlink r:id="rId71">
        <w:r>
          <w:rPr>
            <w:rStyle w:val="Hyperlink"/>
          </w:rPr>
          <w:t xml:space="preserve">https://www.R-project.org/</w:t>
        </w:r>
      </w:hyperlink>
    </w:p>
    <w:bookmarkEnd w:id="72"/>
    <w:bookmarkStart w:id="74" w:name="ref-glmmTMB"/>
    <w:p>
      <w:pPr>
        <w:pStyle w:val="Bibliography"/>
      </w:pPr>
      <w:r>
        <w:t xml:space="preserve">6.</w:t>
      </w:r>
      <w:r>
        <w:t xml:space="preserve"> </w:t>
      </w:r>
      <w:r>
        <w:t xml:space="preserve">	</w:t>
      </w:r>
      <w:r>
        <w:t xml:space="preserve">Mollie E. Brooks, Kasper Kristensen, Koen J. van Benthem, Arni Magnusson, Casper W. Berg, Anders Nielsen, Hans J. Skaug, Martin Maechler, Benjamin M. Bolker.</w:t>
      </w:r>
      <w:r>
        <w:t xml:space="preserve"> </w:t>
      </w:r>
      <w:r>
        <w:t xml:space="preserve">glmmTMB</w:t>
      </w:r>
      <w:r>
        <w:t xml:space="preserve"> </w:t>
      </w:r>
      <w:r>
        <w:t xml:space="preserve">balances speed and flexibility among packages for zero-inflated generalized linear mixed models.</w:t>
      </w:r>
      <w:r>
        <w:t xml:space="preserve"> </w:t>
      </w:r>
      <w:r>
        <w:rPr>
          <w:i/>
          <w:iCs/>
        </w:rPr>
        <w:t xml:space="preserve">The R Journal</w:t>
      </w:r>
      <w:r>
        <w:t xml:space="preserve">. 2017;9(2):378-400. doi:</w:t>
      </w:r>
      <w:hyperlink r:id="rId73">
        <w:r>
          <w:rPr>
            <w:rStyle w:val="Hyperlink"/>
          </w:rPr>
          <w:t xml:space="preserve">10.32614/RJ-2017-066</w:t>
        </w:r>
      </w:hyperlink>
    </w:p>
    <w:bookmarkEnd w:id="74"/>
    <w:bookmarkStart w:id="76" w:name="ref-strobe"/>
    <w:p>
      <w:pPr>
        <w:pStyle w:val="Bibliography"/>
      </w:pPr>
      <w:r>
        <w:t xml:space="preserve">7.</w:t>
      </w:r>
      <w:r>
        <w:t xml:space="preserve"> </w:t>
      </w:r>
      <w:r>
        <w:t xml:space="preserve">	</w:t>
      </w:r>
      <w:r>
        <w:t xml:space="preserve">Erik von Elm, Douglas G. Altman, Matthias Egger, Stuart J. Pocock, Peter C. Gøtzsche, Jan P. Vandenbroucke.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Annals of Internal Medicine</w:t>
      </w:r>
      <w:r>
        <w:t xml:space="preserve">. 2007;147(8):573-577. doi:</w:t>
      </w:r>
      <w:hyperlink r:id="rId75">
        <w:r>
          <w:rPr>
            <w:rStyle w:val="Hyperlink"/>
          </w:rPr>
          <w:t xml:space="preserve">10.7326/0003-4819-147-8-200710160-00010</w:t>
        </w:r>
      </w:hyperlink>
    </w:p>
    <w:bookmarkEnd w:id="76"/>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35" Target="media/rId35.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8" Target="media/rId58.png" /><Relationship Type="http://schemas.openxmlformats.org/officeDocument/2006/relationships/image" Id="rId55" Target="media/rId55.png" /><Relationship Type="http://schemas.openxmlformats.org/officeDocument/2006/relationships/image" Id="rId61" Target="media/rId61.png" /><Relationship Type="http://schemas.openxmlformats.org/officeDocument/2006/relationships/hyperlink" Id="rId69" Target="https://CRAN.R-project.org/package=emmeans" TargetMode="External" /><Relationship Type="http://schemas.openxmlformats.org/officeDocument/2006/relationships/hyperlink" Id="rId73" Target="https://doi.org/10.32614/RJ-2017-066" TargetMode="External" /><Relationship Type="http://schemas.openxmlformats.org/officeDocument/2006/relationships/hyperlink" Id="rId75" Target="https://doi.org/10.7326/0003-4819-147-8-200710160-00010" TargetMode="External" /><Relationship Type="http://schemas.openxmlformats.org/officeDocument/2006/relationships/hyperlink" Id="rId71"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69" Target="https://CRAN.R-project.org/package=emmeans" TargetMode="External" /><Relationship Type="http://schemas.openxmlformats.org/officeDocument/2006/relationships/hyperlink" Id="rId73" Target="https://doi.org/10.32614/RJ-2017-066" TargetMode="External" /><Relationship Type="http://schemas.openxmlformats.org/officeDocument/2006/relationships/hyperlink" Id="rId75" Target="https://doi.org/10.7326/0003-4819-147-8-200710160-00010" TargetMode="External" /><Relationship Type="http://schemas.openxmlformats.org/officeDocument/2006/relationships/hyperlink" Id="rId71"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Geographic and Subspecialty Determinants of Access to Otolaryngology Care: A National Mystery-Caller Study</dc:title>
  <dc:creator>[Author list]</dc:creator>
  <cp:keywords/>
  <dcterms:created xsi:type="dcterms:W3CDTF">2026-07-15T22:06:09Z</dcterms:created>
  <dcterms:modified xsi:type="dcterms:W3CDTF">2026-07-15T22:06:09Z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csl">
    <vt:lpwstr>manuscript/american-medical-association.csl</vt:lpwstr>
  </property>
  <property fmtid="{D5CDD505-2E9C-101B-9397-08002B2CF9AE}" pid="4" name="date">
    <vt:lpwstr>July 2026</vt:lpwstr>
  </property>
  <property fmtid="{D5CDD505-2E9C-101B-9397-08002B2CF9AE}" pid="5" name="link-citations">
    <vt:lpwstr>True</vt:lpwstr>
  </property>
  <property fmtid="{D5CDD505-2E9C-101B-9397-08002B2CF9AE}" pid="6" name="output">
    <vt:lpwstr/>
  </property>
</Properties>
</file>