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0.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 and Subspecialty Determinants of Access to Otolaryngology Care: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 Geographic reach was assessed with drive-time isochrones (Valhalla routing) around each practice.</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2.26 (95% CI 1.08–4.75; p = 0.031)), and waits were longer for laryngology (IRR 2.25 (95% CI 1.13–4.46; p = 0.020)) and pediatric otolaryngology (IRR 1.54 (95% CI 1.04–2.28; p = 0.031)). No geographic covariate was associated with either outcome. Drive-time analysis showed 78% of continental U.S. land lies within a 180-minute drive of a sampled practice, leaving roughly one-fifth of the country beyond a 3-hour drive.</w:t>
      </w:r>
    </w:p>
    <w:p>
      <w:pPr>
        <w:pStyle w:val="BodyText"/>
      </w:pPr>
      <w:r>
        <w:rPr>
          <w:b/>
          <w:bCs/>
        </w:rPr>
        <w:t xml:space="preserve">Conclusions.</w:t>
      </w:r>
      <w:r>
        <w:t xml:space="preserve"> </w:t>
      </w:r>
      <w:r>
        <w:t xml:space="preserve">Access to otolaryngology care is shaped more by the requested subspecialty and by large under-served geographic areas than by local supply, insurance generosity, or social vulnerability.</w:t>
      </w:r>
    </w:p>
    <w:bookmarkEnd w:id="20"/>
    <w:bookmarkStart w:id="21" w:name="introduction"/>
    <w:p>
      <w:pPr>
        <w:pStyle w:val="Heading2"/>
      </w:pPr>
      <w:r>
        <w:t xml:space="preserve">Introduction</w:t>
      </w:r>
    </w:p>
    <w:p>
      <w:pPr>
        <w:pStyle w:val="FirstParagraph"/>
      </w:pPr>
      <w:r>
        <w:rPr>
          <w:i/>
          <w:iCs/>
        </w:rPr>
        <w:t xml:space="preserve">[Introduction to be written: burden of otolaryngologic disease, prior access literature, rationale for a national mystery-caller design, and the specific gap this study fills.]</w:t>
      </w:r>
    </w:p>
    <w:bookmarkEnd w:id="21"/>
    <w:bookmarkStart w:id="22" w:name="methods"/>
    <w:p>
      <w:pPr>
        <w:pStyle w:val="Heading2"/>
      </w:pPr>
      <w:r>
        <w:t xml:space="preserve">Methods</w:t>
      </w:r>
    </w:p>
    <w:p>
      <w:pPr>
        <w:pStyle w:val="FirstParagraph"/>
      </w:pPr>
      <w:r>
        <w:rPr>
          <w:i/>
          <w:iCs/>
        </w:rPr>
        <w:t xml:space="preserve">(Full Methods text is maintained in</w:t>
      </w:r>
      <w:r>
        <w:rPr>
          <w:i/>
          <w:iCs/>
        </w:rPr>
        <w:t xml:space="preserve"> </w:t>
      </w:r>
      <w:r>
        <w:rPr>
          <w:rStyle w:val="VerbatimChar"/>
          <w:i/>
          <w:iCs/>
        </w:rPr>
        <w:t xml:space="preserve">docs/manuscript_draft.md</w:t>
      </w:r>
      <w:r>
        <w:rPr>
          <w:i/>
          <w:iCs/>
        </w:rPr>
        <w:t xml:space="preserve">; the key elements are summarized here.)</w:t>
      </w:r>
    </w:p>
    <w:p>
      <w:pPr>
        <w:pStyle w:val="BodyText"/>
      </w:pPr>
      <w:r>
        <w:t xml:space="preserve">We conducted a cross-sectional, simulated-patient (</w:t>
      </w:r>
      <w:r>
        <w:t xml:space="preserve">“mystery caller”</w:t>
      </w:r>
      <w:r>
        <w:t xml:space="preserve">) study of a national sample of board-certified otolaryngologists. Trained callers requested a new-patient appointment for a subspecialty-matched chief complaint; each physician was contacted once. Analyses were restricted to calls with a completed data-collection record and a determinable subspecialty. Two outcomes were modeled separately to avoid conditioning wait time on the offer:</w:t>
      </w:r>
      <w:r>
        <w:t xml:space="preserve"> </w:t>
      </w:r>
      <w:r>
        <w:rPr>
          <w:b/>
          <w:bCs/>
        </w:rPr>
        <w:t xml:space="preserve">access</w:t>
      </w:r>
      <w:r>
        <w:t xml:space="preserve"> </w:t>
      </w:r>
      <w:r>
        <w:t xml:space="preserve">(an appointment offered, logistic mixed model over all analytic calls) and</w:t>
      </w:r>
      <w:r>
        <w:t xml:space="preserve"> </w:t>
      </w:r>
      <w:r>
        <w:rPr>
          <w:b/>
          <w:bCs/>
        </w:rPr>
        <w:t xml:space="preserve">timeliness</w:t>
      </w:r>
      <w:r>
        <w:t xml:space="preserve"> </w:t>
      </w:r>
      <w:r>
        <w:t xml:space="preserve">(business days to the next available appointment, negative binomial mixed model over the offered subset; the negative binomial was selected over Poisson given substantial overdispersion). Both models adjusted for requested subspecialty (reference: general otolaryngology), county ENT supply per 100,000, the state Medicaid-to-Medicare fee index, the CDC/ATSDR Social Vulnerability Index, county dual-eligible fraction, and rurality (reference: urban), with a random intercept for core-based statistical area and a fixed adjustment for caller. Drive-time isochrones (30/60/120/180 minutes) were computed for each practice with the Valhalla routing engine and dissolved into national coverage polygons. Analyses used R (packages</w:t>
      </w:r>
      <w:r>
        <w:t xml:space="preserve"> </w:t>
      </w:r>
      <w:r>
        <w:rPr>
          <w:rStyle w:val="VerbatimChar"/>
        </w:rPr>
        <w:t xml:space="preserve">glmmTMB</w:t>
      </w:r>
      <w:r>
        <w:t xml:space="preserve">,</w:t>
      </w:r>
      <w:r>
        <w:t xml:space="preserve"> </w:t>
      </w:r>
      <w:r>
        <w:rPr>
          <w:rStyle w:val="VerbatimChar"/>
        </w:rPr>
        <w:t xml:space="preserve">emmeans</w:t>
      </w:r>
      <w:r>
        <w:t xml:space="preserve">); α = 0.05, two-sided.</w:t>
      </w:r>
    </w:p>
    <w:bookmarkEnd w:id="22"/>
    <w:bookmarkStart w:id="28" w:name="results"/>
    <w:p>
      <w:pPr>
        <w:pStyle w:val="Heading2"/>
      </w:pPr>
      <w:r>
        <w:t xml:space="preserve">Results</w:t>
      </w:r>
    </w:p>
    <w:bookmarkStart w:id="23"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Characteristics of the analytic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66"/>
        <w:gridCol w:w="1976"/>
      </w:tblGrid>
      <w:tr>
        <w:trPr>
          <w:trHeight w:val="57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Value</w:t>
            </w:r>
          </w:p>
        </w:tc>
      </w:tr>
      <w:tr>
        <w:trPr>
          <w:trHeight w:val="61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 (complete calls, subspecialty known)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731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Facial Plastics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78 (10.7%)</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General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501 (68.5%)</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 (3.7%)</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 (1.8%)</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32 (4.4%)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 (2.6%)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Subspecialty: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 (2.2%)</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 (7.8%)</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Suburban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307 (42.0%)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Rurality: 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367 (50.2%)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109 (14.9%)</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Mid-Atlantic/Southeast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67 (9.2%)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Middle Atlantic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91 (12.4%)</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Midwest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(21.1%)</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Mountain/Southwest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45 (6.2%)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New England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 (6.6%)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Pacific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88 (12.0%)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AAO-HNS region: Southeast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129 (17.6%)</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 per 100k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4.65 (3.17-6.94)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0.74 (0.64-0.83)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 (overall)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0.48 (0.36-0.63)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fraction [median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0.16 (0.12-0.21)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Appointment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433 (59.2%)</w:t>
            </w:r>
          </w:p>
        </w:tc>
      </w:tr>
      <w:tr>
        <w:trPr>
          <w:trHeight w:val="62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Business-day wait, if offered [median (IQR)]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 (5-30)</w:t>
            </w:r>
          </w:p>
        </w:tc>
      </w:tr>
    </w:tbl>
    <w:bookmarkEnd w:id="23"/>
    <w:bookmarkStart w:id="24"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2.26 (95% CI 1.08–4.75; p = 0.031)), while otology/neurotology trended lower (OR 0.49 (95% CI 0.23–1.07; p = 0.074)). No geographic covariate was associated with access: county ENT supply (OR 0.96 (95% CI 0.81–1.13; p = 0.603) per SD), the Medicaid fee index (OR 0.91 (95% CI 0.77–1.07; p = 0.250)), social vulnerability (OR 0.95 (95% CI 0.80–1.13; p = 0.583)), and dual-eligibility (OR 1.00 (95% CI 0.83–1.20; p = 0.975)) were all null (</w:t>
      </w:r>
      <w:r>
        <w:rPr>
          <w:b/>
          <w:bCs/>
        </w:rPr>
        <w:t xml:space="preserve">Figure 2</w:t>
      </w:r>
      <w:r>
        <w:t xml:space="preserve">).</w:t>
      </w:r>
    </w:p>
    <w:bookmarkEnd w:id="24"/>
    <w:bookmarkStart w:id="25"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1.13–4.46; p = 0.020)) and pediatric otolaryngology (IRR 1.54 (95% CI 1.04–2.28; p = 0.031)).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0.696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0.385</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0.074</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2.26 (1.08–4.75)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0.250</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0.975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0.93 (0.49–1.75)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0.823</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1.03 (0.71–1.50)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0.857</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ent_typeFacial Plastics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1.04 (0.72–1.50)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0.852</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ent_typeHead and Neck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1.26 (0.72–2.23)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0.421</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1.21 (0.64–2.26)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0.557</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ent_typePediatrics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1.54 (1.04–2.28)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1.55 (0.89–2.68)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0.121</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ent_typeSleep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(0.61–2.24)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0.646</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ent_per_100k_z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medicaid_fee_index_z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(0.84–1.10)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0.545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svi_overall_z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(0.84–1.07)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0.423</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dual_pct_z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1.14 (0.72–1.81)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0.579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ruralSuburban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1.08 (0.81–1.42)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0.606</w:t>
            </w:r>
          </w:p>
        </w:tc>
      </w:tr>
    </w:tbl>
    <w:bookmarkEnd w:id="25"/>
    <w:bookmarkStart w:id="26" w:name="geographic-reach-drive-time-access"/>
    <w:p>
      <w:pPr>
        <w:pStyle w:val="Heading3"/>
      </w:pPr>
      <w:r>
        <w:t xml:space="preserve">Geographic reach (drive-time access)</w:t>
      </w:r>
    </w:p>
    <w:p>
      <w:pPr>
        <w:pStyle w:val="FirstParagraph"/>
      </w:pPr>
      <w:r>
        <w:t xml:space="preserve">Drive-time isochrones around the 565-plus sampled practices show that access is limited less by local supply than by large under-served areas: 7.6%, 29.3%, 61.2%, and 78.3% of continental U.S. land area lies within a 30-, 60-, 120-, and 180-minute drive of a sampled practice, respectively (</w:t>
      </w:r>
      <w:r>
        <w:rPr>
          <w:b/>
          <w:bCs/>
        </w:rPr>
        <w:t xml:space="preserve">Figure 3</w:t>
      </w:r>
      <w:r>
        <w:t xml:space="preserve">). Roughly one-fifth of the country is more than a 3-hour drive from any sampled otolaryngologist, concentrated in the Mountain West, Great Plains, and desert Southwest.</w:t>
      </w:r>
    </w:p>
    <w:bookmarkEnd w:id="26"/>
    <w:bookmarkStart w:id="27" w:name="robustness-and-missing-data"/>
    <w:p>
      <w:pPr>
        <w:pStyle w:val="Heading3"/>
      </w:pPr>
      <w:r>
        <w:t xml:space="preserve">Robustness and missing data</w:t>
      </w:r>
    </w:p>
    <w:p>
      <w:pPr>
        <w:pStyle w:val="FirstParagraph"/>
      </w:pPr>
      <w:r>
        <w:t xml:space="preserve">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w:t>
      </w:r>
    </w:p>
    <w:bookmarkEnd w:id="27"/>
    <w:bookmarkEnd w:id="28"/>
    <w:bookmarkStart w:id="29" w:name="discussion"/>
    <w:p>
      <w:pPr>
        <w:pStyle w:val="Heading2"/>
      </w:pPr>
      <w:r>
        <w:t xml:space="preserve">Discussion</w:t>
      </w:r>
    </w:p>
    <w:p>
      <w:pPr>
        <w:pStyle w:val="FirstParagraph"/>
      </w:pPr>
      <w:r>
        <w:rPr>
          <w:i/>
          <w:iCs/>
        </w:rPr>
        <w:t xml:space="preserve">[Discussion to be written.]</w:t>
      </w:r>
      <w:r>
        <w:t xml:space="preserve"> </w:t>
      </w:r>
      <w:r>
        <w:t xml:space="preserve">Three findings anchor the interpretation. First,</w:t>
      </w:r>
      <w:r>
        <w:t xml:space="preserve"> </w:t>
      </w:r>
      <w:r>
        <w:rPr>
          <w:b/>
          <w:bCs/>
        </w:rPr>
        <w:t xml:space="preserve">who you ask for matters more than where you are</w:t>
      </w:r>
      <w:r>
        <w:t xml:space="preserve">: the requested subspecialty drove both the odds of an appointment and the wait, whereas local ENT supply, Medicaid generosity, social vulnerability, and dual-eligibility were uniformly null. Second,</w:t>
      </w:r>
      <w:r>
        <w:t xml:space="preserve"> </w:t>
      </w:r>
      <w:r>
        <w:rPr>
          <w:b/>
          <w:bCs/>
        </w:rPr>
        <w:t xml:space="preserve">pediatric and laryngology care are timeliness bottlenecks</w:t>
      </w:r>
      <w:r>
        <w:t xml:space="preserve"> </w:t>
      </w:r>
      <w:r>
        <w:t xml:space="preserve">even where access exists. Third, the apparent absence of a geographic</w:t>
      </w:r>
      <w:r>
        <w:t xml:space="preserve"> </w:t>
      </w:r>
      <w:r>
        <w:rPr>
          <w:i/>
          <w:iCs/>
        </w:rPr>
        <w:t xml:space="preserve">covariate</w:t>
      </w:r>
      <w:r>
        <w:t xml:space="preserve"> </w:t>
      </w:r>
      <w:r>
        <w:t xml:space="preserve">effect coexists with a stark geographic</w:t>
      </w:r>
      <w:r>
        <w:t xml:space="preserve"> </w:t>
      </w:r>
      <w:r>
        <w:rPr>
          <w:i/>
          <w:iCs/>
        </w:rPr>
        <w:t xml:space="preserve">coverage</w:t>
      </w:r>
      <w:r>
        <w:t xml:space="preserve"> </w:t>
      </w:r>
      <w:r>
        <w:t xml:space="preserve">gap — roughly a fifth of the U.S. land area is beyond a 3-hour drive of any sampled practice — indicating that the access problem is one of absolute absence in large regions rather than gradients in supply where practices exist. Limitations include modest power for the rural and geographic contrasts, a single call per physician, and ZIP-centroid geolocation for the drive-time analysis.</w:t>
      </w:r>
    </w:p>
    <w:bookmarkEnd w:id="29"/>
    <w:bookmarkStart w:id="39"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31" name="Picture"/>
            <a:graphic>
              <a:graphicData uri="http://schemas.openxmlformats.org/drawingml/2006/picture">
                <pic:pic>
                  <pic:nvPicPr>
                    <pic:cNvPr descr="model_output/strobe_flow_mysterycall.png" id="32" name="Picture"/>
                    <pic:cNvPicPr>
                      <a:picLocks noChangeArrowheads="1" noChangeAspect="1"/>
                    </pic:cNvPicPr>
                  </pic:nvPicPr>
                  <pic:blipFill>
                    <a:blip r:embed="rId30"/>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34" name="Picture"/>
            <a:graphic>
              <a:graphicData uri="http://schemas.openxmlformats.org/drawingml/2006/picture">
                <pic:pic>
                  <pic:nvPicPr>
                    <pic:cNvPr descr="model_output/forest_access_timeliness.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pPr>
        <w:pStyle w:val="BodyText"/>
      </w:pPr>
      <w:r>
        <w:rPr>
          <w:b/>
          <w:bCs/>
        </w:rPr>
        <w:t xml:space="preserve">Figure 3. National drive-time access to sampled ENT practices.</w:t>
      </w:r>
    </w:p>
    <w:p>
      <w:pPr>
        <w:pStyle w:val="CaptionedFigure"/>
      </w:pPr>
      <w:r>
        <w:drawing>
          <wp:inline>
            <wp:extent cx="5334000" cy="3467099"/>
            <wp:effectExtent b="0" l="0" r="0" t="0"/>
            <wp:docPr descr="Figure 3. Land area within a 30/60/120/180-minute drive of any sampled practice." title="" id="37" name="Picture"/>
            <a:graphic>
              <a:graphicData uri="http://schemas.openxmlformats.org/drawingml/2006/picture">
                <pic:pic>
                  <pic:nvPicPr>
                    <pic:cNvPr descr="model_output/isochrones/figS7_ent_drivetime_coverage.png" id="38" name="Picture"/>
                    <pic:cNvPicPr>
                      <a:picLocks noChangeArrowheads="1" noChangeAspect="1"/>
                    </pic:cNvPicPr>
                  </pic:nvPicPr>
                  <pic:blipFill>
                    <a:blip r:embed="rId36"/>
                    <a:stretch>
                      <a:fillRect/>
                    </a:stretch>
                  </pic:blipFill>
                  <pic:spPr bwMode="auto">
                    <a:xfrm>
                      <a:off x="0" y="0"/>
                      <a:ext cx="5334000" cy="3467099"/>
                    </a:xfrm>
                    <a:prstGeom prst="rect">
                      <a:avLst/>
                    </a:prstGeom>
                    <a:noFill/>
                    <a:ln w="9525">
                      <a:noFill/>
                      <a:headEnd/>
                      <a:tailEnd/>
                    </a:ln>
                  </pic:spPr>
                </pic:pic>
              </a:graphicData>
            </a:graphic>
          </wp:inline>
        </w:drawing>
      </w:r>
    </w:p>
    <w:p>
      <w:pPr>
        <w:pStyle w:val="ImageCaption"/>
      </w:pPr>
      <w:r>
        <w:t xml:space="preserve">Figure 3. Land area within a 30/60/120/180-minute drive of any sampled practice.</w:t>
      </w:r>
    </w:p>
    <w:bookmarkEnd w:id="39"/>
    <w:bookmarkStart w:id="46" w:name="supplementary-material"/>
    <w:p>
      <w:pPr>
        <w:pStyle w:val="Heading2"/>
      </w:pPr>
      <w:r>
        <w:t xml:space="preserve">Supplementary material</w:t>
      </w:r>
    </w:p>
    <w:p>
      <w:pPr>
        <w:pStyle w:val="FirstParagraph"/>
      </w:pPr>
      <w:r>
        <w:t xml:space="preserve">Supplementary tables S1–S7 (full models; wait time by subspecialty, rurality, and region; offer-rate disparities) and figures S1–S6 (Kaplan–Meier time-to-appointment, wait-time distribution, model diagnostics, and geographic choropleths) are provided; legends are in</w:t>
      </w:r>
      <w:r>
        <w:t xml:space="preserve"> </w:t>
      </w:r>
      <w:r>
        <w:rPr>
          <w:rStyle w:val="VerbatimChar"/>
        </w:rPr>
        <w:t xml:space="preserve">docs/supplementary_legends.md</w:t>
      </w:r>
      <w:r>
        <w:t xml:space="preserve">.</w:t>
      </w:r>
    </w:p>
    <w:p>
      <w:pPr>
        <w:pStyle w:val="BodyText"/>
      </w:pPr>
      <w:r>
        <w:drawing>
          <wp:inline>
            <wp:extent cx="2613660" cy="2032846"/>
            <wp:effectExtent b="0" l="0" r="0" t="0"/>
            <wp:docPr descr="Supplementary figures S1 (time-to-appointment) and S2 (wait distribution)." title="" id="41" name="Picture"/>
            <a:graphic>
              <a:graphicData uri="http://schemas.openxmlformats.org/drawingml/2006/picture">
                <pic:pic>
                  <pic:nvPicPr>
                    <pic:cNvPr descr="model_output/supp/figS1_km_time_to_appointment.png" id="42" name="Picture"/>
                    <pic:cNvPicPr>
                      <a:picLocks noChangeArrowheads="1" noChangeAspect="1"/>
                    </pic:cNvPicPr>
                  </pic:nvPicPr>
                  <pic:blipFill>
                    <a:blip r:embed="rId40"/>
                    <a:stretch>
                      <a:fillRect/>
                    </a:stretch>
                  </pic:blipFill>
                  <pic:spPr bwMode="auto">
                    <a:xfrm>
                      <a:off x="0" y="0"/>
                      <a:ext cx="2613660" cy="2032846"/>
                    </a:xfrm>
                    <a:prstGeom prst="rect">
                      <a:avLst/>
                    </a:prstGeom>
                    <a:noFill/>
                    <a:ln w="9525">
                      <a:noFill/>
                      <a:headEnd/>
                      <a:tailEnd/>
                    </a:ln>
                  </pic:spPr>
                </pic:pic>
              </a:graphicData>
            </a:graphic>
          </wp:inline>
        </w:drawing>
      </w:r>
      <w:r>
        <w:drawing>
          <wp:inline>
            <wp:extent cx="2613660" cy="1633537"/>
            <wp:effectExtent b="0" l="0" r="0" t="0"/>
            <wp:docPr descr="Supplementary figures S1 (time-to-appointment) and S2 (wait distribution)." title="" id="44" name="Picture"/>
            <a:graphic>
              <a:graphicData uri="http://schemas.openxmlformats.org/drawingml/2006/picture">
                <pic:pic>
                  <pic:nvPicPr>
                    <pic:cNvPr descr="model_output/supp/figS2_wait_distribution.png" id="45" name="Picture"/>
                    <pic:cNvPicPr>
                      <a:picLocks noChangeArrowheads="1" noChangeAspect="1"/>
                    </pic:cNvPicPr>
                  </pic:nvPicPr>
                  <pic:blipFill>
                    <a:blip r:embed="rId43"/>
                    <a:stretch>
                      <a:fillRect/>
                    </a:stretch>
                  </pic:blipFill>
                  <pic:spPr bwMode="auto">
                    <a:xfrm>
                      <a:off x="0" y="0"/>
                      <a:ext cx="2613660" cy="1633537"/>
                    </a:xfrm>
                    <a:prstGeom prst="rect">
                      <a:avLst/>
                    </a:prstGeom>
                    <a:noFill/>
                    <a:ln w="9525">
                      <a:noFill/>
                      <a:headEnd/>
                      <a:tailEnd/>
                    </a:ln>
                  </pic:spPr>
                </pic:pic>
              </a:graphicData>
            </a:graphic>
          </wp:inline>
        </w:drawing>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and Subspecialty Determinants of Access to Otolaryngology Care: A National Mystery-Caller Study</dc:title>
  <dc:creator>[Author list]</dc:creator>
  <cp:keywords/>
  <dcterms:created xsi:type="dcterms:W3CDTF">2026-07-15T21:36:22Z</dcterms:created>
  <dcterms:modified xsi:type="dcterms:W3CDTF">2026-07-15T21:36:22Z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output">
    <vt:lpwstr/>
  </property>
</Properties>
</file>