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Grace E. Falk; [RA co-authors — full names &amp; degrees to confirm: Chin, Deol, Gregg, Kim, Roesch, Walsh]; Cristina Cabrera-Muffly, MD; Tyler M. Muffly, MD; Eric J. Dobratz, MD</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t xml:space="preserve">Cristina Cabrera-Muffly, MD; Department of Otolaryngology–Head and Neck Surgery, University of Colorado School of Medicine, Aurora, CO;</w:t>
      </w:r>
      <w:r>
        <w:t xml:space="preserve"> </w:t>
      </w:r>
      <w:r>
        <w:rPr>
          <w:i/>
          <w:iCs/>
        </w:rPr>
        <w:t xml:space="preserve">[address; email; telephone]</w:t>
      </w:r>
      <w:r>
        <w:t xml:space="preserve">.</w:t>
      </w:r>
    </w:p>
    <w:p>
      <w:pPr>
        <w:pStyle w:val="BodyText"/>
      </w:pPr>
      <w:r>
        <w:rPr>
          <w:b/>
          <w:bCs/>
        </w:rPr>
        <w:t xml:space="preserve">Affiliations:</w:t>
      </w:r>
      <w:r>
        <w:t xml:space="preserve"> </w:t>
      </w:r>
      <w:r>
        <w:t xml:space="preserve">Grace E. Falk, Old Dominion University / Eastern Virginia Medical School, Norfolk, VA.</w:t>
      </w:r>
      <w:r>
        <w:t xml:space="preserve"> </w:t>
      </w:r>
      <w:r>
        <w:rPr>
          <w:i/>
          <w:iCs/>
        </w:rPr>
        <w:t xml:space="preserve">[Research-assistant co-authors — affiliations to confirm.]</w:t>
      </w:r>
      <w:r>
        <w:t xml:space="preserve"> </w:t>
      </w:r>
      <w:r>
        <w:t xml:space="preserve">Cristina Cabrera-Muffly, Department of Otolaryngology–Head and Neck Surgery, University of Colorado School of Medicine, Aurora, CO. Tyler M. Muffly, Denver Health and Hospital Authority, Denver, CO; Department of Obstetrics and Gynecology, University of Colorado School of Medicine, Aurora, CO. Eric J. Dobratz, Department of Otolaryngology–Head and Neck Surgery, Eastern Virginia Medical School at Old Dominion University, Norfolk, VA.</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w:t>
      </w:r>
      <w:r>
        <w:t xml:space="preserve"> </w:t>
      </w:r>
      <w:r>
        <w:rPr>
          <w:i/>
          <w:iCs/>
        </w:rPr>
        <w:t xml:space="preserve">[To confirm from the protocol: the number and timing of call attempts before a physician was recorded as unreachable, the exact wording of the subspecialty-specific chief-complaint scripts, and caller-training procedures.]</w:t>
      </w:r>
      <w:r>
        <w:t xml:space="preserve"> </w:t>
      </w:r>
      <w:r>
        <w:t xml:space="preserve">The Human Subjects Protection Program at Old Dominion University (Macon &amp; Joan Brock Virginia Health Sciences / Eastern Virginia Medical School) determined that this project (IRB #24-12-NH-0285) does not involve human subjects research and is therefore not subject to IRB review; informed consent was not required. The covert measurement of clinician behavior has been debated—most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methods—for example, surveys of offices aware of being observed—would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433 (59%). Critically, only 370 calls (51%) yielded an appointment</w:t>
      </w:r>
      <w:r>
        <w:t xml:space="preserve"> </w:t>
      </w:r>
      <w:r>
        <w:rPr>
          <w:b/>
          <w:bCs/>
        </w:rPr>
        <w:t xml:space="preserve">with the specific board-certified otolaryngologist requested</w:t>
      </w:r>
      <w:r>
        <w:t xml:space="preserve">: among the 433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model—whether front-desk statements (that a practice does not see a complaint, or that a physician is unavailable) are accurate—which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presentations—head-and-neck cancer red flags, for instance—is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b/>
          <w:bCs/>
        </w:rPr>
        <w:t xml:space="preserve">Grace E. Falk:</w:t>
      </w:r>
      <w:r>
        <w:t xml:space="preserve"> </w:t>
      </w:r>
      <w:r>
        <w:t xml:space="preserve">Investigation, Data curation, Project administration, Writing – original draft.</w:t>
      </w:r>
      <w:r>
        <w:t xml:space="preserve"> </w:t>
      </w:r>
      <w:r>
        <w:rPr>
          <w:b/>
          <w:bCs/>
        </w:rPr>
        <w:t xml:space="preserve">[Research-assistant co-authors: Chin, Deol, Gregg, Kim, Roesch, Walsh]:</w:t>
      </w:r>
      <w:r>
        <w:t xml:space="preserve"> </w:t>
      </w:r>
      <w:r>
        <w:t xml:space="preserve">Investigation (mystery-caller data collection).</w:t>
      </w:r>
      <w:r>
        <w:t xml:space="preserve"> </w:t>
      </w:r>
      <w:r>
        <w:rPr>
          <w:b/>
          <w:bCs/>
        </w:rPr>
        <w:t xml:space="preserve">Cristina Cabrera-Muffly:</w:t>
      </w:r>
      <w:r>
        <w:t xml:space="preserve"> </w:t>
      </w:r>
      <w:r>
        <w:t xml:space="preserve">Conceptualization, Supervision, Writing – review &amp; editing.</w:t>
      </w:r>
      <w:r>
        <w:t xml:space="preserve"> </w:t>
      </w:r>
      <w:r>
        <w:rPr>
          <w:b/>
          <w:bCs/>
        </w:rPr>
        <w:t xml:space="preserve">Tyler M. Muffly:</w:t>
      </w:r>
      <w:r>
        <w:t xml:space="preserve"> </w:t>
      </w:r>
      <w:r>
        <w:t xml:space="preserve">Conceptualization, Methodology, Formal analysis, Software, Writing – review &amp; editing.</w:t>
      </w:r>
      <w:r>
        <w:t xml:space="preserve"> </w:t>
      </w:r>
      <w:r>
        <w:rPr>
          <w:b/>
          <w:bCs/>
        </w:rPr>
        <w:t xml:space="preserve">Eric J. Dobratz:</w:t>
      </w:r>
      <w:r>
        <w:t xml:space="preserve"> </w:t>
      </w:r>
      <w:r>
        <w:t xml:space="preserve">Conceptualization, Supervision, Resources, Project administration,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0.50-6.07</w:t>
            </w:r>
          </w:p>
        </w:tc>
        <w:tc>
          <w:tcPr/>
          <w:p>
            <w:pPr>
              <w:pStyle w:val="Compact"/>
              <w:jc w:val="right"/>
            </w:pPr>
            <w:r>
              <w:t xml:space="preserve">0.386</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2.27</w:t>
            </w:r>
          </w:p>
        </w:tc>
        <w:tc>
          <w:tcPr/>
          <w:p>
            <w:pPr>
              <w:pStyle w:val="Compact"/>
              <w:jc w:val="left"/>
            </w:pPr>
            <w:r>
              <w:t xml:space="preserve">1.08-4.76</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1.02</w:t>
            </w:r>
          </w:p>
        </w:tc>
        <w:tc>
          <w:tcPr/>
          <w:p>
            <w:pPr>
              <w:pStyle w:val="Compact"/>
              <w:jc w:val="left"/>
            </w:pPr>
            <w:r>
              <w:t xml:space="preserve">0.71-1.46</w:t>
            </w:r>
          </w:p>
        </w:tc>
        <w:tc>
          <w:tcPr/>
          <w:p>
            <w:pPr>
              <w:pStyle w:val="Compact"/>
              <w:jc w:val="right"/>
            </w:pPr>
            <w:r>
              <w:t xml:space="preserve">0.922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1.14-4.47</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1.63</w:t>
            </w:r>
          </w:p>
        </w:tc>
        <w:tc>
          <w:tcPr/>
          <w:p>
            <w:pPr>
              <w:pStyle w:val="Compact"/>
              <w:jc w:val="left"/>
            </w:pPr>
            <w:r>
              <w:t xml:space="preserve">1.11-2.40</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1.17</w:t>
            </w:r>
          </w:p>
        </w:tc>
        <w:tc>
          <w:tcPr/>
          <w:p>
            <w:pPr>
              <w:pStyle w:val="Compact"/>
              <w:jc w:val="left"/>
            </w:pPr>
            <w:r>
              <w:t xml:space="preserve">0.90-1.51</w:t>
            </w:r>
          </w:p>
        </w:tc>
        <w:tc>
          <w:tcPr/>
          <w:p>
            <w:pPr>
              <w:pStyle w:val="Compact"/>
              <w:jc w:val="right"/>
            </w:pPr>
            <w:r>
              <w:t xml:space="preserve">0.242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0.50-6.08</w:t>
            </w:r>
          </w:p>
        </w:tc>
        <w:tc>
          <w:tcPr/>
          <w:p>
            <w:pPr>
              <w:pStyle w:val="Compact"/>
              <w:jc w:val="right"/>
            </w:pPr>
            <w:r>
              <w:t xml:space="preserve">0.385</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2.26</w:t>
            </w:r>
          </w:p>
        </w:tc>
        <w:tc>
          <w:tcPr/>
          <w:p>
            <w:pPr>
              <w:pStyle w:val="Compact"/>
              <w:jc w:val="left"/>
            </w:pPr>
            <w:r>
              <w:t xml:space="preserve">1.08-4.75</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1.03</w:t>
            </w:r>
          </w:p>
        </w:tc>
        <w:tc>
          <w:tcPr/>
          <w:p>
            <w:pPr>
              <w:pStyle w:val="Compact"/>
              <w:jc w:val="left"/>
            </w:pPr>
            <w:r>
              <w:t xml:space="preserve">0.71-1.50</w:t>
            </w:r>
          </w:p>
        </w:tc>
        <w:tc>
          <w:tcPr/>
          <w:p>
            <w:pPr>
              <w:pStyle w:val="Compact"/>
              <w:jc w:val="right"/>
            </w:pPr>
            <w:r>
              <w:t xml:space="preserve">0.857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1.13-4.46</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1.11-2.41</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1.15</w:t>
            </w:r>
          </w:p>
        </w:tc>
        <w:tc>
          <w:tcPr/>
          <w:p>
            <w:pPr>
              <w:pStyle w:val="Compact"/>
              <w:jc w:val="left"/>
            </w:pPr>
            <w:r>
              <w:t xml:space="preserve">0.88-1.49</w:t>
            </w:r>
          </w:p>
        </w:tc>
        <w:tc>
          <w:tcPr/>
          <w:p>
            <w:pPr>
              <w:pStyle w:val="Compact"/>
              <w:jc w:val="right"/>
            </w:pPr>
            <w:r>
              <w:t xml:space="preserve">0.317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1.29</w:t>
            </w:r>
          </w:p>
        </w:tc>
        <w:tc>
          <w:tcPr/>
          <w:p>
            <w:pPr>
              <w:pStyle w:val="Compact"/>
              <w:jc w:val="left"/>
            </w:pPr>
            <w:r>
              <w:t xml:space="preserve">0.83-2.02</w:t>
            </w:r>
          </w:p>
        </w:tc>
        <w:tc>
          <w:tcPr/>
          <w:p>
            <w:pPr>
              <w:pStyle w:val="Compact"/>
              <w:jc w:val="right"/>
            </w:pPr>
            <w:r>
              <w:t xml:space="preserve">0.261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1.53</w:t>
            </w:r>
          </w:p>
        </w:tc>
        <w:tc>
          <w:tcPr/>
          <w:p>
            <w:pPr>
              <w:pStyle w:val="Compact"/>
              <w:jc w:val="left"/>
            </w:pPr>
            <w:r>
              <w:t xml:space="preserve">0.42-5.52</w:t>
            </w:r>
          </w:p>
        </w:tc>
        <w:tc>
          <w:tcPr/>
          <w:p>
            <w:pPr>
              <w:pStyle w:val="Compact"/>
              <w:jc w:val="right"/>
            </w:pPr>
            <w:r>
              <w:t xml:space="preserve">0.517</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2.32</w:t>
            </w:r>
          </w:p>
        </w:tc>
        <w:tc>
          <w:tcPr/>
          <w:p>
            <w:pPr>
              <w:pStyle w:val="Compact"/>
              <w:jc w:val="left"/>
            </w:pPr>
            <w:r>
              <w:t xml:space="preserve">1.06-5.06</w:t>
            </w:r>
          </w:p>
        </w:tc>
        <w:tc>
          <w:tcPr/>
          <w:p>
            <w:pPr>
              <w:pStyle w:val="Compact"/>
              <w:jc w:val="right"/>
            </w:pPr>
            <w:r>
              <w:t xml:space="preserve">0.034</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1.00</w:t>
            </w:r>
          </w:p>
        </w:tc>
        <w:tc>
          <w:tcPr/>
          <w:p>
            <w:pPr>
              <w:pStyle w:val="Compact"/>
              <w:jc w:val="left"/>
            </w:pPr>
            <w:r>
              <w:t xml:space="preserve">0.69-1.45</w:t>
            </w:r>
          </w:p>
        </w:tc>
        <w:tc>
          <w:tcPr/>
          <w:p>
            <w:pPr>
              <w:pStyle w:val="Compact"/>
              <w:jc w:val="right"/>
            </w:pPr>
            <w:r>
              <w:t xml:space="preserve">1.000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2.51</w:t>
            </w:r>
          </w:p>
        </w:tc>
        <w:tc>
          <w:tcPr/>
          <w:p>
            <w:pPr>
              <w:pStyle w:val="Compact"/>
              <w:jc w:val="left"/>
            </w:pPr>
            <w:r>
              <w:t xml:space="preserve">1.22-5.18</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1.02-2.28</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1.14</w:t>
            </w:r>
          </w:p>
        </w:tc>
        <w:tc>
          <w:tcPr/>
          <w:p>
            <w:pPr>
              <w:pStyle w:val="Compact"/>
              <w:jc w:val="left"/>
            </w:pPr>
            <w:r>
              <w:t xml:space="preserve">0.87-1.48</w:t>
            </w:r>
          </w:p>
        </w:tc>
        <w:tc>
          <w:tcPr/>
          <w:p>
            <w:pPr>
              <w:pStyle w:val="Compact"/>
              <w:jc w:val="right"/>
            </w:pPr>
            <w:r>
              <w:t xml:space="preserve">0.340</w:t>
            </w:r>
          </w:p>
        </w:tc>
        <w:tc>
          <w:tcPr/>
          <w:p>
            <w:pPr>
              <w:pStyle w:val="Compact"/>
              <w:jc w:val="right"/>
            </w:pPr>
            <w:r>
              <w:t xml:space="preserve">701</w:t>
            </w:r>
          </w:p>
        </w:tc>
        <w:tc>
          <w:tcPr/>
          <w:p>
            <w:pPr>
              <w:pStyle w:val="Compact"/>
              <w:jc w:val="right"/>
            </w:pPr>
            <w:r>
              <w:t xml:space="preserve">412</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433</w:t>
            </w:r>
          </w:p>
        </w:tc>
        <w:tc>
          <w:tcPr/>
          <w:p>
            <w:pPr>
              <w:pStyle w:val="Compact"/>
              <w:jc w:val="right"/>
            </w:pPr>
            <w:r>
              <w:t xml:space="preserve">731</w:t>
            </w:r>
          </w:p>
        </w:tc>
        <w:tc>
          <w:tcPr/>
          <w:p>
            <w:pPr>
              <w:pStyle w:val="Compact"/>
              <w:jc w:val="right"/>
            </w:pPr>
            <w:r>
              <w:t xml:space="preserve">59.2</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433</w:t>
            </w:r>
          </w:p>
        </w:tc>
        <w:tc>
          <w:tcPr/>
          <w:p>
            <w:pPr>
              <w:pStyle w:val="Compact"/>
              <w:jc w:val="right"/>
            </w:pPr>
            <w:r>
              <w:t xml:space="preserve">85.5</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433</w:t>
            </w:r>
          </w:p>
        </w:tc>
        <w:tc>
          <w:tcPr/>
          <w:p>
            <w:pPr>
              <w:pStyle w:val="Compact"/>
              <w:jc w:val="right"/>
            </w:pPr>
            <w:r>
              <w:t xml:space="preserve">13.4</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433</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259105"/>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259105"/>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and recorded responses in a structured data-capture form. Each physician’s office was called under a commercial Blue Cross Blue Shield new-patient scenario, with a chief complaint matched to the physician’s subspecialty.</w:t>
      </w:r>
      <w:r>
        <w:t xml:space="preserve"> </w:t>
      </w:r>
      <w:r>
        <w:rPr>
          <w:i/>
          <w:iCs/>
        </w:rPr>
        <w:t xml:space="preserve">[Replace the bracketed chief-complaint text below with the verbatim vignette wording used in the field, and confirm the call-attempt rule.]</w:t>
      </w:r>
    </w:p>
    <w:p>
      <w:pPr>
        <w:pStyle w:val="BodyText"/>
      </w:pPr>
      <w:r>
        <w:rPr>
          <w:b/>
          <w:bCs/>
        </w:rPr>
        <w:t xml:space="preserve">Call flow (all subspecialties).</w:t>
      </w:r>
    </w:p>
    <w:p>
      <w:pPr>
        <w:pStyle w:val="Compact"/>
        <w:numPr>
          <w:ilvl w:val="0"/>
          <w:numId w:val="1001"/>
        </w:numPr>
      </w:pPr>
      <w:r>
        <w:rPr>
          <w:b/>
          <w:bCs/>
        </w:rPr>
        <w:t xml:space="preserve">Introduction.</w:t>
      </w:r>
      <w:r>
        <w:t xml:space="preserve"> </w:t>
      </w:r>
      <w:r>
        <w:t xml:space="preserve">“Hello, I’m calling to schedule a new-patient appointment for [myself / a family member] with Dr. [last name].”</w:t>
      </w:r>
    </w:p>
    <w:p>
      <w:pPr>
        <w:pStyle w:val="Compact"/>
        <w:numPr>
          <w:ilvl w:val="0"/>
          <w:numId w:val="1001"/>
        </w:numPr>
      </w:pPr>
      <w:r>
        <w:rPr>
          <w:b/>
          <w:bCs/>
        </w:rPr>
        <w:t xml:space="preserve">Insurance.</w:t>
      </w:r>
      <w:r>
        <w:t xml:space="preserve"> </w:t>
      </w:r>
      <w:r>
        <w:t xml:space="preserve">If asked, state commercial Blue Cross Blue Shield coverage.</w:t>
      </w:r>
    </w:p>
    <w:p>
      <w:pPr>
        <w:pStyle w:val="Compact"/>
        <w:numPr>
          <w:ilvl w:val="0"/>
          <w:numId w:val="1001"/>
        </w:numPr>
      </w:pPr>
      <w:r>
        <w:rPr>
          <w:b/>
          <w:bCs/>
        </w:rPr>
        <w:t xml:space="preserve">Chief complaint.</w:t>
      </w:r>
      <w:r>
        <w:t xml:space="preserve"> </w:t>
      </w:r>
      <w:r>
        <w:t xml:space="preserve">Provide the subspecialty-matched complaint (below) if asked the reason for the visit.</w:t>
      </w:r>
    </w:p>
    <w:p>
      <w:pPr>
        <w:pStyle w:val="Compact"/>
        <w:numPr>
          <w:ilvl w:val="0"/>
          <w:numId w:val="1001"/>
        </w:numPr>
      </w:pPr>
      <w:r>
        <w:rPr>
          <w:b/>
          <w:bCs/>
        </w:rPr>
        <w:t xml:space="preserve">Appointment offer.</w:t>
      </w:r>
      <w:r>
        <w:t xml:space="preserve"> </w:t>
      </w:r>
      <w:r>
        <w:t xml:space="preserve">Record whether a new-patient appointment with the sampled physician was offered (yes/no).</w:t>
      </w:r>
    </w:p>
    <w:p>
      <w:pPr>
        <w:pStyle w:val="Compact"/>
        <w:numPr>
          <w:ilvl w:val="0"/>
          <w:numId w:val="1001"/>
        </w:numPr>
      </w:pPr>
      <w:r>
        <w:rPr>
          <w:b/>
          <w:bCs/>
        </w:rPr>
        <w:t xml:space="preserve">Next-available date.</w:t>
      </w:r>
      <w:r>
        <w:t xml:space="preserve"> </w:t>
      </w:r>
      <w:r>
        <w:t xml:space="preserve">If offered, record the next-available appointment date (used to compute the business-day wait).</w:t>
      </w:r>
    </w:p>
    <w:p>
      <w:pPr>
        <w:pStyle w:val="Compact"/>
        <w:numPr>
          <w:ilvl w:val="0"/>
          <w:numId w:val="1001"/>
        </w:numPr>
      </w:pPr>
      <w:r>
        <w:rPr>
          <w:b/>
          <w:bCs/>
        </w:rPr>
        <w:t xml:space="preserve">Call attempts.</w:t>
      </w:r>
      <w:r>
        <w:t xml:space="preserve"> </w:t>
      </w:r>
      <w:r>
        <w:rPr>
          <w:i/>
          <w:iCs/>
        </w:rPr>
        <w:t xml:space="preserve">[Each office was called up to [N] times on separate business days; an office not reached after [N] attempts was recorded as unreachable / incomplete.]</w:t>
      </w:r>
    </w:p>
    <w:p>
      <w:pPr>
        <w:pStyle w:val="Compact"/>
        <w:numPr>
          <w:ilvl w:val="0"/>
          <w:numId w:val="1001"/>
        </w:numPr>
      </w:pPr>
      <w:r>
        <w:rPr>
          <w:b/>
          <w:bCs/>
        </w:rPr>
        <w:t xml:space="preserve">Disclosure.</w:t>
      </w:r>
      <w:r>
        <w:t xml:space="preserve"> </w:t>
      </w:r>
      <w:r>
        <w:rPr>
          <w:i/>
          <w:iCs/>
        </w:rPr>
        <w:t xml:space="preserve">[If directly asked whether the call was for research, callers disclosed the study and offered the investigator’s/IRB contact information.]</w:t>
      </w:r>
    </w:p>
    <w:p>
      <w:pPr>
        <w:pStyle w:val="FirstParagraph"/>
      </w:pPr>
      <w:r>
        <w:rPr>
          <w:b/>
          <w:bCs/>
        </w:rPr>
        <w:t xml:space="preserve">Table S9. Subspecialty-matched chief complaints.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Subspecialty</w:t>
            </w:r>
          </w:p>
        </w:tc>
        <w:tc>
          <w:tcPr/>
          <w:p>
            <w:pPr>
              <w:pStyle w:val="Compact"/>
            </w:pPr>
            <w:r>
              <w:t xml:space="preserve">Scripted chief complaint</w:t>
            </w:r>
          </w:p>
        </w:tc>
      </w:tr>
      <w:tr>
        <w:tc>
          <w:tcPr/>
          <w:p>
            <w:pPr>
              <w:pStyle w:val="Compact"/>
            </w:pPr>
            <w:r>
              <w:t xml:space="preserve">General otolaryngology</w:t>
            </w:r>
          </w:p>
        </w:tc>
        <w:tc>
          <w:tcPr/>
          <w:p>
            <w:pPr>
              <w:pStyle w:val="Compact"/>
            </w:pPr>
            <w:r>
              <w:rPr>
                <w:i/>
                <w:iCs/>
              </w:rPr>
              <w:t xml:space="preserve">[e.g., chronic nasal congestion / recurrent sinus infections]</w:t>
            </w:r>
          </w:p>
        </w:tc>
      </w:tr>
      <w:tr>
        <w:tc>
          <w:tcPr/>
          <w:p>
            <w:pPr>
              <w:pStyle w:val="Compact"/>
            </w:pPr>
            <w:r>
              <w:t xml:space="preserve">Facial plastic surgery</w:t>
            </w:r>
          </w:p>
        </w:tc>
        <w:tc>
          <w:tcPr/>
          <w:p>
            <w:pPr>
              <w:pStyle w:val="Compact"/>
            </w:pPr>
            <w:r>
              <w:rPr>
                <w:i/>
                <w:iCs/>
              </w:rPr>
              <w:t xml:space="preserve">[chief complaint]</w:t>
            </w:r>
          </w:p>
        </w:tc>
      </w:tr>
      <w:tr>
        <w:tc>
          <w:tcPr/>
          <w:p>
            <w:pPr>
              <w:pStyle w:val="Compact"/>
            </w:pPr>
            <w:r>
              <w:t xml:space="preserve">Head and neck oncology</w:t>
            </w:r>
          </w:p>
        </w:tc>
        <w:tc>
          <w:tcPr/>
          <w:p>
            <w:pPr>
              <w:pStyle w:val="Compact"/>
            </w:pPr>
            <w:r>
              <w:rPr>
                <w:i/>
                <w:iCs/>
              </w:rPr>
              <w:t xml:space="preserve">[chief complaint]</w:t>
            </w:r>
          </w:p>
        </w:tc>
      </w:tr>
      <w:tr>
        <w:tc>
          <w:tcPr/>
          <w:p>
            <w:pPr>
              <w:pStyle w:val="Compact"/>
            </w:pPr>
            <w:r>
              <w:t xml:space="preserve">Laryngology</w:t>
            </w:r>
          </w:p>
        </w:tc>
        <w:tc>
          <w:tcPr/>
          <w:p>
            <w:pPr>
              <w:pStyle w:val="Compact"/>
            </w:pPr>
            <w:r>
              <w:rPr>
                <w:i/>
                <w:iCs/>
              </w:rPr>
              <w:t xml:space="preserve">[e.g., persistent hoarseness]</w:t>
            </w:r>
          </w:p>
        </w:tc>
      </w:tr>
      <w:tr>
        <w:tc>
          <w:tcPr/>
          <w:p>
            <w:pPr>
              <w:pStyle w:val="Compact"/>
            </w:pPr>
            <w:r>
              <w:t xml:space="preserve">Otology/neurotology</w:t>
            </w:r>
          </w:p>
        </w:tc>
        <w:tc>
          <w:tcPr/>
          <w:p>
            <w:pPr>
              <w:pStyle w:val="Compact"/>
            </w:pPr>
            <w:r>
              <w:rPr>
                <w:i/>
                <w:iCs/>
              </w:rPr>
              <w:t xml:space="preserve">[e.g., hearing loss / recurrent ear infections]</w:t>
            </w:r>
          </w:p>
        </w:tc>
      </w:tr>
      <w:tr>
        <w:tc>
          <w:tcPr/>
          <w:p>
            <w:pPr>
              <w:pStyle w:val="Compact"/>
            </w:pPr>
            <w:r>
              <w:t xml:space="preserve">Pediatric otolaryngology</w:t>
            </w:r>
          </w:p>
        </w:tc>
        <w:tc>
          <w:tcPr/>
          <w:p>
            <w:pPr>
              <w:pStyle w:val="Compact"/>
            </w:pPr>
            <w:r>
              <w:rPr>
                <w:i/>
                <w:iCs/>
              </w:rPr>
              <w:t xml:space="preserve">[e.g., recurrent otitis media / tonsil concerns]</w:t>
            </w:r>
          </w:p>
        </w:tc>
      </w:tr>
      <w:tr>
        <w:tc>
          <w:tcPr/>
          <w:p>
            <w:pPr>
              <w:pStyle w:val="Compact"/>
            </w:pPr>
            <w:r>
              <w:t xml:space="preserve">Rhinology</w:t>
            </w:r>
          </w:p>
        </w:tc>
        <w:tc>
          <w:tcPr/>
          <w:p>
            <w:pPr>
              <w:pStyle w:val="Compact"/>
            </w:pPr>
            <w:r>
              <w:rPr>
                <w:i/>
                <w:iCs/>
              </w:rPr>
              <w:t xml:space="preserve">[e.g., chronic rhinosinusitis]</w:t>
            </w:r>
          </w:p>
        </w:tc>
      </w:tr>
      <w:tr>
        <w:tc>
          <w:tcPr/>
          <w:p>
            <w:pPr>
              <w:pStyle w:val="Compact"/>
            </w:pPr>
            <w:r>
              <w:t xml:space="preserve">Sleep medicine</w:t>
            </w:r>
          </w:p>
        </w:tc>
        <w:tc>
          <w:tcPr/>
          <w:p>
            <w:pPr>
              <w:pStyle w:val="Compact"/>
            </w:pPr>
            <w:r>
              <w:rPr>
                <w:i/>
                <w:iCs/>
              </w:rPr>
              <w:t xml:space="preserve">[e.g., loud snoring / suspected obstructive sleep apnea]</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Grace E. Falk; [RA co-authors — full names &amp; degrees to confirm: Chin, Deol, Gregg, Kim, Roesch, Walsh]; Cristina Cabrera-Muffly, MD; Tyler M. Muffly, MD; Eric J. Dobratz, MD</dc:creator>
  <cp:keywords/>
  <dcterms:created xsi:type="dcterms:W3CDTF">2026-07-18T02:57:36Z</dcterms:created>
  <dcterms:modified xsi:type="dcterms:W3CDTF">2026-07-18T02:57:36Z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