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7.png" ContentType="image/png"/>
  <Override PartName="/word/media/rId50.png" ContentType="image/png"/>
  <Override PartName="/word/media/rId53.png" ContentType="image/png"/>
  <Override PartName="/word/media/rId59.png" ContentType="image/png"/>
  <Override PartName="/word/media/rId56.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Grace E. Falk; [RA co-authors — full names &amp; degrees to confirm: Chin, Deol, Gregg, Kim, Roesch, Walsh]; Cristina Cabrera-Muffly, MD; Tyler M. Muffly, MD</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p>
      <w:pPr>
        <w:pStyle w:val="BodyText"/>
      </w:pPr>
      <w:r>
        <w:rPr>
          <w:b/>
          <w:bCs/>
        </w:rPr>
        <w:t xml:space="preserve">Keywords:</w:t>
      </w:r>
      <w:r>
        <w:t xml:space="preserve"> </w:t>
      </w:r>
      <w:r>
        <w:t xml:space="preserve">otolaryngology; access to care; health services accessibility; simulated patient; mystery caller; appointment wait time; rural health; workforce.</w:t>
      </w:r>
    </w:p>
    <w:p>
      <w:pPr>
        <w:pStyle w:val="BodyText"/>
      </w:pPr>
      <w:r>
        <w:rPr>
          <w:b/>
          <w:bCs/>
        </w:rPr>
        <w:t xml:space="preserve">Running head:</w:t>
      </w:r>
      <w:r>
        <w:t xml:space="preserve"> </w:t>
      </w:r>
      <w:r>
        <w:t xml:space="preserve">Subspecialty and geography in otolaryngology access.</w:t>
      </w:r>
    </w:p>
    <w:p>
      <w:pPr>
        <w:pStyle w:val="BodyText"/>
      </w:pPr>
      <w:r>
        <w:rPr>
          <w:b/>
          <w:bCs/>
        </w:rPr>
        <w:t xml:space="preserve">Corresponding author:</w:t>
      </w:r>
      <w:r>
        <w:t xml:space="preserve"> </w:t>
      </w:r>
      <w:r>
        <w:t xml:space="preserve">Cristina Cabrera-Muffly, MD; Department of Otolaryngology–Head and Neck Surgery, University of Colorado School of Medicine, Aurora, CO;</w:t>
      </w:r>
      <w:r>
        <w:t xml:space="preserve"> </w:t>
      </w:r>
      <w:r>
        <w:rPr>
          <w:i/>
          <w:iCs/>
        </w:rPr>
        <w:t xml:space="preserve">[address; email; telephone]</w:t>
      </w:r>
      <w:r>
        <w:t xml:space="preserve">.</w:t>
      </w:r>
    </w:p>
    <w:p>
      <w:pPr>
        <w:pStyle w:val="BodyText"/>
      </w:pPr>
      <w:r>
        <w:rPr>
          <w:b/>
          <w:bCs/>
        </w:rPr>
        <w:t xml:space="preserve">Affiliations:</w:t>
      </w:r>
      <w:r>
        <w:t xml:space="preserve"> </w:t>
      </w:r>
      <w:r>
        <w:t xml:space="preserve">Grace E. Falk, Old Dominion University / Eastern Virginia Medical School, Norfolk, VA.</w:t>
      </w:r>
      <w:r>
        <w:t xml:space="preserve"> </w:t>
      </w:r>
      <w:r>
        <w:rPr>
          <w:i/>
          <w:iCs/>
        </w:rPr>
        <w:t xml:space="preserve">[Research-assistant co-authors — affiliations to confirm.]</w:t>
      </w:r>
      <w:r>
        <w:t xml:space="preserve"> </w:t>
      </w:r>
      <w:r>
        <w:t xml:space="preserve">Cristina Cabrera-Muffly, Department of Otolaryngology–Head and Neck Surgery, University of Colorado School of Medicine, Aurora, CO. Tyler M. Muffly, Denver Health and Hospital Authority, Denver, CO; Department of Obstetrics and Gynecology, University of Colorado School of Medicine, Aurora, CO.</w:t>
      </w:r>
    </w:p>
    <w:p>
      <w:pPr>
        <w:pStyle w:val="BodyText"/>
      </w:pPr>
      <w:r>
        <w:rPr>
          <w:i/>
          <w:iCs/>
        </w:rPr>
        <w:t xml:space="preserve">Word count: abstract ≈ 200; main text</w:t>
      </w:r>
      <w:r>
        <w:rPr>
          <w:i/>
          <w:iCs/>
        </w:rPr>
        <w:t xml:space="preserve"> </w:t>
      </w:r>
      <w:r>
        <w:t xml:space="preserve">[to finalize]</w:t>
      </w:r>
      <w:r>
        <w:rPr>
          <w:i/>
          <w:iCs/>
        </w:rPr>
        <w:t xml:space="preserve">. Tables: 2 main, 10 supplementary. Figures: 2 main, 7 supplementary.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vickery2016">
        <w:r>
          <w:rPr>
            <w:rStyle w:val="Hyperlink"/>
            <w:vertAlign w:val="superscript"/>
          </w:rPr>
          <w:t xml:space="preserve">3</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w:t>
      </w:r>
      <w:r>
        <w:t xml:space="preserve"> </w:t>
      </w:r>
      <w:r>
        <w:rPr>
          <w:i/>
          <w:iCs/>
        </w:rPr>
        <w:t xml:space="preserve">[To confirm from the protocol: the number and timing of call attempts before a physician was recorded as unreachable, the exact wording of the subspecialty-specific chief-complaint scripts, and caller-training procedures.]</w:t>
      </w:r>
      <w:r>
        <w:t xml:space="preserve"> </w:t>
      </w:r>
      <w:r>
        <w:t xml:space="preserve">The University of Colorado Multiple Institutional Review Board (COMIRB 23-1303) deemed this study not human subjects research and did not require informed consent. The covert measurement of clinician behavior has been debated—most publicly when a 2011 federally commissioned</w:t>
      </w:r>
      <w:r>
        <w:t xml:space="preserve"> </w:t>
      </w:r>
      <w:r>
        <w:t xml:space="preserve">“mystery shopper”</w:t>
      </w:r>
      <w:r>
        <w:t xml:space="preserve"> </w:t>
      </w:r>
      <w:r>
        <w:t xml:space="preserve">survey of primary-care access was shelved amid concern about deceiving physician practices</w:t>
      </w:r>
      <w:hyperlink w:anchor="ref-rhodes2011">
        <w:r>
          <w:rPr>
            <w:rStyle w:val="Hyperlink"/>
            <w:vertAlign w:val="superscript"/>
          </w:rPr>
          <w:t xml:space="preserve">5</w:t>
        </w:r>
      </w:hyperlink>
      <w:r>
        <w:rPr>
          <w:vertAlign w:val="superscript"/>
        </w:rPr>
        <w:t xml:space="preserve">,</w:t>
      </w:r>
      <w:hyperlink w:anchor="ref-blinkhorn2013">
        <w:r>
          <w:rPr>
            <w:rStyle w:val="Hyperlink"/>
            <w:vertAlign w:val="superscript"/>
          </w:rPr>
          <w:t xml:space="preserve">6</w:t>
        </w:r>
      </w:hyperlink>
      <w:r>
        <w:t xml:space="preserve">—but a formal ethical analysis has since established that simulated-patient research without prior consent is justified when risks and burdens are minimal, a consent waiver is necessary for scientifically valid data, and the study carries substantial social value</w:t>
      </w:r>
      <w:hyperlink w:anchor="ref-rhodesmiller2012">
        <w:r>
          <w:rPr>
            <w:rStyle w:val="Hyperlink"/>
            <w:vertAlign w:val="superscript"/>
          </w:rPr>
          <w:t xml:space="preserve">7</w:t>
        </w:r>
      </w:hyperlink>
      <w:r>
        <w:t xml:space="preserve">. This study was designed to satisfy those conditions. Consistent with established simulated-patient practice, the covert design incorporated several safeguards: no protected health information was collected and no calls were recorded; each contact was a single brief call that booked no real appointment and imposed minimal burden on office staff; and identifying information about individual staff members was neither requested nor stored. Covert simulated calling was necessary because non-covert methods—for example, surveys of offices aware of being observed—would systematically bias access estimates through social desirability, the same rationale that underlies the design’s measurement validity</w:t>
      </w:r>
      <w:hyperlink w:anchor="ref-rankin2022">
        <w:r>
          <w:rPr>
            <w:rStyle w:val="Hyperlink"/>
            <w:vertAlign w:val="superscript"/>
          </w:rPr>
          <w:t xml:space="preserve">4</w:t>
        </w:r>
      </w:hyperlink>
      <w:r>
        <w:rPr>
          <w:vertAlign w:val="superscript"/>
        </w:rPr>
        <w:t xml:space="preserve">,</w:t>
      </w:r>
      <w:hyperlink w:anchor="ref-moriarty2003">
        <w:r>
          <w:rPr>
            <w:rStyle w:val="Hyperlink"/>
            <w:vertAlign w:val="superscript"/>
          </w:rPr>
          <w:t xml:space="preserve">8</w:t>
        </w:r>
      </w:hyperlink>
      <w:r>
        <w:rPr>
          <w:vertAlign w:val="superscript"/>
        </w:rPr>
        <w:t xml:space="preserve">,</w:t>
      </w:r>
      <w:hyperlink w:anchor="ref-hodson2025">
        <w:r>
          <w:rPr>
            <w:rStyle w:val="Hyperlink"/>
            <w:vertAlign w:val="superscript"/>
          </w:rPr>
          <w:t xml:space="preserve">9</w:t>
        </w:r>
      </w:hyperlink>
      <w:r>
        <w:t xml:space="preserve">. Aggregate, market-level findings will be made available through specialty-society and state channels as a benefit to participating communities, in the spirit of the participant-feedback provisions used in prior covert simulated-patient studies</w:t>
      </w:r>
      <w:hyperlink w:anchor="ref-lungfiel2023">
        <w:r>
          <w:rPr>
            <w:rStyle w:val="Hyperlink"/>
            <w:vertAlign w:val="superscript"/>
          </w:rPr>
          <w:t xml:space="preserve">10</w:t>
        </w:r>
      </w:hyperlink>
      <w:r>
        <w:t xml:space="preserve">.</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 We recorded the</w:t>
      </w:r>
      <w:r>
        <w:t xml:space="preserve"> </w:t>
      </w:r>
      <w:r>
        <w:rPr>
          <w:i/>
          <w:iCs/>
        </w:rPr>
        <w:t xml:space="preserve">first</w:t>
      </w:r>
      <w:r>
        <w:t xml:space="preserve">-available appointment; prior simulated-patient work has shown that the more elaborate third-next-available metric adds little beyond first-available while reducing reliability</w:t>
      </w:r>
      <w:hyperlink w:anchor="ref-campbell2013">
        <w:r>
          <w:rPr>
            <w:rStyle w:val="Hyperlink"/>
            <w:vertAlign w:val="superscript"/>
          </w:rPr>
          <w:t xml:space="preserve">11</w:t>
        </w:r>
      </w:hyperlink>
      <w:r>
        <w:t xml:space="preserve">.</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12</w:t>
        </w:r>
      </w:hyperlink>
      <w:r>
        <w:t xml:space="preserve">; the CDC/ATSDR Social Vulnerability Index (SVI, 2022, tract-level, population-weighted to the practice ZIP)</w:t>
      </w:r>
      <w:hyperlink w:anchor="ref-cdcsvi">
        <w:r>
          <w:rPr>
            <w:rStyle w:val="Hyperlink"/>
            <w:vertAlign w:val="superscript"/>
          </w:rPr>
          <w:t xml:space="preserve">13</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to adjust for operator-level differences in call handling.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14</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Two additional sensitivity analyses were performed: a three-level rurality specification (urban, RUCA 1–3; suburban, 4–6; rural, 7–10) in place of the binary contrast, and a complete-case refit that excluded records with any missing covariate rather than median-imputing them. Whether call incompleteness was related to the measured covariates was assessed with chi-square and Wilcoxon rank-sum tests. Analyses used R 4.4.2</w:t>
      </w:r>
      <w:hyperlink w:anchor="ref-rcoreteam">
        <w:r>
          <w:rPr>
            <w:rStyle w:val="Hyperlink"/>
            <w:vertAlign w:val="superscript"/>
          </w:rPr>
          <w:t xml:space="preserve">15</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16</w:t>
        </w:r>
      </w:hyperlink>
      <w:r>
        <w:t xml:space="preserve">,</w:t>
      </w:r>
      <w:r>
        <w:t xml:space="preserve"> </w:t>
      </w:r>
      <w:r>
        <w:rPr>
          <w:rStyle w:val="VerbatimChar"/>
        </w:rPr>
        <w:t xml:space="preserve">emmeans</w:t>
      </w:r>
      <w:hyperlink w:anchor="ref-emmeans">
        <w:r>
          <w:rPr>
            <w:rStyle w:val="Hyperlink"/>
            <w:vertAlign w:val="superscript"/>
          </w:rPr>
          <w:t xml:space="preserve">14</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17</w:t>
        </w:r>
      </w:hyperlink>
      <w:r>
        <w:t xml:space="preserve"> </w:t>
      </w:r>
      <w:r>
        <w:t xml:space="preserve">and the simulated-patient–specific CRiSP/CRiSPHe reporting checklist</w:t>
      </w:r>
      <w:hyperlink w:anchor="ref-crisp2021">
        <w:r>
          <w:rPr>
            <w:rStyle w:val="Hyperlink"/>
            <w:vertAlign w:val="superscript"/>
          </w:rPr>
          <w:t xml:space="preserve">18</w:t>
        </w:r>
      </w:hyperlink>
      <w:r>
        <w:rPr>
          <w:vertAlign w:val="superscript"/>
        </w:rPr>
        <w:t xml:space="preserve">,</w:t>
      </w:r>
      <w:hyperlink w:anchor="ref-crisphe2024">
        <w:r>
          <w:rPr>
            <w:rStyle w:val="Hyperlink"/>
            <w:vertAlign w:val="superscript"/>
          </w:rPr>
          <w:t xml:space="preserve">19</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20</w:t>
        </w:r>
      </w:hyperlink>
      <w:r>
        <w:rPr>
          <w:vertAlign w:val="superscript"/>
        </w:rPr>
        <w:t xml:space="preserve">,</w:t>
      </w:r>
      <w:hyperlink w:anchor="ref-saeedi2025">
        <w:r>
          <w:rPr>
            <w:rStyle w:val="Hyperlink"/>
            <w:vertAlign w:val="superscript"/>
          </w:rPr>
          <w:t xml:space="preserve">21</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3"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Anchored to the roughly two-week median wait for general otolaryngology (14 business days), these rate ratios correspond to a substantially longer typical wait—on the order of an additional two to three weeks for laryngology and about one to one-and-a-half weeks for pediatric otolaryngology—consistent with the observed subspecialty medians (Table S3).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30"/>
    <w:bookmarkStart w:id="31" w:name="secondary-access-measures"/>
    <w:p>
      <w:pPr>
        <w:pStyle w:val="Heading3"/>
      </w:pPr>
      <w:r>
        <w:t xml:space="preserve">Secondary access measures</w:t>
      </w:r>
    </w:p>
    <w:p>
      <w:pPr>
        <w:pStyle w:val="FirstParagraph"/>
      </w:pPr>
      <w:r>
        <w:t xml:space="preserve">Beyond the two modeled outcomes, the call log captured intermediate steps of the access pathway (</w:t>
      </w:r>
      <w:r>
        <w:rPr>
          <w:b/>
          <w:bCs/>
        </w:rPr>
        <w:t xml:space="preserve">Table S10</w:t>
      </w:r>
      <w:r>
        <w:t xml:space="preserve">,</w:t>
      </w:r>
      <w:r>
        <w:t xml:space="preserve"> </w:t>
      </w:r>
      <w:r>
        <w:rPr>
          <w:b/>
          <w:bCs/>
        </w:rPr>
        <w:t xml:space="preserve">Figure S7</w:t>
      </w:r>
      <w:r>
        <w:t xml:space="preserve">). Of the 731 analytic calls, a live office was reached in 569 (78%); the practice was accepting new patients in 432 (59%); and an appointment was offered in 433 (59%). Critically, only 370 calls (51%) yielded an appointment</w:t>
      </w:r>
      <w:r>
        <w:t xml:space="preserve"> </w:t>
      </w:r>
      <w:r>
        <w:rPr>
          <w:b/>
          <w:bCs/>
        </w:rPr>
        <w:t xml:space="preserve">with the specific board-certified otolaryngologist requested</w:t>
      </w:r>
      <w:r>
        <w:t xml:space="preserve">: among the 433 offers, 58 (13%) were with a different physician and 9 with an advanced practice provider only. Two front-desk barriers stood out: 25 practices stated they do not see the presented complaint despite the sampled physician’s matched subspecialty, and among practices not accepting new patients the most common documented reasons were that the physician had retired or left (81) or an unspecified closure (104)—a signal that provider directories overstate the reachable workforce.</w:t>
      </w:r>
    </w:p>
    <w:bookmarkEnd w:id="31"/>
    <w:bookmarkStart w:id="32" w:name="robustness-and-missing-data"/>
    <w:p>
      <w:pPr>
        <w:pStyle w:val="Heading3"/>
      </w:pPr>
      <w:r>
        <w:t xml:space="preserve">Robustness and missing data</w:t>
      </w:r>
    </w:p>
    <w:p>
      <w:pPr>
        <w:pStyle w:val="FirstParagraph"/>
      </w:pPr>
      <w:r>
        <w:t xml:space="preserve">Market-level clustering was modest: the core-based statistical area random intercept accounted for a latent intraclass correlation of 0.043 in the access model (CBSA variance 0.26 on the log scale in the timeliness model), indicating that most variation in access and timeliness lay within rather than between markets. 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 The main findings were stable across two sensitivity analyses (</w:t>
      </w:r>
      <w:r>
        <w:rPr>
          <w:b/>
          <w:bCs/>
        </w:rPr>
        <w:t xml:space="preserve">Table S8</w:t>
      </w:r>
      <w:r>
        <w:t xml:space="preserve">). Under a three-level rurality specification (urban, RUCA 1–3; suburban, 4–6; rural, 7–10), no urban-to-rural gradient emerged—neither suburban (wait IRR 1.15) nor the sparse rural stratum (IRR 1.29) differed significantly from urban—while the subspecialty effects were unchanged. A complete-case analysis without imputation (n = 412 recorded waits) likewise reproduced the longer waits for laryngology (IRR 2.51) and pediatric otolaryngology (IRR 1.52) and the null rural–urban contrast (IRR 1.14).</w:t>
      </w:r>
    </w:p>
    <w:bookmarkEnd w:id="32"/>
    <w:bookmarkEnd w:id="33"/>
    <w:bookmarkStart w:id="34"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 This parallels an emerging pattern in other access studies, in which disparities track the</w:t>
      </w:r>
      <w:r>
        <w:t xml:space="preserve"> </w:t>
      </w:r>
      <w:r>
        <w:rPr>
          <w:i/>
          <w:iCs/>
        </w:rPr>
        <w:t xml:space="preserve">type of practice</w:t>
      </w:r>
      <w:r>
        <w:t xml:space="preserve"> </w:t>
      </w:r>
      <w:r>
        <w:t xml:space="preserve">a patient reaches rather than whether that practice is urban or rural: rural populations may face barriers less because they are rural than because they are more likely to reach practices with different acceptance behavior. Framed this way, the relevant unit for intervention is the practice and the clinical request, not the community.</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Future directions.</w:t>
      </w:r>
      <w:r>
        <w:t xml:space="preserve"> </w:t>
      </w:r>
      <w:r>
        <w:t xml:space="preserve">Several extensions follow directly from this design. First, because insurance was held constant, a natural next phase is to vary the payer (e.g., Medicaid vs commercial) within the same frame; a prior specialty-cancer mystery-caller study that likewise fixed insurance identified this as its principal next step</w:t>
      </w:r>
      <w:hyperlink w:anchor="ref-pollack2016">
        <w:r>
          <w:rPr>
            <w:rStyle w:val="Hyperlink"/>
            <w:vertAlign w:val="superscript"/>
          </w:rPr>
          <w:t xml:space="preserve">22</w:t>
        </w:r>
      </w:hyperlink>
      <w:r>
        <w:t xml:space="preserve">. Second, most otolaryngology care is physician-referred, so our patient-initiated calls capture a self-referral ceiling; a complementary arm in which the caller poses as a referring primary-care office would better reflect the true specialist-referral pathway</w:t>
      </w:r>
      <w:hyperlink w:anchor="ref-pollack2016">
        <w:r>
          <w:rPr>
            <w:rStyle w:val="Hyperlink"/>
            <w:vertAlign w:val="superscript"/>
          </w:rPr>
          <w:t xml:space="preserve">22</w:t>
        </w:r>
      </w:hyperlink>
      <w:r>
        <w:t xml:space="preserve">. Third, our secondary measures hint at an information-quality dimension we did not fully model—whether front-desk statements (that a practice does not see a complaint, or that a physician is unavailable) are accurate—which simulated-patient studies increasingly treat as a distinct outcome,</w:t>
      </w:r>
      <w:r>
        <w:t xml:space="preserve"> </w:t>
      </w:r>
      <w:r>
        <w:t xml:space="preserve">“available ≠ accessible ≠ accurately communicated”</w:t>
      </w:r>
      <w:hyperlink w:anchor="ref-wilkinson2018">
        <w:r>
          <w:rPr>
            <w:rStyle w:val="Hyperlink"/>
            <w:vertAlign w:val="superscript"/>
          </w:rPr>
          <w:t xml:space="preserve">23</w:t>
        </w:r>
      </w:hyperlink>
      <w:r>
        <w:t xml:space="preserve">. Comparing publicly listed directory or website information against phone-obtained access would quantify this gap directly</w:t>
      </w:r>
      <w:hyperlink w:anchor="ref-hodson2025">
        <w:r>
          <w:rPr>
            <w:rStyle w:val="Hyperlink"/>
            <w:vertAlign w:val="superscript"/>
          </w:rPr>
          <w:t xml:space="preserve">9</w:t>
        </w:r>
      </w:hyperlink>
      <w:r>
        <w:t xml:space="preserve">, and the frequency of</w:t>
      </w:r>
      <w:r>
        <w:t xml:space="preserve"> </w:t>
      </w:r>
      <w:r>
        <w:t xml:space="preserve">“retired or left”</w:t>
      </w:r>
      <w:r>
        <w:t xml:space="preserve"> </w:t>
      </w:r>
      <w:r>
        <w:t xml:space="preserve">responses in our data suggests provider directories materially overstate the reachable workforce. Finally, whether schedulers appropriately triage clinically urgent presentations—head-and-neck cancer red flags, for instance—is an access-quality axis beyond the offer and wait we measured</w:t>
      </w:r>
      <w:hyperlink w:anchor="ref-moriarty2003">
        <w:r>
          <w:rPr>
            <w:rStyle w:val="Hyperlink"/>
            <w:vertAlign w:val="superscript"/>
          </w:rPr>
          <w:t xml:space="preserve">8</w:t>
        </w:r>
      </w:hyperlink>
      <w:r>
        <w:t xml:space="preserv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4"/>
    <w:bookmarkStart w:id="35" w:name="author-contributions"/>
    <w:p>
      <w:pPr>
        <w:pStyle w:val="Heading2"/>
      </w:pPr>
      <w:r>
        <w:t xml:space="preserve">Author contributions</w:t>
      </w:r>
    </w:p>
    <w:p>
      <w:pPr>
        <w:pStyle w:val="FirstParagraph"/>
      </w:pPr>
      <w:r>
        <w:rPr>
          <w:b/>
          <w:bCs/>
        </w:rPr>
        <w:t xml:space="preserve">Grace E. Falk:</w:t>
      </w:r>
      <w:r>
        <w:t xml:space="preserve"> </w:t>
      </w:r>
      <w:r>
        <w:t xml:space="preserve">Investigation, Data curation, Project administration, Writing – original draft.</w:t>
      </w:r>
      <w:r>
        <w:t xml:space="preserve"> </w:t>
      </w:r>
      <w:r>
        <w:rPr>
          <w:b/>
          <w:bCs/>
        </w:rPr>
        <w:t xml:space="preserve">[Research-assistant co-authors: Chin, Deol, Gregg, Kim, Roesch, Walsh]:</w:t>
      </w:r>
      <w:r>
        <w:t xml:space="preserve"> </w:t>
      </w:r>
      <w:r>
        <w:t xml:space="preserve">Investigation (mystery-caller data collection).</w:t>
      </w:r>
      <w:r>
        <w:t xml:space="preserve"> </w:t>
      </w:r>
      <w:r>
        <w:rPr>
          <w:b/>
          <w:bCs/>
        </w:rPr>
        <w:t xml:space="preserve">Cristina Cabrera-Muffly:</w:t>
      </w:r>
      <w:r>
        <w:t xml:space="preserve"> </w:t>
      </w:r>
      <w:r>
        <w:t xml:space="preserve">Conceptualization, Supervision, Writing – review &amp; editing.</w:t>
      </w:r>
      <w:r>
        <w:t xml:space="preserve"> </w:t>
      </w:r>
      <w:r>
        <w:rPr>
          <w:b/>
          <w:bCs/>
        </w:rPr>
        <w:t xml:space="preserve">Tyler M. Muffly:</w:t>
      </w:r>
      <w:r>
        <w:t xml:space="preserve"> </w:t>
      </w:r>
      <w:r>
        <w:t xml:space="preserve">Conceptualization, Methodology, Formal analysis, Software, Writing – review &amp; editing. All authors reviewed and approved the final manuscript and accept responsibility for its submission.</w:t>
      </w:r>
    </w:p>
    <w:bookmarkEnd w:id="35"/>
    <w:bookmarkStart w:id="3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6"/>
    <w:bookmarkStart w:id="37" w:name="conflicts-of-interest"/>
    <w:p>
      <w:pPr>
        <w:pStyle w:val="Heading2"/>
      </w:pPr>
      <w:r>
        <w:t xml:space="preserve">Conflicts of interest</w:t>
      </w:r>
    </w:p>
    <w:p>
      <w:pPr>
        <w:pStyle w:val="FirstParagraph"/>
      </w:pPr>
      <w:r>
        <w:t xml:space="preserve">The authors declare no competing interests.</w:t>
      </w:r>
    </w:p>
    <w:bookmarkEnd w:id="37"/>
    <w:bookmarkStart w:id="38"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8"/>
    <w:bookmarkStart w:id="45"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40" name="Picture"/>
            <a:graphic>
              <a:graphicData uri="http://schemas.openxmlformats.org/drawingml/2006/picture">
                <pic:pic>
                  <pic:nvPicPr>
                    <pic:cNvPr descr="model_output/strobe_flow_mysterycall.png" id="41" name="Picture"/>
                    <pic:cNvPicPr>
                      <a:picLocks noChangeArrowheads="1" noChangeAspect="1"/>
                    </pic:cNvPicPr>
                  </pic:nvPicPr>
                  <pic:blipFill>
                    <a:blip r:embed="rId39"/>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3" name="Picture"/>
            <a:graphic>
              <a:graphicData uri="http://schemas.openxmlformats.org/drawingml/2006/picture">
                <pic:pic>
                  <pic:nvPicPr>
                    <pic:cNvPr descr="model_output/forest_access_timeliness.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5"/>
    <w:bookmarkStart w:id="70" w:name="supplementary-material"/>
    <w:p>
      <w:pPr>
        <w:pStyle w:val="Heading1"/>
      </w:pPr>
      <w:r>
        <w:t xml:space="preserve">Supplementary Material</w:t>
      </w:r>
    </w:p>
    <w:bookmarkStart w:id="46"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768"/>
        <w:gridCol w:w="692"/>
        <w:gridCol w:w="461"/>
        <w:gridCol w:w="615"/>
        <w:gridCol w:w="615"/>
        <w:gridCol w:w="922"/>
        <w:gridCol w:w="461"/>
        <w:gridCol w:w="692"/>
        <w:gridCol w:w="69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Facial plastic surgery</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Head and neck oncology</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Pediatric otolaryngology</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Sleep medicine</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Otolaryngologist density (per SD)</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 fee index (per SD)</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Social Vulnerability Index (per SD)</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Dual-eligible share (per SD)</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 (vs urban)</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 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 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 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 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 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 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Facial plastic surgery</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Head and neck oncology</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Pediatric otolaryngology</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Sleep medicine</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Otolaryngologist density (per SD)</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 fee index (per SD)</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Social Vulnerability Index (per SD)</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Dual-eligible share (per SD)</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 (vs urban)</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 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 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 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 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 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 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315"/>
        <w:gridCol w:w="2394"/>
        <w:gridCol w:w="2210"/>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Head and neck oncology</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Pediatric otolaryngology</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Sleep medicine</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Otolaryngologist density (per SD)</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 fee index (per SD)</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Social Vulnerability Index (per SD)</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Dual-eligible share (per SD)</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 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 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 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 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 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p/>
    <w:p>
      <w:pPr>
        <w:pStyle w:val="TableCaption"/>
      </w:pPr>
      <w:r>
        <w:t xml:space="preserve">Table S8. Sensitivity analyses: three-level RUCA and complete-case (key coefficients vs primary model).</w:t>
      </w:r>
    </w:p>
    <w:tbl>
      <w:tblPr>
        <w:tblStyle w:val="Table"/>
        <w:tblW w:type="pct" w:w="5000"/>
        <w:tblLayout w:type="fixed"/>
        <w:tblLook w:firstRow="1" w:lastRow="0" w:firstColumn="0" w:lastColumn="0" w:noHBand="0" w:noVBand="0" w:val="0020"/>
        <w:tblCaption w:val="Table S8. Sensitivity analyses: three-level RUCA and complete-case (key coefficients vs primary model)."/>
      </w:tblPr>
      <w:tblGrid>
        <w:gridCol w:w="1964"/>
        <w:gridCol w:w="1077"/>
        <w:gridCol w:w="1900"/>
        <w:gridCol w:w="570"/>
        <w:gridCol w:w="633"/>
        <w:gridCol w:w="380"/>
        <w:gridCol w:w="570"/>
        <w:gridCol w:w="823"/>
      </w:tblGrid>
      <w:tr>
        <w:trPr>
          <w:tblHeader w:val="on"/>
        </w:trPr>
        <w:tc>
          <w:tcPr/>
          <w:p>
            <w:pPr>
              <w:pStyle w:val="Compact"/>
              <w:jc w:val="left"/>
            </w:pPr>
            <w:r>
              <w:t xml:space="preserve">spec</w:t>
            </w:r>
          </w:p>
        </w:tc>
        <w:tc>
          <w:tcPr/>
          <w:p>
            <w:pPr>
              <w:pStyle w:val="Compact"/>
              <w:jc w:val="left"/>
            </w:pPr>
            <w:r>
              <w:t xml:space="preserve">part</w:t>
            </w:r>
          </w:p>
        </w:tc>
        <w:tc>
          <w:tcPr/>
          <w:p>
            <w:pPr>
              <w:pStyle w:val="Compact"/>
              <w:jc w:val="left"/>
            </w:pPr>
            <w:r>
              <w:t xml:space="preserve">term</w:t>
            </w:r>
          </w:p>
        </w:tc>
        <w:tc>
          <w:tcPr/>
          <w:p>
            <w:pPr>
              <w:pStyle w:val="Compact"/>
              <w:jc w:val="right"/>
            </w:pPr>
            <w:r>
              <w:t xml:space="preserve">estimate</w:t>
            </w:r>
          </w:p>
        </w:tc>
        <w:tc>
          <w:tcPr/>
          <w:p>
            <w:pPr>
              <w:pStyle w:val="Compact"/>
              <w:jc w:val="left"/>
            </w:pPr>
            <w:r>
              <w:t xml:space="preserve">ci</w:t>
            </w:r>
          </w:p>
        </w:tc>
        <w:tc>
          <w:tcPr/>
          <w:p>
            <w:pPr>
              <w:pStyle w:val="Compact"/>
              <w:jc w:val="right"/>
            </w:pPr>
            <w:r>
              <w:t xml:space="preserve">p</w:t>
            </w:r>
          </w:p>
        </w:tc>
        <w:tc>
          <w:tcPr/>
          <w:p>
            <w:pPr>
              <w:pStyle w:val="Compact"/>
              <w:jc w:val="right"/>
            </w:pPr>
            <w:r>
              <w:t xml:space="preserve">n_access</w:t>
            </w:r>
          </w:p>
        </w:tc>
        <w:tc>
          <w:tcPr/>
          <w:p>
            <w:pPr>
              <w:pStyle w:val="Compact"/>
              <w:jc w:val="right"/>
            </w:pPr>
            <w:r>
              <w:t xml:space="preserve">n_timeliness</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1.74</w:t>
            </w:r>
          </w:p>
        </w:tc>
        <w:tc>
          <w:tcPr/>
          <w:p>
            <w:pPr>
              <w:pStyle w:val="Compact"/>
              <w:jc w:val="left"/>
            </w:pPr>
            <w:r>
              <w:t xml:space="preserve">0.50-6.07</w:t>
            </w:r>
          </w:p>
        </w:tc>
        <w:tc>
          <w:tcPr/>
          <w:p>
            <w:pPr>
              <w:pStyle w:val="Compact"/>
              <w:jc w:val="right"/>
            </w:pPr>
            <w:r>
              <w:t xml:space="preserve">0.386</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2.27</w:t>
            </w:r>
          </w:p>
        </w:tc>
        <w:tc>
          <w:tcPr/>
          <w:p>
            <w:pPr>
              <w:pStyle w:val="Compact"/>
              <w:jc w:val="left"/>
            </w:pPr>
            <w:r>
              <w:t xml:space="preserve">1.08-4.76</w:t>
            </w:r>
          </w:p>
        </w:tc>
        <w:tc>
          <w:tcPr/>
          <w:p>
            <w:pPr>
              <w:pStyle w:val="Compact"/>
              <w:jc w:val="right"/>
            </w:pPr>
            <w:r>
              <w:t xml:space="preserve">0.031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1.02</w:t>
            </w:r>
          </w:p>
        </w:tc>
        <w:tc>
          <w:tcPr/>
          <w:p>
            <w:pPr>
              <w:pStyle w:val="Compact"/>
              <w:jc w:val="left"/>
            </w:pPr>
            <w:r>
              <w:t xml:space="preserve">0.71-1.46</w:t>
            </w:r>
          </w:p>
        </w:tc>
        <w:tc>
          <w:tcPr/>
          <w:p>
            <w:pPr>
              <w:pStyle w:val="Compact"/>
              <w:jc w:val="right"/>
            </w:pPr>
            <w:r>
              <w:t xml:space="preserve">0.922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2.25</w:t>
            </w:r>
          </w:p>
        </w:tc>
        <w:tc>
          <w:tcPr/>
          <w:p>
            <w:pPr>
              <w:pStyle w:val="Compact"/>
              <w:jc w:val="left"/>
            </w:pPr>
            <w:r>
              <w:t xml:space="preserve">1.14-4.47</w:t>
            </w:r>
          </w:p>
        </w:tc>
        <w:tc>
          <w:tcPr/>
          <w:p>
            <w:pPr>
              <w:pStyle w:val="Compact"/>
              <w:jc w:val="right"/>
            </w:pPr>
            <w:r>
              <w:t xml:space="preserve">0.020</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1.63</w:t>
            </w:r>
          </w:p>
        </w:tc>
        <w:tc>
          <w:tcPr/>
          <w:p>
            <w:pPr>
              <w:pStyle w:val="Compact"/>
              <w:jc w:val="left"/>
            </w:pPr>
            <w:r>
              <w:t xml:space="preserve">1.11-2.40</w:t>
            </w:r>
          </w:p>
        </w:tc>
        <w:tc>
          <w:tcPr/>
          <w:p>
            <w:pPr>
              <w:pStyle w:val="Compact"/>
              <w:jc w:val="right"/>
            </w:pPr>
            <w:r>
              <w:t xml:space="preserve">0.013</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1.17</w:t>
            </w:r>
          </w:p>
        </w:tc>
        <w:tc>
          <w:tcPr/>
          <w:p>
            <w:pPr>
              <w:pStyle w:val="Compact"/>
              <w:jc w:val="left"/>
            </w:pPr>
            <w:r>
              <w:t xml:space="preserve">0.90-1.51</w:t>
            </w:r>
          </w:p>
        </w:tc>
        <w:tc>
          <w:tcPr/>
          <w:p>
            <w:pPr>
              <w:pStyle w:val="Compact"/>
              <w:jc w:val="right"/>
            </w:pPr>
            <w:r>
              <w:t xml:space="preserve">0.242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1.74</w:t>
            </w:r>
          </w:p>
        </w:tc>
        <w:tc>
          <w:tcPr/>
          <w:p>
            <w:pPr>
              <w:pStyle w:val="Compact"/>
              <w:jc w:val="left"/>
            </w:pPr>
            <w:r>
              <w:t xml:space="preserve">0.50-6.08</w:t>
            </w:r>
          </w:p>
        </w:tc>
        <w:tc>
          <w:tcPr/>
          <w:p>
            <w:pPr>
              <w:pStyle w:val="Compact"/>
              <w:jc w:val="right"/>
            </w:pPr>
            <w:r>
              <w:t xml:space="preserve">0.385</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2.26</w:t>
            </w:r>
          </w:p>
        </w:tc>
        <w:tc>
          <w:tcPr/>
          <w:p>
            <w:pPr>
              <w:pStyle w:val="Compact"/>
              <w:jc w:val="left"/>
            </w:pPr>
            <w:r>
              <w:t xml:space="preserve">1.08-4.75</w:t>
            </w:r>
          </w:p>
        </w:tc>
        <w:tc>
          <w:tcPr/>
          <w:p>
            <w:pPr>
              <w:pStyle w:val="Compact"/>
              <w:jc w:val="right"/>
            </w:pPr>
            <w:r>
              <w:t xml:space="preserve">0.031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Suburban, RUCA 4-6 (vs urban)</w:t>
            </w:r>
          </w:p>
        </w:tc>
        <w:tc>
          <w:tcPr/>
          <w:p>
            <w:pPr>
              <w:pStyle w:val="Compact"/>
              <w:jc w:val="right"/>
            </w:pPr>
            <w:r>
              <w:t xml:space="preserve">1.03</w:t>
            </w:r>
          </w:p>
        </w:tc>
        <w:tc>
          <w:tcPr/>
          <w:p>
            <w:pPr>
              <w:pStyle w:val="Compact"/>
              <w:jc w:val="left"/>
            </w:pPr>
            <w:r>
              <w:t xml:space="preserve">0.71-1.50</w:t>
            </w:r>
          </w:p>
        </w:tc>
        <w:tc>
          <w:tcPr/>
          <w:p>
            <w:pPr>
              <w:pStyle w:val="Compact"/>
              <w:jc w:val="right"/>
            </w:pPr>
            <w:r>
              <w:t xml:space="preserve">0.857</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Rural, RUCA 7-10 (vs urban)</w:t>
            </w:r>
          </w:p>
        </w:tc>
        <w:tc>
          <w:tcPr/>
          <w:p>
            <w:pPr>
              <w:pStyle w:val="Compact"/>
              <w:jc w:val="right"/>
            </w:pPr>
            <w:r>
              <w:t xml:space="preserve">0.93</w:t>
            </w:r>
          </w:p>
        </w:tc>
        <w:tc>
          <w:tcPr/>
          <w:p>
            <w:pPr>
              <w:pStyle w:val="Compact"/>
              <w:jc w:val="left"/>
            </w:pPr>
            <w:r>
              <w:t xml:space="preserve">0.49-1.75</w:t>
            </w:r>
          </w:p>
        </w:tc>
        <w:tc>
          <w:tcPr/>
          <w:p>
            <w:pPr>
              <w:pStyle w:val="Compact"/>
              <w:jc w:val="right"/>
            </w:pPr>
            <w:r>
              <w:t xml:space="preserve">0.823</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2.25</w:t>
            </w:r>
          </w:p>
        </w:tc>
        <w:tc>
          <w:tcPr/>
          <w:p>
            <w:pPr>
              <w:pStyle w:val="Compact"/>
              <w:jc w:val="left"/>
            </w:pPr>
            <w:r>
              <w:t xml:space="preserve">1.13-4.46</w:t>
            </w:r>
          </w:p>
        </w:tc>
        <w:tc>
          <w:tcPr/>
          <w:p>
            <w:pPr>
              <w:pStyle w:val="Compact"/>
              <w:jc w:val="right"/>
            </w:pPr>
            <w:r>
              <w:t xml:space="preserve">0.021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1.64</w:t>
            </w:r>
          </w:p>
        </w:tc>
        <w:tc>
          <w:tcPr/>
          <w:p>
            <w:pPr>
              <w:pStyle w:val="Compact"/>
              <w:jc w:val="left"/>
            </w:pPr>
            <w:r>
              <w:t xml:space="preserve">1.11-2.41</w:t>
            </w:r>
          </w:p>
        </w:tc>
        <w:tc>
          <w:tcPr/>
          <w:p>
            <w:pPr>
              <w:pStyle w:val="Compact"/>
              <w:jc w:val="right"/>
            </w:pPr>
            <w:r>
              <w:t xml:space="preserve">0.012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Suburban, RUCA 4-6 (vs urban)</w:t>
            </w:r>
          </w:p>
        </w:tc>
        <w:tc>
          <w:tcPr/>
          <w:p>
            <w:pPr>
              <w:pStyle w:val="Compact"/>
              <w:jc w:val="right"/>
            </w:pPr>
            <w:r>
              <w:t xml:space="preserve">1.15</w:t>
            </w:r>
          </w:p>
        </w:tc>
        <w:tc>
          <w:tcPr/>
          <w:p>
            <w:pPr>
              <w:pStyle w:val="Compact"/>
              <w:jc w:val="left"/>
            </w:pPr>
            <w:r>
              <w:t xml:space="preserve">0.88-1.49</w:t>
            </w:r>
          </w:p>
        </w:tc>
        <w:tc>
          <w:tcPr/>
          <w:p>
            <w:pPr>
              <w:pStyle w:val="Compact"/>
              <w:jc w:val="right"/>
            </w:pPr>
            <w:r>
              <w:t xml:space="preserve">0.317</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Rural, RUCA 7-10 (vs urban)</w:t>
            </w:r>
          </w:p>
        </w:tc>
        <w:tc>
          <w:tcPr/>
          <w:p>
            <w:pPr>
              <w:pStyle w:val="Compact"/>
              <w:jc w:val="right"/>
            </w:pPr>
            <w:r>
              <w:t xml:space="preserve">1.29</w:t>
            </w:r>
          </w:p>
        </w:tc>
        <w:tc>
          <w:tcPr/>
          <w:p>
            <w:pPr>
              <w:pStyle w:val="Compact"/>
              <w:jc w:val="left"/>
            </w:pPr>
            <w:r>
              <w:t xml:space="preserve">0.83-2.02</w:t>
            </w:r>
          </w:p>
        </w:tc>
        <w:tc>
          <w:tcPr/>
          <w:p>
            <w:pPr>
              <w:pStyle w:val="Compact"/>
              <w:jc w:val="right"/>
            </w:pPr>
            <w:r>
              <w:t xml:space="preserve">0.261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1.53</w:t>
            </w:r>
          </w:p>
        </w:tc>
        <w:tc>
          <w:tcPr/>
          <w:p>
            <w:pPr>
              <w:pStyle w:val="Compact"/>
              <w:jc w:val="left"/>
            </w:pPr>
            <w:r>
              <w:t xml:space="preserve">0.42-5.52</w:t>
            </w:r>
          </w:p>
        </w:tc>
        <w:tc>
          <w:tcPr/>
          <w:p>
            <w:pPr>
              <w:pStyle w:val="Compact"/>
              <w:jc w:val="right"/>
            </w:pPr>
            <w:r>
              <w:t xml:space="preserve">0.517</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2.32</w:t>
            </w:r>
          </w:p>
        </w:tc>
        <w:tc>
          <w:tcPr/>
          <w:p>
            <w:pPr>
              <w:pStyle w:val="Compact"/>
              <w:jc w:val="left"/>
            </w:pPr>
            <w:r>
              <w:t xml:space="preserve">1.06-5.06</w:t>
            </w:r>
          </w:p>
        </w:tc>
        <w:tc>
          <w:tcPr/>
          <w:p>
            <w:pPr>
              <w:pStyle w:val="Compact"/>
              <w:jc w:val="right"/>
            </w:pPr>
            <w:r>
              <w:t xml:space="preserve">0.034</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1.00</w:t>
            </w:r>
          </w:p>
        </w:tc>
        <w:tc>
          <w:tcPr/>
          <w:p>
            <w:pPr>
              <w:pStyle w:val="Compact"/>
              <w:jc w:val="left"/>
            </w:pPr>
            <w:r>
              <w:t xml:space="preserve">0.69-1.45</w:t>
            </w:r>
          </w:p>
        </w:tc>
        <w:tc>
          <w:tcPr/>
          <w:p>
            <w:pPr>
              <w:pStyle w:val="Compact"/>
              <w:jc w:val="right"/>
            </w:pPr>
            <w:r>
              <w:t xml:space="preserve">1.000</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2.51</w:t>
            </w:r>
          </w:p>
        </w:tc>
        <w:tc>
          <w:tcPr/>
          <w:p>
            <w:pPr>
              <w:pStyle w:val="Compact"/>
              <w:jc w:val="left"/>
            </w:pPr>
            <w:r>
              <w:t xml:space="preserve">1.22-5.18</w:t>
            </w:r>
          </w:p>
        </w:tc>
        <w:tc>
          <w:tcPr/>
          <w:p>
            <w:pPr>
              <w:pStyle w:val="Compact"/>
              <w:jc w:val="right"/>
            </w:pPr>
            <w:r>
              <w:t xml:space="preserve">0.012</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1.52</w:t>
            </w:r>
          </w:p>
        </w:tc>
        <w:tc>
          <w:tcPr/>
          <w:p>
            <w:pPr>
              <w:pStyle w:val="Compact"/>
              <w:jc w:val="left"/>
            </w:pPr>
            <w:r>
              <w:t xml:space="preserve">1.02-2.28</w:t>
            </w:r>
          </w:p>
        </w:tc>
        <w:tc>
          <w:tcPr/>
          <w:p>
            <w:pPr>
              <w:pStyle w:val="Compact"/>
              <w:jc w:val="right"/>
            </w:pPr>
            <w:r>
              <w:t xml:space="preserve">0.040</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1.14</w:t>
            </w:r>
          </w:p>
        </w:tc>
        <w:tc>
          <w:tcPr/>
          <w:p>
            <w:pPr>
              <w:pStyle w:val="Compact"/>
              <w:jc w:val="left"/>
            </w:pPr>
            <w:r>
              <w:t xml:space="preserve">0.87-1.48</w:t>
            </w:r>
          </w:p>
        </w:tc>
        <w:tc>
          <w:tcPr/>
          <w:p>
            <w:pPr>
              <w:pStyle w:val="Compact"/>
              <w:jc w:val="right"/>
            </w:pPr>
            <w:r>
              <w:t xml:space="preserve">0.340</w:t>
            </w:r>
          </w:p>
        </w:tc>
        <w:tc>
          <w:tcPr/>
          <w:p>
            <w:pPr>
              <w:pStyle w:val="Compact"/>
              <w:jc w:val="right"/>
            </w:pPr>
            <w:r>
              <w:t xml:space="preserve">701</w:t>
            </w:r>
          </w:p>
        </w:tc>
        <w:tc>
          <w:tcPr/>
          <w:p>
            <w:pPr>
              <w:pStyle w:val="Compact"/>
              <w:jc w:val="right"/>
            </w:pPr>
            <w:r>
              <w:t xml:space="preserve">412</w:t>
            </w:r>
          </w:p>
        </w:tc>
      </w:tr>
    </w:tbl>
    <w:p/>
    <w:p>
      <w:pPr>
        <w:pStyle w:val="TableCaption"/>
      </w:pPr>
      <w:r>
        <w:t xml:space="preserve">Table S10. Secondary access measures (access cascade), reasons for non-acceptance, and whom the appointment was with.</w:t>
      </w:r>
    </w:p>
    <w:tbl>
      <w:tblPr>
        <w:tblStyle w:val="Table"/>
        <w:tblW w:type="pct" w:w="5000"/>
        <w:tblLayout w:type="fixed"/>
        <w:tblLook w:firstRow="1" w:lastRow="0" w:firstColumn="0" w:lastColumn="0" w:noHBand="0" w:noVBand="0" w:val="0020"/>
        <w:tblCaption w:val="Table S10. Secondary access measures (access cascade), reasons for non-acceptance, and whom the appointment was with."/>
      </w:tblPr>
      <w:tblGrid>
        <w:gridCol w:w="3790"/>
        <w:gridCol w:w="2707"/>
        <w:gridCol w:w="270"/>
        <w:gridCol w:w="812"/>
        <w:gridCol w:w="338"/>
      </w:tblGrid>
      <w:tr>
        <w:trPr>
          <w:tblHeader w:val="on"/>
        </w:trPr>
        <w:tc>
          <w:tcPr/>
          <w:p>
            <w:pPr>
              <w:pStyle w:val="Compact"/>
              <w:jc w:val="left"/>
            </w:pPr>
            <w:r>
              <w:t xml:space="preserve">Group</w:t>
            </w:r>
          </w:p>
        </w:tc>
        <w:tc>
          <w:tcPr/>
          <w:p>
            <w:pPr>
              <w:pStyle w:val="Compact"/>
              <w:jc w:val="left"/>
            </w:pPr>
            <w:r>
              <w:t xml:space="preserve">Measure</w:t>
            </w:r>
          </w:p>
        </w:tc>
        <w:tc>
          <w:tcPr/>
          <w:p>
            <w:pPr>
              <w:pStyle w:val="Compact"/>
              <w:jc w:val="right"/>
            </w:pPr>
            <w:r>
              <w:t xml:space="preserve">n</w:t>
            </w:r>
          </w:p>
        </w:tc>
        <w:tc>
          <w:tcPr/>
          <w:p>
            <w:pPr>
              <w:pStyle w:val="Compact"/>
              <w:jc w:val="right"/>
            </w:pPr>
            <w:r>
              <w:t xml:space="preserve">Denominator</w:t>
            </w:r>
          </w:p>
        </w:tc>
        <w:tc>
          <w:tcPr/>
          <w:p>
            <w:pPr>
              <w:pStyle w:val="Compact"/>
              <w:jc w:val="right"/>
            </w:pPr>
            <w:r>
              <w:t xml:space="preserve">%</w:t>
            </w:r>
          </w:p>
        </w:tc>
      </w:tr>
      <w:tr>
        <w:tc>
          <w:tcPr/>
          <w:p>
            <w:pPr>
              <w:pStyle w:val="Compact"/>
              <w:jc w:val="left"/>
            </w:pPr>
            <w:r>
              <w:t xml:space="preserve">Access cascade (% of analytic sample)</w:t>
            </w:r>
          </w:p>
        </w:tc>
        <w:tc>
          <w:tcPr/>
          <w:p>
            <w:pPr>
              <w:pStyle w:val="Compact"/>
              <w:jc w:val="left"/>
            </w:pPr>
            <w:r>
              <w:t xml:space="preserve">Reached a live office (office answered)</w:t>
            </w:r>
          </w:p>
        </w:tc>
        <w:tc>
          <w:tcPr/>
          <w:p>
            <w:pPr>
              <w:pStyle w:val="Compact"/>
              <w:jc w:val="right"/>
            </w:pPr>
            <w:r>
              <w:t xml:space="preserve">569</w:t>
            </w:r>
          </w:p>
        </w:tc>
        <w:tc>
          <w:tcPr/>
          <w:p>
            <w:pPr>
              <w:pStyle w:val="Compact"/>
              <w:jc w:val="right"/>
            </w:pPr>
            <w:r>
              <w:t xml:space="preserve">731</w:t>
            </w:r>
          </w:p>
        </w:tc>
        <w:tc>
          <w:tcPr/>
          <w:p>
            <w:pPr>
              <w:pStyle w:val="Compact"/>
              <w:jc w:val="right"/>
            </w:pPr>
            <w:r>
              <w:t xml:space="preserve">77.8</w:t>
            </w:r>
          </w:p>
        </w:tc>
      </w:tr>
      <w:tr>
        <w:tc>
          <w:tcPr/>
          <w:p>
            <w:pPr>
              <w:pStyle w:val="Compact"/>
              <w:jc w:val="left"/>
            </w:pPr>
            <w:r>
              <w:t xml:space="preserve">Access cascade (% of analytic sample)</w:t>
            </w:r>
          </w:p>
        </w:tc>
        <w:tc>
          <w:tcPr/>
          <w:p>
            <w:pPr>
              <w:pStyle w:val="Compact"/>
              <w:jc w:val="left"/>
            </w:pPr>
            <w:r>
              <w:t xml:space="preserve">Practice accepting new patients</w:t>
            </w:r>
          </w:p>
        </w:tc>
        <w:tc>
          <w:tcPr/>
          <w:p>
            <w:pPr>
              <w:pStyle w:val="Compact"/>
              <w:jc w:val="right"/>
            </w:pPr>
            <w:r>
              <w:t xml:space="preserve">432</w:t>
            </w:r>
          </w:p>
        </w:tc>
        <w:tc>
          <w:tcPr/>
          <w:p>
            <w:pPr>
              <w:pStyle w:val="Compact"/>
              <w:jc w:val="right"/>
            </w:pPr>
            <w:r>
              <w:t xml:space="preserve">731</w:t>
            </w:r>
          </w:p>
        </w:tc>
        <w:tc>
          <w:tcPr/>
          <w:p>
            <w:pPr>
              <w:pStyle w:val="Compact"/>
              <w:jc w:val="right"/>
            </w:pPr>
            <w:r>
              <w:t xml:space="preserve">59.1</w:t>
            </w:r>
          </w:p>
        </w:tc>
      </w:tr>
      <w:tr>
        <w:tc>
          <w:tcPr/>
          <w:p>
            <w:pPr>
              <w:pStyle w:val="Compact"/>
              <w:jc w:val="left"/>
            </w:pPr>
            <w:r>
              <w:t xml:space="preserve">Access cascade (% of analytic sample)</w:t>
            </w:r>
          </w:p>
        </w:tc>
        <w:tc>
          <w:tcPr/>
          <w:p>
            <w:pPr>
              <w:pStyle w:val="Compact"/>
              <w:jc w:val="left"/>
            </w:pPr>
            <w:r>
              <w:t xml:space="preserve">Practice sees the presented complaint</w:t>
            </w:r>
          </w:p>
        </w:tc>
        <w:tc>
          <w:tcPr/>
          <w:p>
            <w:pPr>
              <w:pStyle w:val="Compact"/>
              <w:jc w:val="right"/>
            </w:pPr>
            <w:r>
              <w:t xml:space="preserve">415</w:t>
            </w:r>
          </w:p>
        </w:tc>
        <w:tc>
          <w:tcPr/>
          <w:p>
            <w:pPr>
              <w:pStyle w:val="Compact"/>
              <w:jc w:val="right"/>
            </w:pPr>
            <w:r>
              <w:t xml:space="preserve">731</w:t>
            </w:r>
          </w:p>
        </w:tc>
        <w:tc>
          <w:tcPr/>
          <w:p>
            <w:pPr>
              <w:pStyle w:val="Compact"/>
              <w:jc w:val="right"/>
            </w:pPr>
            <w:r>
              <w:t xml:space="preserve">56.8</w:t>
            </w:r>
          </w:p>
        </w:tc>
      </w:tr>
      <w:tr>
        <w:tc>
          <w:tcPr/>
          <w:p>
            <w:pPr>
              <w:pStyle w:val="Compact"/>
              <w:jc w:val="left"/>
            </w:pPr>
            <w:r>
              <w:t xml:space="preserve">Access cascade (% of analytic sample)</w:t>
            </w:r>
          </w:p>
        </w:tc>
        <w:tc>
          <w:tcPr/>
          <w:p>
            <w:pPr>
              <w:pStyle w:val="Compact"/>
              <w:jc w:val="left"/>
            </w:pPr>
            <w:r>
              <w:t xml:space="preserve">New-patient appointment offered</w:t>
            </w:r>
          </w:p>
        </w:tc>
        <w:tc>
          <w:tcPr/>
          <w:p>
            <w:pPr>
              <w:pStyle w:val="Compact"/>
              <w:jc w:val="right"/>
            </w:pPr>
            <w:r>
              <w:t xml:space="preserve">433</w:t>
            </w:r>
          </w:p>
        </w:tc>
        <w:tc>
          <w:tcPr/>
          <w:p>
            <w:pPr>
              <w:pStyle w:val="Compact"/>
              <w:jc w:val="right"/>
            </w:pPr>
            <w:r>
              <w:t xml:space="preserve">731</w:t>
            </w:r>
          </w:p>
        </w:tc>
        <w:tc>
          <w:tcPr/>
          <w:p>
            <w:pPr>
              <w:pStyle w:val="Compact"/>
              <w:jc w:val="right"/>
            </w:pPr>
            <w:r>
              <w:t xml:space="preserve">59.2</w:t>
            </w:r>
          </w:p>
        </w:tc>
      </w:tr>
      <w:tr>
        <w:tc>
          <w:tcPr/>
          <w:p>
            <w:pPr>
              <w:pStyle w:val="Compact"/>
              <w:jc w:val="left"/>
            </w:pPr>
            <w:r>
              <w:t xml:space="preserve">Access cascade (% of analytic sample)</w:t>
            </w:r>
          </w:p>
        </w:tc>
        <w:tc>
          <w:tcPr/>
          <w:p>
            <w:pPr>
              <w:pStyle w:val="Compact"/>
              <w:jc w:val="left"/>
            </w:pPr>
            <w:r>
              <w:t xml:space="preserve">Appointment with the sampled physician</w:t>
            </w:r>
          </w:p>
        </w:tc>
        <w:tc>
          <w:tcPr/>
          <w:p>
            <w:pPr>
              <w:pStyle w:val="Compact"/>
              <w:jc w:val="right"/>
            </w:pPr>
            <w:r>
              <w:t xml:space="preserve">370</w:t>
            </w:r>
          </w:p>
        </w:tc>
        <w:tc>
          <w:tcPr/>
          <w:p>
            <w:pPr>
              <w:pStyle w:val="Compact"/>
              <w:jc w:val="right"/>
            </w:pPr>
            <w:r>
              <w:t xml:space="preserve">731</w:t>
            </w:r>
          </w:p>
        </w:tc>
        <w:tc>
          <w:tcPr/>
          <w:p>
            <w:pPr>
              <w:pStyle w:val="Compact"/>
              <w:jc w:val="right"/>
            </w:pPr>
            <w:r>
              <w:t xml:space="preserve">50.6</w:t>
            </w:r>
          </w:p>
        </w:tc>
      </w:tr>
      <w:tr>
        <w:tc>
          <w:tcPr/>
          <w:p>
            <w:pPr>
              <w:pStyle w:val="Compact"/>
              <w:jc w:val="left"/>
            </w:pPr>
            <w:r>
              <w:t xml:space="preserve">Reasons not accepting new patients (% of non-accepting)</w:t>
            </w:r>
          </w:p>
        </w:tc>
        <w:tc>
          <w:tcPr/>
          <w:p>
            <w:pPr>
              <w:pStyle w:val="Compact"/>
              <w:jc w:val="left"/>
            </w:pPr>
            <w:r>
              <w:t xml:space="preserve">changed practice</w:t>
            </w:r>
          </w:p>
        </w:tc>
        <w:tc>
          <w:tcPr/>
          <w:p>
            <w:pPr>
              <w:pStyle w:val="Compact"/>
              <w:jc w:val="right"/>
            </w:pPr>
            <w:r>
              <w:t xml:space="preserve">44</w:t>
            </w:r>
          </w:p>
        </w:tc>
        <w:tc>
          <w:tcPr/>
          <w:p>
            <w:pPr>
              <w:pStyle w:val="Compact"/>
              <w:jc w:val="right"/>
            </w:pPr>
            <w:r>
              <w:t xml:space="preserve">240</w:t>
            </w:r>
          </w:p>
        </w:tc>
        <w:tc>
          <w:tcPr/>
          <w:p>
            <w:pPr>
              <w:pStyle w:val="Compact"/>
              <w:jc w:val="right"/>
            </w:pPr>
            <w:r>
              <w:t xml:space="preserve">18.3</w:t>
            </w:r>
          </w:p>
        </w:tc>
      </w:tr>
      <w:tr>
        <w:tc>
          <w:tcPr/>
          <w:p>
            <w:pPr>
              <w:pStyle w:val="Compact"/>
              <w:jc w:val="left"/>
            </w:pPr>
            <w:r>
              <w:t xml:space="preserve">Reasons not accepting new patients (% of non-accepting)</w:t>
            </w:r>
          </w:p>
        </w:tc>
        <w:tc>
          <w:tcPr/>
          <w:p>
            <w:pPr>
              <w:pStyle w:val="Compact"/>
              <w:jc w:val="left"/>
            </w:pPr>
            <w:r>
              <w:t xml:space="preserve">on leave</w:t>
            </w:r>
          </w:p>
        </w:tc>
        <w:tc>
          <w:tcPr/>
          <w:p>
            <w:pPr>
              <w:pStyle w:val="Compact"/>
              <w:jc w:val="right"/>
            </w:pPr>
            <w:r>
              <w:t xml:space="preserve">4</w:t>
            </w:r>
          </w:p>
        </w:tc>
        <w:tc>
          <w:tcPr/>
          <w:p>
            <w:pPr>
              <w:pStyle w:val="Compact"/>
              <w:jc w:val="right"/>
            </w:pPr>
            <w:r>
              <w:t xml:space="preserve">240</w:t>
            </w:r>
          </w:p>
        </w:tc>
        <w:tc>
          <w:tcPr/>
          <w:p>
            <w:pPr>
              <w:pStyle w:val="Compact"/>
              <w:jc w:val="right"/>
            </w:pPr>
            <w:r>
              <w:t xml:space="preserve">1.7</w:t>
            </w:r>
          </w:p>
        </w:tc>
      </w:tr>
      <w:tr>
        <w:tc>
          <w:tcPr/>
          <w:p>
            <w:pPr>
              <w:pStyle w:val="Compact"/>
              <w:jc w:val="left"/>
            </w:pPr>
            <w:r>
              <w:t xml:space="preserve">Reasons not accepting new patients (% of non-accepting)</w:t>
            </w:r>
          </w:p>
        </w:tc>
        <w:tc>
          <w:tcPr/>
          <w:p>
            <w:pPr>
              <w:pStyle w:val="Compact"/>
              <w:jc w:val="left"/>
            </w:pPr>
            <w:r>
              <w:t xml:space="preserve">practice full</w:t>
            </w:r>
          </w:p>
        </w:tc>
        <w:tc>
          <w:tcPr/>
          <w:p>
            <w:pPr>
              <w:pStyle w:val="Compact"/>
              <w:jc w:val="right"/>
            </w:pPr>
            <w:r>
              <w:t xml:space="preserve">7</w:t>
            </w:r>
          </w:p>
        </w:tc>
        <w:tc>
          <w:tcPr/>
          <w:p>
            <w:pPr>
              <w:pStyle w:val="Compact"/>
              <w:jc w:val="right"/>
            </w:pPr>
            <w:r>
              <w:t xml:space="preserve">240</w:t>
            </w:r>
          </w:p>
        </w:tc>
        <w:tc>
          <w:tcPr/>
          <w:p>
            <w:pPr>
              <w:pStyle w:val="Compact"/>
              <w:jc w:val="right"/>
            </w:pPr>
            <w:r>
              <w:t xml:space="preserve">2.9</w:t>
            </w:r>
          </w:p>
        </w:tc>
      </w:tr>
      <w:tr>
        <w:tc>
          <w:tcPr/>
          <w:p>
            <w:pPr>
              <w:pStyle w:val="Compact"/>
              <w:jc w:val="left"/>
            </w:pPr>
            <w:r>
              <w:t xml:space="preserve">Reasons not accepting new patients (% of non-accepting)</w:t>
            </w:r>
          </w:p>
        </w:tc>
        <w:tc>
          <w:tcPr/>
          <w:p>
            <w:pPr>
              <w:pStyle w:val="Compact"/>
              <w:jc w:val="left"/>
            </w:pPr>
            <w:r>
              <w:t xml:space="preserve">retired/left</w:t>
            </w:r>
          </w:p>
        </w:tc>
        <w:tc>
          <w:tcPr/>
          <w:p>
            <w:pPr>
              <w:pStyle w:val="Compact"/>
              <w:jc w:val="right"/>
            </w:pPr>
            <w:r>
              <w:t xml:space="preserve">81</w:t>
            </w:r>
          </w:p>
        </w:tc>
        <w:tc>
          <w:tcPr/>
          <w:p>
            <w:pPr>
              <w:pStyle w:val="Compact"/>
              <w:jc w:val="right"/>
            </w:pPr>
            <w:r>
              <w:t xml:space="preserve">240</w:t>
            </w:r>
          </w:p>
        </w:tc>
        <w:tc>
          <w:tcPr/>
          <w:p>
            <w:pPr>
              <w:pStyle w:val="Compact"/>
              <w:jc w:val="right"/>
            </w:pPr>
            <w:r>
              <w:t xml:space="preserve">33.8</w:t>
            </w:r>
          </w:p>
        </w:tc>
      </w:tr>
      <w:tr>
        <w:tc>
          <w:tcPr/>
          <w:p>
            <w:pPr>
              <w:pStyle w:val="Compact"/>
              <w:jc w:val="left"/>
            </w:pPr>
            <w:r>
              <w:t xml:space="preserve">Reasons not accepting new patients (% of non-accepting)</w:t>
            </w:r>
          </w:p>
        </w:tc>
        <w:tc>
          <w:tcPr/>
          <w:p>
            <w:pPr>
              <w:pStyle w:val="Compact"/>
              <w:jc w:val="left"/>
            </w:pPr>
            <w:r>
              <w:t xml:space="preserve">unspecified</w:t>
            </w:r>
          </w:p>
        </w:tc>
        <w:tc>
          <w:tcPr/>
          <w:p>
            <w:pPr>
              <w:pStyle w:val="Compact"/>
              <w:jc w:val="right"/>
            </w:pPr>
            <w:r>
              <w:t xml:space="preserve">104</w:t>
            </w:r>
          </w:p>
        </w:tc>
        <w:tc>
          <w:tcPr/>
          <w:p>
            <w:pPr>
              <w:pStyle w:val="Compact"/>
              <w:jc w:val="right"/>
            </w:pPr>
            <w:r>
              <w:t xml:space="preserve">240</w:t>
            </w:r>
          </w:p>
        </w:tc>
        <w:tc>
          <w:tcPr/>
          <w:p>
            <w:pPr>
              <w:pStyle w:val="Compact"/>
              <w:jc w:val="right"/>
            </w:pPr>
            <w:r>
              <w:t xml:space="preserve">43.3</w:t>
            </w:r>
          </w:p>
        </w:tc>
      </w:tr>
      <w:tr>
        <w:tc>
          <w:tcPr/>
          <w:p>
            <w:pPr>
              <w:pStyle w:val="Compact"/>
              <w:jc w:val="left"/>
            </w:pPr>
            <w:r>
              <w:t xml:space="preserve">Whom the appointment was with (% of offers)</w:t>
            </w:r>
          </w:p>
        </w:tc>
        <w:tc>
          <w:tcPr/>
          <w:p>
            <w:pPr>
              <w:pStyle w:val="Compact"/>
              <w:jc w:val="left"/>
            </w:pPr>
            <w:r>
              <w:t xml:space="preserve">Sampled physician</w:t>
            </w:r>
          </w:p>
        </w:tc>
        <w:tc>
          <w:tcPr/>
          <w:p>
            <w:pPr>
              <w:pStyle w:val="Compact"/>
              <w:jc w:val="right"/>
            </w:pPr>
            <w:r>
              <w:t xml:space="preserve">370</w:t>
            </w:r>
          </w:p>
        </w:tc>
        <w:tc>
          <w:tcPr/>
          <w:p>
            <w:pPr>
              <w:pStyle w:val="Compact"/>
              <w:jc w:val="right"/>
            </w:pPr>
            <w:r>
              <w:t xml:space="preserve">433</w:t>
            </w:r>
          </w:p>
        </w:tc>
        <w:tc>
          <w:tcPr/>
          <w:p>
            <w:pPr>
              <w:pStyle w:val="Compact"/>
              <w:jc w:val="right"/>
            </w:pPr>
            <w:r>
              <w:t xml:space="preserve">85.5</w:t>
            </w:r>
          </w:p>
        </w:tc>
      </w:tr>
      <w:tr>
        <w:tc>
          <w:tcPr/>
          <w:p>
            <w:pPr>
              <w:pStyle w:val="Compact"/>
              <w:jc w:val="left"/>
            </w:pPr>
            <w:r>
              <w:t xml:space="preserve">Whom the appointment was with (% of offers)</w:t>
            </w:r>
          </w:p>
        </w:tc>
        <w:tc>
          <w:tcPr/>
          <w:p>
            <w:pPr>
              <w:pStyle w:val="Compact"/>
              <w:jc w:val="left"/>
            </w:pPr>
            <w:r>
              <w:t xml:space="preserve">A different physician</w:t>
            </w:r>
          </w:p>
        </w:tc>
        <w:tc>
          <w:tcPr/>
          <w:p>
            <w:pPr>
              <w:pStyle w:val="Compact"/>
              <w:jc w:val="right"/>
            </w:pPr>
            <w:r>
              <w:t xml:space="preserve">58</w:t>
            </w:r>
          </w:p>
        </w:tc>
        <w:tc>
          <w:tcPr/>
          <w:p>
            <w:pPr>
              <w:pStyle w:val="Compact"/>
              <w:jc w:val="right"/>
            </w:pPr>
            <w:r>
              <w:t xml:space="preserve">433</w:t>
            </w:r>
          </w:p>
        </w:tc>
        <w:tc>
          <w:tcPr/>
          <w:p>
            <w:pPr>
              <w:pStyle w:val="Compact"/>
              <w:jc w:val="right"/>
            </w:pPr>
            <w:r>
              <w:t xml:space="preserve">13.4</w:t>
            </w:r>
          </w:p>
        </w:tc>
      </w:tr>
      <w:tr>
        <w:tc>
          <w:tcPr/>
          <w:p>
            <w:pPr>
              <w:pStyle w:val="Compact"/>
              <w:jc w:val="left"/>
            </w:pPr>
            <w:r>
              <w:t xml:space="preserve">Whom the appointment was with (% of offers)</w:t>
            </w:r>
          </w:p>
        </w:tc>
        <w:tc>
          <w:tcPr/>
          <w:p>
            <w:pPr>
              <w:pStyle w:val="Compact"/>
              <w:jc w:val="left"/>
            </w:pPr>
            <w:r>
              <w:t xml:space="preserve">Advanced practice provider only</w:t>
            </w:r>
          </w:p>
        </w:tc>
        <w:tc>
          <w:tcPr/>
          <w:p>
            <w:pPr>
              <w:pStyle w:val="Compact"/>
              <w:jc w:val="right"/>
            </w:pPr>
            <w:r>
              <w:t xml:space="preserve">9</w:t>
            </w:r>
          </w:p>
        </w:tc>
        <w:tc>
          <w:tcPr/>
          <w:p>
            <w:pPr>
              <w:pStyle w:val="Compact"/>
              <w:jc w:val="right"/>
            </w:pPr>
            <w:r>
              <w:t xml:space="preserve">433</w:t>
            </w:r>
          </w:p>
        </w:tc>
        <w:tc>
          <w:tcPr/>
          <w:p>
            <w:pPr>
              <w:pStyle w:val="Compact"/>
              <w:jc w:val="right"/>
            </w:pPr>
            <w:r>
              <w:t xml:space="preserve">2.1</w:t>
            </w:r>
          </w:p>
        </w:tc>
      </w:tr>
    </w:tbl>
    <w:bookmarkEnd w:id="46"/>
    <w:bookmarkStart w:id="68"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030133"/>
            <wp:effectExtent b="0" l="0" r="0" t="0"/>
            <wp:docPr descr="" title="" id="48" name="Picture"/>
            <a:graphic>
              <a:graphicData uri="http://schemas.openxmlformats.org/drawingml/2006/picture">
                <pic:pic>
                  <pic:nvPicPr>
                    <pic:cNvPr descr="model_output/supp/figS1_km_time_to_appointment.png" id="49" name="Picture"/>
                    <pic:cNvPicPr>
                      <a:picLocks noChangeArrowheads="1" noChangeAspect="1"/>
                    </pic:cNvPicPr>
                  </pic:nvPicPr>
                  <pic:blipFill>
                    <a:blip r:embed="rId47"/>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51" name="Picture"/>
            <a:graphic>
              <a:graphicData uri="http://schemas.openxmlformats.org/drawingml/2006/picture">
                <pic:pic>
                  <pic:nvPicPr>
                    <pic:cNvPr descr="model_output/supp/figS2_wait_distribution.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4" name="Picture"/>
            <a:graphic>
              <a:graphicData uri="http://schemas.openxmlformats.org/drawingml/2006/picture">
                <pic:pic>
                  <pic:nvPicPr>
                    <pic:cNvPr descr="model_output/supp/figS3_nb_diagnostics.png" id="55"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7" name="Picture"/>
            <a:graphic>
              <a:graphicData uri="http://schemas.openxmlformats.org/drawingml/2006/picture">
                <pic:pic>
                  <pic:nvPicPr>
                    <pic:cNvPr descr="model_output/supp/figS4_choropleth_offer_rate.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60" name="Picture"/>
            <a:graphic>
              <a:graphicData uri="http://schemas.openxmlformats.org/drawingml/2006/picture">
                <pic:pic>
                  <pic:nvPicPr>
                    <pic:cNvPr descr="model_output/supp/figS4_choropleth_median_wait.png" id="61" name="Picture"/>
                    <pic:cNvPicPr>
                      <a:picLocks noChangeArrowheads="1" noChangeAspect="1"/>
                    </pic:cNvPicPr>
                  </pic:nvPicPr>
                  <pic:blipFill>
                    <a:blip r:embed="rId5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63" name="Picture"/>
            <a:graphic>
              <a:graphicData uri="http://schemas.openxmlformats.org/drawingml/2006/picture">
                <pic:pic>
                  <pic:nvPicPr>
                    <pic:cNvPr descr="model_output/supp/figS4b_offer_rate_by_stat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S7. New-patient access cascade.</w:t>
      </w:r>
    </w:p>
    <w:p>
      <w:pPr>
        <w:pStyle w:val="BodyText"/>
      </w:pPr>
      <w:r>
        <w:drawing>
          <wp:inline>
            <wp:extent cx="5334000" cy="2259105"/>
            <wp:effectExtent b="0" l="0" r="0" t="0"/>
            <wp:docPr descr="" title="" id="66" name="Picture"/>
            <a:graphic>
              <a:graphicData uri="http://schemas.openxmlformats.org/drawingml/2006/picture">
                <pic:pic>
                  <pic:nvPicPr>
                    <pic:cNvPr descr="model_output/supp/figS7_access_cascade.png" id="67" name="Picture"/>
                    <pic:cNvPicPr>
                      <a:picLocks noChangeArrowheads="1" noChangeAspect="1"/>
                    </pic:cNvPicPr>
                  </pic:nvPicPr>
                  <pic:blipFill>
                    <a:blip r:embed="rId65"/>
                    <a:stretch>
                      <a:fillRect/>
                    </a:stretch>
                  </pic:blipFill>
                  <pic:spPr bwMode="auto">
                    <a:xfrm>
                      <a:off x="0" y="0"/>
                      <a:ext cx="5334000" cy="2259105"/>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 A completed STROBE checklist is provided in</w:t>
      </w:r>
      <w:r>
        <w:rPr>
          <w:i/>
          <w:iCs/>
        </w:rPr>
        <w:t xml:space="preserve"> </w:t>
      </w:r>
      <w:r>
        <w:rPr>
          <w:rStyle w:val="VerbatimChar"/>
          <w:i/>
          <w:iCs/>
        </w:rPr>
        <w:t xml:space="preserve">manuscript/STROBE_checklist.md</w:t>
      </w:r>
      <w:r>
        <w:rPr>
          <w:i/>
          <w:iCs/>
        </w:rPr>
        <w:t xml:space="preserve">.</w:t>
      </w:r>
    </w:p>
    <w:bookmarkEnd w:id="68"/>
    <w:bookmarkStart w:id="69" w:name="Xcb13635c9e988cf97ef206a036626737dff9783"/>
    <w:p>
      <w:pPr>
        <w:pStyle w:val="Heading2"/>
      </w:pPr>
      <w:r>
        <w:t xml:space="preserve">Supplementary Appendix: Standardized call script</w:t>
      </w:r>
    </w:p>
    <w:p>
      <w:pPr>
        <w:pStyle w:val="FirstParagraph"/>
      </w:pPr>
      <w:r>
        <w:t xml:space="preserve">Callers followed a standardized telephone script and recorded responses in a structured data-capture form. Each physician’s office was called under a commercial Blue Cross Blue Shield new-patient scenario, with a chief complaint matched to the physician’s subspecialty.</w:t>
      </w:r>
      <w:r>
        <w:t xml:space="preserve"> </w:t>
      </w:r>
      <w:r>
        <w:rPr>
          <w:i/>
          <w:iCs/>
        </w:rPr>
        <w:t xml:space="preserve">[Replace the bracketed chief-complaint text below with the verbatim vignette wording used in the field, and confirm the call-attempt rule.]</w:t>
      </w:r>
    </w:p>
    <w:p>
      <w:pPr>
        <w:pStyle w:val="BodyText"/>
      </w:pPr>
      <w:r>
        <w:rPr>
          <w:b/>
          <w:bCs/>
        </w:rPr>
        <w:t xml:space="preserve">Call flow (all subspecialties).</w:t>
      </w:r>
    </w:p>
    <w:p>
      <w:pPr>
        <w:pStyle w:val="Compact"/>
        <w:numPr>
          <w:ilvl w:val="0"/>
          <w:numId w:val="1001"/>
        </w:numPr>
      </w:pPr>
      <w:r>
        <w:rPr>
          <w:b/>
          <w:bCs/>
        </w:rPr>
        <w:t xml:space="preserve">Introduction.</w:t>
      </w:r>
      <w:r>
        <w:t xml:space="preserve"> </w:t>
      </w:r>
      <w:r>
        <w:t xml:space="preserve">“Hello, I’m calling to schedule a new-patient appointment for [myself / a family member] with Dr. [last name].”</w:t>
      </w:r>
    </w:p>
    <w:p>
      <w:pPr>
        <w:pStyle w:val="Compact"/>
        <w:numPr>
          <w:ilvl w:val="0"/>
          <w:numId w:val="1001"/>
        </w:numPr>
      </w:pPr>
      <w:r>
        <w:rPr>
          <w:b/>
          <w:bCs/>
        </w:rPr>
        <w:t xml:space="preserve">Insurance.</w:t>
      </w:r>
      <w:r>
        <w:t xml:space="preserve"> </w:t>
      </w:r>
      <w:r>
        <w:t xml:space="preserve">If asked, state commercial Blue Cross Blue Shield coverage.</w:t>
      </w:r>
    </w:p>
    <w:p>
      <w:pPr>
        <w:pStyle w:val="Compact"/>
        <w:numPr>
          <w:ilvl w:val="0"/>
          <w:numId w:val="1001"/>
        </w:numPr>
      </w:pPr>
      <w:r>
        <w:rPr>
          <w:b/>
          <w:bCs/>
        </w:rPr>
        <w:t xml:space="preserve">Chief complaint.</w:t>
      </w:r>
      <w:r>
        <w:t xml:space="preserve"> </w:t>
      </w:r>
      <w:r>
        <w:t xml:space="preserve">Provide the subspecialty-matched complaint (below) if asked the reason for the visit.</w:t>
      </w:r>
    </w:p>
    <w:p>
      <w:pPr>
        <w:pStyle w:val="Compact"/>
        <w:numPr>
          <w:ilvl w:val="0"/>
          <w:numId w:val="1001"/>
        </w:numPr>
      </w:pPr>
      <w:r>
        <w:rPr>
          <w:b/>
          <w:bCs/>
        </w:rPr>
        <w:t xml:space="preserve">Appointment offer.</w:t>
      </w:r>
      <w:r>
        <w:t xml:space="preserve"> </w:t>
      </w:r>
      <w:r>
        <w:t xml:space="preserve">Record whether a new-patient appointment with the sampled physician was offered (yes/no).</w:t>
      </w:r>
    </w:p>
    <w:p>
      <w:pPr>
        <w:pStyle w:val="Compact"/>
        <w:numPr>
          <w:ilvl w:val="0"/>
          <w:numId w:val="1001"/>
        </w:numPr>
      </w:pPr>
      <w:r>
        <w:rPr>
          <w:b/>
          <w:bCs/>
        </w:rPr>
        <w:t xml:space="preserve">Next-available date.</w:t>
      </w:r>
      <w:r>
        <w:t xml:space="preserve"> </w:t>
      </w:r>
      <w:r>
        <w:t xml:space="preserve">If offered, record the next-available appointment date (used to compute the business-day wait).</w:t>
      </w:r>
    </w:p>
    <w:p>
      <w:pPr>
        <w:pStyle w:val="Compact"/>
        <w:numPr>
          <w:ilvl w:val="0"/>
          <w:numId w:val="1001"/>
        </w:numPr>
      </w:pPr>
      <w:r>
        <w:rPr>
          <w:b/>
          <w:bCs/>
        </w:rPr>
        <w:t xml:space="preserve">Call attempts.</w:t>
      </w:r>
      <w:r>
        <w:t xml:space="preserve"> </w:t>
      </w:r>
      <w:r>
        <w:rPr>
          <w:i/>
          <w:iCs/>
        </w:rPr>
        <w:t xml:space="preserve">[Each office was called up to [N] times on separate business days; an office not reached after [N] attempts was recorded as unreachable / incomplete.]</w:t>
      </w:r>
    </w:p>
    <w:p>
      <w:pPr>
        <w:pStyle w:val="Compact"/>
        <w:numPr>
          <w:ilvl w:val="0"/>
          <w:numId w:val="1001"/>
        </w:numPr>
      </w:pPr>
      <w:r>
        <w:rPr>
          <w:b/>
          <w:bCs/>
        </w:rPr>
        <w:t xml:space="preserve">Disclosure.</w:t>
      </w:r>
      <w:r>
        <w:t xml:space="preserve"> </w:t>
      </w:r>
      <w:r>
        <w:rPr>
          <w:i/>
          <w:iCs/>
        </w:rPr>
        <w:t xml:space="preserve">[If directly asked whether the call was for research, callers disclosed the study and offered the investigator’s/IRB contact information.]</w:t>
      </w:r>
    </w:p>
    <w:p>
      <w:pPr>
        <w:pStyle w:val="FirstParagraph"/>
      </w:pPr>
      <w:r>
        <w:rPr>
          <w:b/>
          <w:bCs/>
        </w:rPr>
        <w:t xml:space="preserve">Table S9. Subspecialty-matched chief complaints.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Subspecialty</w:t>
            </w:r>
          </w:p>
        </w:tc>
        <w:tc>
          <w:tcPr/>
          <w:p>
            <w:pPr>
              <w:pStyle w:val="Compact"/>
            </w:pPr>
            <w:r>
              <w:t xml:space="preserve">Scripted chief complaint</w:t>
            </w:r>
          </w:p>
        </w:tc>
      </w:tr>
      <w:tr>
        <w:tc>
          <w:tcPr/>
          <w:p>
            <w:pPr>
              <w:pStyle w:val="Compact"/>
            </w:pPr>
            <w:r>
              <w:t xml:space="preserve">General otolaryngology</w:t>
            </w:r>
          </w:p>
        </w:tc>
        <w:tc>
          <w:tcPr/>
          <w:p>
            <w:pPr>
              <w:pStyle w:val="Compact"/>
            </w:pPr>
            <w:r>
              <w:rPr>
                <w:i/>
                <w:iCs/>
              </w:rPr>
              <w:t xml:space="preserve">[e.g., chronic nasal congestion / recurrent sinus infections]</w:t>
            </w:r>
          </w:p>
        </w:tc>
      </w:tr>
      <w:tr>
        <w:tc>
          <w:tcPr/>
          <w:p>
            <w:pPr>
              <w:pStyle w:val="Compact"/>
            </w:pPr>
            <w:r>
              <w:t xml:space="preserve">Facial plastic surgery</w:t>
            </w:r>
          </w:p>
        </w:tc>
        <w:tc>
          <w:tcPr/>
          <w:p>
            <w:pPr>
              <w:pStyle w:val="Compact"/>
            </w:pPr>
            <w:r>
              <w:rPr>
                <w:i/>
                <w:iCs/>
              </w:rPr>
              <w:t xml:space="preserve">[chief complaint]</w:t>
            </w:r>
          </w:p>
        </w:tc>
      </w:tr>
      <w:tr>
        <w:tc>
          <w:tcPr/>
          <w:p>
            <w:pPr>
              <w:pStyle w:val="Compact"/>
            </w:pPr>
            <w:r>
              <w:t xml:space="preserve">Head and neck oncology</w:t>
            </w:r>
          </w:p>
        </w:tc>
        <w:tc>
          <w:tcPr/>
          <w:p>
            <w:pPr>
              <w:pStyle w:val="Compact"/>
            </w:pPr>
            <w:r>
              <w:rPr>
                <w:i/>
                <w:iCs/>
              </w:rPr>
              <w:t xml:space="preserve">[chief complaint]</w:t>
            </w:r>
          </w:p>
        </w:tc>
      </w:tr>
      <w:tr>
        <w:tc>
          <w:tcPr/>
          <w:p>
            <w:pPr>
              <w:pStyle w:val="Compact"/>
            </w:pPr>
            <w:r>
              <w:t xml:space="preserve">Laryngology</w:t>
            </w:r>
          </w:p>
        </w:tc>
        <w:tc>
          <w:tcPr/>
          <w:p>
            <w:pPr>
              <w:pStyle w:val="Compact"/>
            </w:pPr>
            <w:r>
              <w:rPr>
                <w:i/>
                <w:iCs/>
              </w:rPr>
              <w:t xml:space="preserve">[e.g., persistent hoarseness]</w:t>
            </w:r>
          </w:p>
        </w:tc>
      </w:tr>
      <w:tr>
        <w:tc>
          <w:tcPr/>
          <w:p>
            <w:pPr>
              <w:pStyle w:val="Compact"/>
            </w:pPr>
            <w:r>
              <w:t xml:space="preserve">Otology/neurotology</w:t>
            </w:r>
          </w:p>
        </w:tc>
        <w:tc>
          <w:tcPr/>
          <w:p>
            <w:pPr>
              <w:pStyle w:val="Compact"/>
            </w:pPr>
            <w:r>
              <w:rPr>
                <w:i/>
                <w:iCs/>
              </w:rPr>
              <w:t xml:space="preserve">[e.g., hearing loss / recurrent ear infections]</w:t>
            </w:r>
          </w:p>
        </w:tc>
      </w:tr>
      <w:tr>
        <w:tc>
          <w:tcPr/>
          <w:p>
            <w:pPr>
              <w:pStyle w:val="Compact"/>
            </w:pPr>
            <w:r>
              <w:t xml:space="preserve">Pediatric otolaryngology</w:t>
            </w:r>
          </w:p>
        </w:tc>
        <w:tc>
          <w:tcPr/>
          <w:p>
            <w:pPr>
              <w:pStyle w:val="Compact"/>
            </w:pPr>
            <w:r>
              <w:rPr>
                <w:i/>
                <w:iCs/>
              </w:rPr>
              <w:t xml:space="preserve">[e.g., recurrent otitis media / tonsil concerns]</w:t>
            </w:r>
          </w:p>
        </w:tc>
      </w:tr>
      <w:tr>
        <w:tc>
          <w:tcPr/>
          <w:p>
            <w:pPr>
              <w:pStyle w:val="Compact"/>
            </w:pPr>
            <w:r>
              <w:t xml:space="preserve">Rhinology</w:t>
            </w:r>
          </w:p>
        </w:tc>
        <w:tc>
          <w:tcPr/>
          <w:p>
            <w:pPr>
              <w:pStyle w:val="Compact"/>
            </w:pPr>
            <w:r>
              <w:rPr>
                <w:i/>
                <w:iCs/>
              </w:rPr>
              <w:t xml:space="preserve">[e.g., chronic rhinosinusitis]</w:t>
            </w:r>
          </w:p>
        </w:tc>
      </w:tr>
      <w:tr>
        <w:tc>
          <w:tcPr/>
          <w:p>
            <w:pPr>
              <w:pStyle w:val="Compact"/>
            </w:pPr>
            <w:r>
              <w:t xml:space="preserve">Sleep medicine</w:t>
            </w:r>
          </w:p>
        </w:tc>
        <w:tc>
          <w:tcPr/>
          <w:p>
            <w:pPr>
              <w:pStyle w:val="Compact"/>
            </w:pPr>
            <w:r>
              <w:rPr>
                <w:i/>
                <w:iCs/>
              </w:rPr>
              <w:t xml:space="preserve">[e.g., loud snoring / suspected obstructive sleep apnea]</w:t>
            </w:r>
          </w:p>
        </w:tc>
      </w:tr>
    </w:tbl>
    <w:p>
      <w:r>
        <w:br w:type="page"/>
      </w:r>
    </w:p>
    <w:bookmarkEnd w:id="69"/>
    <w:bookmarkEnd w:id="70"/>
    <w:bookmarkStart w:id="115" w:name="references"/>
    <w:p>
      <w:pPr>
        <w:pStyle w:val="Heading1"/>
      </w:pPr>
      <w:r>
        <w:t xml:space="preserve">References</w:t>
      </w:r>
    </w:p>
    <w:bookmarkStart w:id="114" w:name="refs"/>
    <w:bookmarkStart w:id="72"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71">
        <w:r>
          <w:rPr>
            <w:rStyle w:val="Hyperlink"/>
          </w:rPr>
          <w:t xml:space="preserve">10.1001/jamaoto.2018.2716</w:t>
        </w:r>
      </w:hyperlink>
    </w:p>
    <w:bookmarkEnd w:id="72"/>
    <w:bookmarkStart w:id="74"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73">
        <w:r>
          <w:rPr>
            <w:rStyle w:val="Hyperlink"/>
          </w:rPr>
          <w:t xml:space="preserve">10.1056/NEJMsa1013285</w:t>
        </w:r>
      </w:hyperlink>
    </w:p>
    <w:bookmarkEnd w:id="74"/>
    <w:bookmarkStart w:id="76"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5">
        <w:r>
          <w:rPr>
            <w:rStyle w:val="Hyperlink"/>
          </w:rPr>
          <w:t xml:space="preserve">10.1177/014556131609500607</w:t>
        </w:r>
      </w:hyperlink>
    </w:p>
    <w:bookmarkEnd w:id="76"/>
    <w:bookmarkStart w:id="78"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7">
        <w:r>
          <w:rPr>
            <w:rStyle w:val="Hyperlink"/>
          </w:rPr>
          <w:t xml:space="preserve">10.1186/s13690-022-00979-z</w:t>
        </w:r>
      </w:hyperlink>
    </w:p>
    <w:bookmarkEnd w:id="78"/>
    <w:bookmarkStart w:id="80" w:name="ref-rhodes2011"/>
    <w:p>
      <w:pPr>
        <w:pStyle w:val="Bibliography"/>
      </w:pPr>
      <w:r>
        <w:t xml:space="preserve">5.</w:t>
      </w:r>
      <w:r>
        <w:t xml:space="preserve"> </w:t>
      </w:r>
      <w:r>
        <w:t xml:space="preserve">	</w:t>
      </w:r>
      <w:r>
        <w:t xml:space="preserve">Rhodes KV. Taking the mystery out of</w:t>
      </w:r>
      <w:r>
        <w:t xml:space="preserve"> </w:t>
      </w:r>
      <w:r>
        <w:t xml:space="preserve">“mystery shopper”</w:t>
      </w:r>
      <w:r>
        <w:t xml:space="preserve"> </w:t>
      </w:r>
      <w:r>
        <w:t xml:space="preserve">studies.</w:t>
      </w:r>
      <w:r>
        <w:t xml:space="preserve"> </w:t>
      </w:r>
      <w:r>
        <w:rPr>
          <w:i/>
          <w:iCs/>
        </w:rPr>
        <w:t xml:space="preserve">New England Journal of Medicine</w:t>
      </w:r>
      <w:r>
        <w:t xml:space="preserve">. 2011;365(6):484-486. doi:</w:t>
      </w:r>
      <w:hyperlink r:id="rId79">
        <w:r>
          <w:rPr>
            <w:rStyle w:val="Hyperlink"/>
          </w:rPr>
          <w:t xml:space="preserve">10.1056/NEJMp1107779</w:t>
        </w:r>
      </w:hyperlink>
    </w:p>
    <w:bookmarkEnd w:id="80"/>
    <w:bookmarkStart w:id="82" w:name="ref-blinkhorn2013"/>
    <w:p>
      <w:pPr>
        <w:pStyle w:val="Bibliography"/>
      </w:pPr>
      <w:r>
        <w:t xml:space="preserve">6.</w:t>
      </w:r>
      <w:r>
        <w:t xml:space="preserve"> </w:t>
      </w:r>
      <w:r>
        <w:t xml:space="preserve">	</w:t>
      </w:r>
      <w:r>
        <w:t xml:space="preserve">Blinkhorn L. Secret shoppers and conflicts of interest.</w:t>
      </w:r>
      <w:r>
        <w:t xml:space="preserve"> </w:t>
      </w:r>
      <w:r>
        <w:rPr>
          <w:i/>
          <w:iCs/>
        </w:rPr>
        <w:t xml:space="preserve">AMA Journal of Ethics (Virtual Mentor)</w:t>
      </w:r>
      <w:r>
        <w:t xml:space="preserve">. 2013;15(2):119-124. doi:</w:t>
      </w:r>
      <w:hyperlink r:id="rId81">
        <w:r>
          <w:rPr>
            <w:rStyle w:val="Hyperlink"/>
          </w:rPr>
          <w:t xml:space="preserve">10.1001/virtualmentor.2013.15.2.bndr1-1302</w:t>
        </w:r>
      </w:hyperlink>
    </w:p>
    <w:bookmarkEnd w:id="82"/>
    <w:bookmarkStart w:id="84" w:name="ref-rhodesmiller2012"/>
    <w:p>
      <w:pPr>
        <w:pStyle w:val="Bibliography"/>
      </w:pPr>
      <w:r>
        <w:t xml:space="preserve">7.</w:t>
      </w:r>
      <w:r>
        <w:t xml:space="preserve"> </w:t>
      </w:r>
      <w:r>
        <w:t xml:space="preserve">	</w:t>
      </w:r>
      <w:r>
        <w:t xml:space="preserve">Rhodes KV, Miller FG. Simulated patient studies: An ethical analysis.</w:t>
      </w:r>
      <w:r>
        <w:t xml:space="preserve"> </w:t>
      </w:r>
      <w:r>
        <w:rPr>
          <w:i/>
          <w:iCs/>
        </w:rPr>
        <w:t xml:space="preserve">The Milbank Quarterly</w:t>
      </w:r>
      <w:r>
        <w:t xml:space="preserve">. 2012;90(4):706-724. doi:</w:t>
      </w:r>
      <w:hyperlink r:id="rId83">
        <w:r>
          <w:rPr>
            <w:rStyle w:val="Hyperlink"/>
          </w:rPr>
          <w:t xml:space="preserve">10.1111/j.1468-0009.2012.00680.x</w:t>
        </w:r>
      </w:hyperlink>
    </w:p>
    <w:bookmarkEnd w:id="84"/>
    <w:bookmarkStart w:id="85" w:name="ref-moriarty2003"/>
    <w:p>
      <w:pPr>
        <w:pStyle w:val="Bibliography"/>
      </w:pPr>
      <w:r>
        <w:t xml:space="preserve">8.</w:t>
      </w:r>
      <w:r>
        <w:t xml:space="preserve"> </w:t>
      </w:r>
      <w:r>
        <w:t xml:space="preserve">	</w:t>
      </w:r>
      <w:r>
        <w:t xml:space="preserve">Moriarty H, McLeod D, Dowell A. Mystery shopping in health service evaluation.</w:t>
      </w:r>
      <w:r>
        <w:t xml:space="preserve"> </w:t>
      </w:r>
      <w:r>
        <w:rPr>
          <w:i/>
          <w:iCs/>
        </w:rPr>
        <w:t xml:space="preserve">British Journal of General Practice</w:t>
      </w:r>
      <w:r>
        <w:t xml:space="preserve">. 2003;53(497):942-946.</w:t>
      </w:r>
    </w:p>
    <w:bookmarkEnd w:id="85"/>
    <w:bookmarkStart w:id="87" w:name="ref-hodson2025"/>
    <w:p>
      <w:pPr>
        <w:pStyle w:val="Bibliography"/>
      </w:pPr>
      <w:r>
        <w:t xml:space="preserve">9.</w:t>
      </w:r>
      <w:r>
        <w:t xml:space="preserve"> </w:t>
      </w:r>
      <w:r>
        <w:t xml:space="preserve">	</w:t>
      </w:r>
      <w:r>
        <w:t xml:space="preserve">Hodson N, Onyeaso OO, Mills S, Sunstein CR, Bruine de Bruin W. Evaluating adherence to patient registration paperwork guidelines: A mystery shopper study in</w:t>
      </w:r>
      <w:r>
        <w:t xml:space="preserve"> </w:t>
      </w:r>
      <w:r>
        <w:t xml:space="preserve">English</w:t>
      </w:r>
      <w:r>
        <w:t xml:space="preserve"> </w:t>
      </w:r>
      <w:r>
        <w:t xml:space="preserve">primary care.</w:t>
      </w:r>
      <w:r>
        <w:t xml:space="preserve"> </w:t>
      </w:r>
      <w:r>
        <w:rPr>
          <w:i/>
          <w:iCs/>
        </w:rPr>
        <w:t xml:space="preserve">BMJ Open</w:t>
      </w:r>
      <w:r>
        <w:t xml:space="preserve">. 2025;15:e100719. doi:</w:t>
      </w:r>
      <w:hyperlink r:id="rId86">
        <w:r>
          <w:rPr>
            <w:rStyle w:val="Hyperlink"/>
          </w:rPr>
          <w:t xml:space="preserve">10.1136/bmjopen-2025-100719</w:t>
        </w:r>
      </w:hyperlink>
    </w:p>
    <w:bookmarkEnd w:id="87"/>
    <w:bookmarkStart w:id="89" w:name="ref-lungfiel2023"/>
    <w:p>
      <w:pPr>
        <w:pStyle w:val="Bibliography"/>
      </w:pPr>
      <w:r>
        <w:t xml:space="preserve">10.</w:t>
      </w:r>
      <w:r>
        <w:t xml:space="preserve"> </w:t>
      </w:r>
      <w:r>
        <w:t xml:space="preserve">	</w:t>
      </w:r>
      <w:r>
        <w:t xml:space="preserve">Lungfiel G, Mandlmeier F, Kunow C, Langer B. Oral emergency contraception practices of community pharmacies: A mystery caller study in the capital of</w:t>
      </w:r>
      <w:r>
        <w:t xml:space="preserve"> </w:t>
      </w:r>
      <w:r>
        <w:t xml:space="preserve">Germany</w:t>
      </w:r>
      <w:r>
        <w:t xml:space="preserve">,</w:t>
      </w:r>
      <w:r>
        <w:t xml:space="preserve"> </w:t>
      </w:r>
      <w:r>
        <w:t xml:space="preserve">Berlin</w:t>
      </w:r>
      <w:r>
        <w:t xml:space="preserve">.</w:t>
      </w:r>
      <w:r>
        <w:t xml:space="preserve"> </w:t>
      </w:r>
      <w:r>
        <w:rPr>
          <w:i/>
          <w:iCs/>
        </w:rPr>
        <w:t xml:space="preserve">Journal of Pharmaceutical Policy and Practice</w:t>
      </w:r>
      <w:r>
        <w:t xml:space="preserve">. 2023;16(1):68. doi:</w:t>
      </w:r>
      <w:hyperlink r:id="rId88">
        <w:r>
          <w:rPr>
            <w:rStyle w:val="Hyperlink"/>
          </w:rPr>
          <w:t xml:space="preserve">10.1186/s40545-023-00565-w</w:t>
        </w:r>
      </w:hyperlink>
    </w:p>
    <w:bookmarkEnd w:id="89"/>
    <w:bookmarkStart w:id="91" w:name="ref-campbell2013"/>
    <w:p>
      <w:pPr>
        <w:pStyle w:val="Bibliography"/>
      </w:pPr>
      <w:r>
        <w:t xml:space="preserve">11.</w:t>
      </w:r>
      <w:r>
        <w:t xml:space="preserve"> </w:t>
      </w:r>
      <w:r>
        <w:t xml:space="preserve">	</w:t>
      </w:r>
      <w:r>
        <w:t xml:space="preserve">Campbell JL, Carter M, Davey A, Roberts MJ, Elliott MN, Roland M. Accessing primary care: A simulated patient study.</w:t>
      </w:r>
      <w:r>
        <w:t xml:space="preserve"> </w:t>
      </w:r>
      <w:r>
        <w:rPr>
          <w:i/>
          <w:iCs/>
        </w:rPr>
        <w:t xml:space="preserve">British Journal of General Practice</w:t>
      </w:r>
      <w:r>
        <w:t xml:space="preserve">. 2013;63(608):e171-e176. doi:</w:t>
      </w:r>
      <w:hyperlink r:id="rId90">
        <w:r>
          <w:rPr>
            <w:rStyle w:val="Hyperlink"/>
          </w:rPr>
          <w:t xml:space="preserve">10.3399/bjgp13X664216</w:t>
        </w:r>
      </w:hyperlink>
    </w:p>
    <w:bookmarkEnd w:id="91"/>
    <w:bookmarkStart w:id="92" w:name="ref-kfffee"/>
    <w:p>
      <w:pPr>
        <w:pStyle w:val="Bibliography"/>
      </w:pPr>
      <w:r>
        <w:t xml:space="preserve">12.</w:t>
      </w:r>
      <w:r>
        <w:t xml:space="preserve"> </w:t>
      </w:r>
      <w:r>
        <w:t xml:space="preserve">	</w:t>
      </w:r>
      <w:r>
        <w:t xml:space="preserve">Kaiser Family Foundation. Medicaid-to-medicare fee index. Published online 2024.</w:t>
      </w:r>
    </w:p>
    <w:bookmarkEnd w:id="92"/>
    <w:bookmarkStart w:id="93" w:name="ref-cdcsvi"/>
    <w:p>
      <w:pPr>
        <w:pStyle w:val="Bibliography"/>
      </w:pPr>
      <w:r>
        <w:t xml:space="preserve">13.</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93"/>
    <w:bookmarkStart w:id="95" w:name="ref-emmeans"/>
    <w:p>
      <w:pPr>
        <w:pStyle w:val="Bibliography"/>
      </w:pPr>
      <w:r>
        <w:t xml:space="preserve">14.</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94">
        <w:r>
          <w:rPr>
            <w:rStyle w:val="Hyperlink"/>
          </w:rPr>
          <w:t xml:space="preserve">https://CRAN.R-project.org/package=emmeans</w:t>
        </w:r>
      </w:hyperlink>
    </w:p>
    <w:bookmarkEnd w:id="95"/>
    <w:bookmarkStart w:id="97" w:name="ref-rcoreteam"/>
    <w:p>
      <w:pPr>
        <w:pStyle w:val="Bibliography"/>
      </w:pPr>
      <w:r>
        <w:t xml:space="preserve">15.</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96">
        <w:r>
          <w:rPr>
            <w:rStyle w:val="Hyperlink"/>
          </w:rPr>
          <w:t xml:space="preserve">https://www.R-project.org/</w:t>
        </w:r>
      </w:hyperlink>
    </w:p>
    <w:bookmarkEnd w:id="97"/>
    <w:bookmarkStart w:id="99" w:name="ref-glmmTMB"/>
    <w:p>
      <w:pPr>
        <w:pStyle w:val="Bibliography"/>
      </w:pPr>
      <w:r>
        <w:t xml:space="preserve">16.</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98">
        <w:r>
          <w:rPr>
            <w:rStyle w:val="Hyperlink"/>
          </w:rPr>
          <w:t xml:space="preserve">10.32614/RJ-2017-066</w:t>
        </w:r>
      </w:hyperlink>
    </w:p>
    <w:bookmarkEnd w:id="99"/>
    <w:bookmarkStart w:id="101" w:name="ref-strobe"/>
    <w:p>
      <w:pPr>
        <w:pStyle w:val="Bibliography"/>
      </w:pPr>
      <w:r>
        <w:t xml:space="preserve">17.</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100">
        <w:r>
          <w:rPr>
            <w:rStyle w:val="Hyperlink"/>
          </w:rPr>
          <w:t xml:space="preserve">10.7326/0003-4819-147-8-200710160-00010</w:t>
        </w:r>
      </w:hyperlink>
    </w:p>
    <w:bookmarkEnd w:id="101"/>
    <w:bookmarkStart w:id="103" w:name="ref-crisp2021"/>
    <w:p>
      <w:pPr>
        <w:pStyle w:val="Bibliography"/>
      </w:pPr>
      <w:r>
        <w:t xml:space="preserve">18.</w:t>
      </w:r>
      <w:r>
        <w:t xml:space="preserve"> </w:t>
      </w:r>
      <w:r>
        <w:t xml:space="preserve">	</w:t>
      </w:r>
      <w:r>
        <w:t xml:space="preserve">Amaratunge S, Harrison M, Clifford R, Seubert L, Page A, Bond C. Developing a checklist for reporting research using simulated patient methodology (</w:t>
      </w:r>
      <w:r>
        <w:t xml:space="preserve">CRiSP</w:t>
      </w:r>
      <w:r>
        <w:t xml:space="preserve">): A consensus study.</w:t>
      </w:r>
      <w:r>
        <w:t xml:space="preserve"> </w:t>
      </w:r>
      <w:r>
        <w:rPr>
          <w:i/>
          <w:iCs/>
        </w:rPr>
        <w:t xml:space="preserve">International Journal of Pharmacy Practice</w:t>
      </w:r>
      <w:r>
        <w:t xml:space="preserve">. 2021;29(3):218-227. doi:</w:t>
      </w:r>
      <w:hyperlink r:id="rId102">
        <w:r>
          <w:rPr>
            <w:rStyle w:val="Hyperlink"/>
          </w:rPr>
          <w:t xml:space="preserve">10.1093/ijpp/riaa002</w:t>
        </w:r>
      </w:hyperlink>
    </w:p>
    <w:bookmarkEnd w:id="103"/>
    <w:bookmarkStart w:id="105" w:name="ref-crisphe2024"/>
    <w:p>
      <w:pPr>
        <w:pStyle w:val="Bibliography"/>
      </w:pPr>
      <w:r>
        <w:t xml:space="preserve">19.</w:t>
      </w:r>
      <w:r>
        <w:t xml:space="preserve"> </w:t>
      </w:r>
      <w:r>
        <w:t xml:space="preserve">	</w:t>
      </w:r>
      <w:r>
        <w:t xml:space="preserve">Park JS, Page A, Clifford R, Bond C, Seubert L. Refining the</w:t>
      </w:r>
      <w:r>
        <w:t xml:space="preserve"> </w:t>
      </w:r>
      <w:r>
        <w:t xml:space="preserve">CRiSPHe</w:t>
      </w:r>
      <w:r>
        <w:t xml:space="preserve"> </w:t>
      </w:r>
      <w:r>
        <w:t xml:space="preserve">(checklist for reporting research using a simulated patient methodology in health): A</w:t>
      </w:r>
      <w:r>
        <w:t xml:space="preserve"> </w:t>
      </w:r>
      <w:r>
        <w:t xml:space="preserve">Delphi</w:t>
      </w:r>
      <w:r>
        <w:t xml:space="preserve"> </w:t>
      </w:r>
      <w:r>
        <w:t xml:space="preserve">study.</w:t>
      </w:r>
      <w:r>
        <w:t xml:space="preserve"> </w:t>
      </w:r>
      <w:r>
        <w:rPr>
          <w:i/>
          <w:iCs/>
        </w:rPr>
        <w:t xml:space="preserve">International Journal of Pharmacy Practice</w:t>
      </w:r>
      <w:r>
        <w:t xml:space="preserve">. 2024;32(4):322-328. doi:</w:t>
      </w:r>
      <w:hyperlink r:id="rId104">
        <w:r>
          <w:rPr>
            <w:rStyle w:val="Hyperlink"/>
          </w:rPr>
          <w:t xml:space="preserve">10.1093/ijpp/riae019</w:t>
        </w:r>
      </w:hyperlink>
    </w:p>
    <w:bookmarkEnd w:id="105"/>
    <w:bookmarkStart w:id="107" w:name="ref-corbisiero2024"/>
    <w:p>
      <w:pPr>
        <w:pStyle w:val="Bibliography"/>
      </w:pPr>
      <w:r>
        <w:t xml:space="preserve">20.</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106">
        <w:r>
          <w:rPr>
            <w:rStyle w:val="Hyperlink"/>
          </w:rPr>
          <w:t xml:space="preserve">10.1002/ohn.752</w:t>
        </w:r>
      </w:hyperlink>
    </w:p>
    <w:bookmarkEnd w:id="107"/>
    <w:bookmarkStart w:id="109" w:name="ref-saeedi2025"/>
    <w:p>
      <w:pPr>
        <w:pStyle w:val="Bibliography"/>
      </w:pPr>
      <w:r>
        <w:t xml:space="preserve">21.</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108">
        <w:r>
          <w:rPr>
            <w:rStyle w:val="Hyperlink"/>
          </w:rPr>
          <w:t xml:space="preserve">10.7759/cureus.91744</w:t>
        </w:r>
      </w:hyperlink>
    </w:p>
    <w:bookmarkEnd w:id="109"/>
    <w:bookmarkStart w:id="111" w:name="ref-pollack2016"/>
    <w:p>
      <w:pPr>
        <w:pStyle w:val="Bibliography"/>
      </w:pPr>
      <w:r>
        <w:t xml:space="preserve">22.</w:t>
      </w:r>
      <w:r>
        <w:t xml:space="preserve"> </w:t>
      </w:r>
      <w:r>
        <w:t xml:space="preserve">	</w:t>
      </w:r>
      <w:r>
        <w:t xml:space="preserve">Pollack CE, Ross ME, Armstrong K, et al. Using a mystery-caller approach to examine access to prostate cancer care in</w:t>
      </w:r>
      <w:r>
        <w:t xml:space="preserve"> </w:t>
      </w:r>
      <w:r>
        <w:t xml:space="preserve">Philadelphia</w:t>
      </w:r>
      <w:r>
        <w:t xml:space="preserve">.</w:t>
      </w:r>
      <w:r>
        <w:t xml:space="preserve"> </w:t>
      </w:r>
      <w:r>
        <w:rPr>
          <w:i/>
          <w:iCs/>
        </w:rPr>
        <w:t xml:space="preserve">PLOS ONE</w:t>
      </w:r>
      <w:r>
        <w:t xml:space="preserve">. 2016;11(10):e0164411. doi:</w:t>
      </w:r>
      <w:hyperlink r:id="rId110">
        <w:r>
          <w:rPr>
            <w:rStyle w:val="Hyperlink"/>
          </w:rPr>
          <w:t xml:space="preserve">10.1371/journal.pone.0164411</w:t>
        </w:r>
      </w:hyperlink>
    </w:p>
    <w:bookmarkEnd w:id="111"/>
    <w:bookmarkStart w:id="113" w:name="ref-wilkinson2018"/>
    <w:p>
      <w:pPr>
        <w:pStyle w:val="Bibliography"/>
      </w:pPr>
      <w:r>
        <w:t xml:space="preserve">23.</w:t>
      </w:r>
      <w:r>
        <w:t xml:space="preserve"> </w:t>
      </w:r>
      <w:r>
        <w:t xml:space="preserve">	</w:t>
      </w:r>
      <w:r>
        <w:t xml:space="preserve">Wilkinson TA, Rafie S, Clark PD, Carroll AE, Miller E. Evaluating community pharmacy responses about levonorgestrel emergency contraception by mystery caller characteristics.</w:t>
      </w:r>
      <w:r>
        <w:t xml:space="preserve"> </w:t>
      </w:r>
      <w:r>
        <w:rPr>
          <w:i/>
          <w:iCs/>
        </w:rPr>
        <w:t xml:space="preserve">Journal of Adolescent Health</w:t>
      </w:r>
      <w:r>
        <w:t xml:space="preserve">. 2018;63(1):32-36. doi:</w:t>
      </w:r>
      <w:hyperlink r:id="rId112">
        <w:r>
          <w:rPr>
            <w:rStyle w:val="Hyperlink"/>
          </w:rPr>
          <w:t xml:space="preserve">10.1016/j.jadohealth.2017.11.303</w:t>
        </w:r>
      </w:hyperlink>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Grace E. Falk; [RA co-authors — full names &amp; degrees to confirm: Chin, Deol, Gregg, Kim, Roesch, Walsh]; Cristina Cabrera-Muffly, MD; Tyler M. Muffly, MD</dc:creator>
  <cp:keywords/>
  <dcterms:created xsi:type="dcterms:W3CDTF">2026-07-18T02:50:54Z</dcterms:created>
  <dcterms:modified xsi:type="dcterms:W3CDTF">2026-07-18T02:50:54Z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