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r>
        <w:t>--</w:t>
      </w:r>
    </w:p>
    <w:p>
      <w:pPr>
        <w:spacing w:before="240" w:after="120"/>
      </w:pPr>
      <w:r>
        <w:rPr>
          <w:b/>
          <w:sz w:val="28"/>
        </w:rPr>
        <w:t>Introduction</w:t>
      </w:r>
    </w:p>
    <w:p>
      <w:r>
        <w:t>Over the last decade, corporate consolidation and financialization have transformed the delivery of healthcare in the United States. Private equity (PE) firms, investment partnerships that purchase private companies, restructure them, and aim to sell them for a profit within a short time horizon (typically 3 to 7 years), 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 specifically corporate PE ownership versus traditional independent private practice, 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r>
        <w:t>--</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their interaction, the Centers for Disease Control and Prevention (CDC) Social Vulnerability Index (SVI) percentile score to control for neighborhood socioeconomic status, the state-level Kaiser Family Foundation (KFF) Medicaid-to-Medicare fee index ratio to control for regional reimbursement generosity, and the local private equity clinic density (number of corporate-owned offices within a 15-mile radius) to adjust for market consolidation, while random effects consisted of a matched-pair intercept and an individual clinician intercept to account for correlation within matched pairs and repeated call measures.</w:t>
      </w:r>
    </w:p>
    <w:p>
      <w:r>
        <w:t>--</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The CDC Social Vulnerability Index percentile scores were compiled for practice ZIP codes to control for local socioeconomic vulnerability, while the state-level KFF Medicaid fee index and the count of corporate offices within a 15-mile radius were mapped to control for reimbursement generosity and local market density. Table 1 presents the actual demographic and geographic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r>
        <w:t>--</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 such as capping the number of Medicaid appointments allowed per month or routing Medicaid scheduling through centralized call centers that enforce additional administrative hurdles, 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r>
        <w:t>--</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r>
        <w:t>--</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r>
        <w:tc>
          <w:tcPr>
            <w:tcW w:type="dxa" w:w="1337"/>
          </w:tcPr>
          <w:p>
            <w:r>
              <w:t>CDC Social Vulnerability Index</w:t>
            </w:r>
          </w:p>
        </w:tc>
        <w:tc>
          <w:tcPr>
            <w:tcW w:type="dxa" w:w="1337"/>
          </w:tcPr>
          <w:p>
            <w:r>
              <w:t>[1.12]</w:t>
            </w:r>
          </w:p>
        </w:tc>
        <w:tc>
          <w:tcPr>
            <w:tcW w:type="dxa" w:w="1337"/>
          </w:tcPr>
          <w:p>
            <w:r>
              <w:t>[0.84] to [1.49]</w:t>
            </w:r>
          </w:p>
        </w:tc>
        <w:tc>
          <w:tcPr>
            <w:tcW w:type="dxa" w:w="1337"/>
          </w:tcPr>
          <w:p>
            <w:r>
              <w:t>[p = 0.45]</w:t>
            </w:r>
          </w:p>
        </w:tc>
        <w:tc>
          <w:tcPr>
            <w:tcW w:type="dxa" w:w="1337"/>
          </w:tcPr>
          <w:p>
            <w:r>
              <w:t>[1.04]</w:t>
            </w:r>
          </w:p>
        </w:tc>
        <w:tc>
          <w:tcPr>
            <w:tcW w:type="dxa" w:w="1337"/>
          </w:tcPr>
          <w:p>
            <w:r>
              <w:t>[0.91] to [1.19]</w:t>
            </w:r>
          </w:p>
        </w:tc>
        <w:tc>
          <w:tcPr>
            <w:tcW w:type="dxa" w:w="1337"/>
          </w:tcPr>
          <w:p>
            <w:r>
              <w:t>[p = 0.58]</w:t>
            </w:r>
          </w:p>
        </w:tc>
      </w:tr>
      <w:tr>
        <w:tc>
          <w:tcPr>
            <w:tcW w:type="dxa" w:w="1337"/>
          </w:tcPr>
          <w:p>
            <w:r>
              <w:t>State Medicaid-to-Medicare Fee Index</w:t>
            </w:r>
          </w:p>
        </w:tc>
        <w:tc>
          <w:tcPr>
            <w:tcW w:type="dxa" w:w="1337"/>
          </w:tcPr>
          <w:p>
            <w:r>
              <w:t>[1.32]</w:t>
            </w:r>
          </w:p>
        </w:tc>
        <w:tc>
          <w:tcPr>
            <w:tcW w:type="dxa" w:w="1337"/>
          </w:tcPr>
          <w:p>
            <w:r>
              <w:t>[1.08] to [1.62]</w:t>
            </w:r>
          </w:p>
        </w:tc>
        <w:tc>
          <w:tcPr>
            <w:tcW w:type="dxa" w:w="1337"/>
          </w:tcPr>
          <w:p>
            <w:r>
              <w:t>[p = 0.007]</w:t>
            </w:r>
          </w:p>
        </w:tc>
        <w:tc>
          <w:tcPr>
            <w:tcW w:type="dxa" w:w="1337"/>
          </w:tcPr>
          <w:p>
            <w:r>
              <w:t>[0.85]</w:t>
            </w:r>
          </w:p>
        </w:tc>
        <w:tc>
          <w:tcPr>
            <w:tcW w:type="dxa" w:w="1337"/>
          </w:tcPr>
          <w:p>
            <w:r>
              <w:t>[0.73] to [0.98]</w:t>
            </w:r>
          </w:p>
        </w:tc>
        <w:tc>
          <w:tcPr>
            <w:tcW w:type="dxa" w:w="1337"/>
          </w:tcPr>
          <w:p>
            <w:r>
              <w:t>[p = 0.027]</w:t>
            </w:r>
          </w:p>
        </w:tc>
      </w:tr>
      <w:tr>
        <w:tc>
          <w:tcPr>
            <w:tcW w:type="dxa" w:w="1337"/>
          </w:tcPr>
          <w:p>
            <w:r>
              <w:t>Local PE Practice Density (15-mile radius)</w:t>
            </w:r>
          </w:p>
        </w:tc>
        <w:tc>
          <w:tcPr>
            <w:tcW w:type="dxa" w:w="1337"/>
          </w:tcPr>
          <w:p>
            <w:r>
              <w:t>[0.96]</w:t>
            </w:r>
          </w:p>
        </w:tc>
        <w:tc>
          <w:tcPr>
            <w:tcW w:type="dxa" w:w="1337"/>
          </w:tcPr>
          <w:p>
            <w:r>
              <w:t>[0.92] to [0.99]</w:t>
            </w:r>
          </w:p>
        </w:tc>
        <w:tc>
          <w:tcPr>
            <w:tcW w:type="dxa" w:w="1337"/>
          </w:tcPr>
          <w:p>
            <w:r>
              <w:t>[p = 0.015]</w:t>
            </w:r>
          </w:p>
        </w:tc>
        <w:tc>
          <w:tcPr>
            <w:tcW w:type="dxa" w:w="1337"/>
          </w:tcPr>
          <w:p>
            <w:r>
              <w:t>[1.02]</w:t>
            </w:r>
          </w:p>
        </w:tc>
        <w:tc>
          <w:tcPr>
            <w:tcW w:type="dxa" w:w="1337"/>
          </w:tcPr>
          <w:p>
            <w:r>
              <w:t>[0.99] to [1.05]</w:t>
            </w:r>
          </w:p>
        </w:tc>
        <w:tc>
          <w:tcPr>
            <w:tcW w:type="dxa" w:w="1337"/>
          </w:tcPr>
          <w:p>
            <w:r>
              <w:t>[p = 0.18]</w:t>
            </w:r>
          </w:p>
        </w:tc>
      </w:tr>
    </w:tbl>
    <w:p/>
    <w:p>
      <w:r>
        <w:t>Note: Models adjusted for clinician gender, credentials, state, and years in practice. Random intercepts included for matched pair and individual clinician.</w:t>
      </w:r>
    </w:p>
    <w:p>
      <w:r>
        <w:t>--</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r>
        <w:t>--</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120" w:after="80"/>
      </w:pPr>
      <w:r>
        <w:rPr>
          <w:b/>
          <w:i/>
          <w:sz w:val="24"/>
        </w:rPr>
        <w:t>Figure 3: STROBE Flow Diagram of Clinic Inclusion and Exclusion</w:t>
      </w:r>
    </w:p>
    <w:p>
      <w:r>
        <w:t>Flowchart illustrating the step-by-step inclusion and exclusion pathway for private equity-backed clinics and independent matched controls.</w:t>
      </w:r>
    </w:p>
    <w:p>
      <w:r>
        <w:t>--</w:t>
      </w:r>
    </w:p>
    <w:p>
      <w:pPr>
        <w:spacing w:before="240" w:after="120"/>
      </w:pPr>
      <w:r>
        <w:rPr>
          <w:b/>
          <w:sz w:val="28"/>
        </w:rPr>
        <w:t>BibTeX Bibliography</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