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r>
        <w:t>--</w:t>
      </w:r>
    </w:p>
    <w:p>
      <w:pPr>
        <w:spacing w:before="240" w:after="120"/>
      </w:pPr>
      <w:r>
        <w:rPr>
          <w:b/>
          <w:sz w:val="28"/>
        </w:rPr>
        <w:t>Introduction</w:t>
      </w:r>
    </w:p>
    <w:p>
      <w:r>
        <w:t>Over the last decade, corporate consolidation and financialization have transformed the delivery of healthcare in the United States. Private equity (PE) firms, investment partnerships that purchase private companies, restructure them, and aim to sell them for a profit within a short time horizon (typically 3 to 7 years), 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 specifically corporate PE ownership versus traditional independent private practice, 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r>
        <w:t>--</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(4) and glmmTMB (5) packages in R to account for the nested structure of the data:</w:t>
      </w:r>
    </w:p>
    <w:p>
      <w:r>
        <w:t>Fixed effects included clinic ownership (private equity vs. independent), patient insurance type (Medicaid vs. commercial), and their interaction, while random effects consisted of a matched-pair intercept and an individual clinician intercept to account for correlation within matched pairs and repeated call measures.</w:t>
      </w:r>
    </w:p>
    <w:p>
      <w:r>
        <w:t>--</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Table 1 presents the actual demographic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r>
        <w:t>Specifically, Medicaid patients at independent practices waited an average of [11.3] days longer than commercially insured patients, whereas Medicaid patients at private equity-backed practices waited an average of [22.3] days longer, representing a near-doubling of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r>
        <w:t>--</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 such as capping the number of Medicaid appointments allowed per month or routing Medicaid scheduling through centralized call centers that enforce additional administrative hurdles, 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r>
        <w:t>--</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r>
        <w:t>4. Bates D, Mächler M, Bolker B, Walker S. Fitting Linear Mixed-Effects Models Using lme4. J Stat Softw. 2015;67(1):1-48.</w:t>
      </w:r>
    </w:p>
    <w:p>
      <w:r>
        <w:t>5. Brooks ME, Kristensen K, van Benthem KJ, et al. glmmTMB Balances Speed and Flexibility among Packages for Zero-inflated Generalized Linear Mixed Modeling. R J. 2017;9(2):378-400.</w:t>
      </w:r>
    </w:p>
    <w:p>
      <w:r>
        <w:t>--</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bl>
    <w:p/>
    <w:p>
      <w:r>
        <w:t>Note: Models adjusted for clinician gender, credentials, state, and years in practice. Random intercepts included for matched pair and individual clinician.</w:t>
      </w:r>
    </w:p>
    <w:p>
      <w:r>
        <w:t>--</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r>
        <w:t>--</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120" w:after="80"/>
      </w:pPr>
      <w:r>
        <w:rPr>
          <w:b/>
          <w:i/>
          <w:sz w:val="24"/>
        </w:rPr>
        <w:t>Figure 3: STROBE Flow Diagram of Clinic Inclusion and Exclusion</w:t>
      </w:r>
    </w:p>
    <w:p>
      <w:r>
        <w:t>Flowchart illustrating the step-by-step inclusion and exclusion pathway for private equity-backed clinics and independent matched controls.</w:t>
      </w:r>
    </w:p>
    <w:p>
      <w:r>
        <w:t>--</w:t>
      </w:r>
    </w:p>
    <w:p>
      <w:pPr>
        <w:spacing w:before="240" w:after="120"/>
      </w:pPr>
      <w:r>
        <w:rPr>
          <w:b/>
          <w:sz w:val="28"/>
        </w:rPr>
        <w:t>BibTeX Bibliography</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