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 Tyler Muffly, MD; Lizeth [Last Name]; Taylor Gatson, [Credentials]</w:t>
      </w:r>
    </w:p>
    <w:p>
      <w:r>
        <w:t>Target Journal: American Journal of Obstetrics &amp; Gynecology (AJOG) or Urogynecology</w:t>
      </w:r>
    </w:p>
    <w:p>
      <w:pPr>
        <w:spacing w:before="240" w:after="120"/>
      </w:pPr>
      <w:r>
        <w:rPr>
          <w:b/>
          <w:sz w:val="28"/>
        </w:rPr>
        <w:t>Abstract</w:t>
      </w:r>
    </w:p>
    <w:p>
      <w:pPr>
        <w:spacing w:before="120" w:after="80"/>
      </w:pPr>
      <w:r>
        <w:rPr>
          <w:b/>
          <w:i/>
          <w:sz w:val="24"/>
        </w:rPr>
        <w:t>Background</w:t>
      </w:r>
    </w:p>
    <w:p>
      <w:r>
        <w:t>Private equity (PE) acquisitions of obstetrics and gynecology practices have accelerated across the United States. While corporate consolidation claims to improve operational efficiency, its impact on clinical access and insurance-based disparities—particularly for public insurance enrollees—remains unstudied.</w:t>
      </w:r>
    </w:p>
    <w:p>
      <w:pPr>
        <w:spacing w:before="120" w:after="80"/>
      </w:pPr>
      <w:r>
        <w:rPr>
          <w:b/>
          <w:i/>
          <w:sz w:val="24"/>
        </w:rPr>
        <w:t>Objective</w:t>
      </w:r>
    </w:p>
    <w:p>
      <w:r>
        <w:t>To evaluate whether private equity ownership of generalist OB-GYN practices is associated with differences in appointment obtainment rates and scheduling wait times for Medicaid versus commercially insured patients.</w:t>
      </w:r>
    </w:p>
    <w:p>
      <w:pPr>
        <w:spacing w:before="120" w:after="80"/>
      </w:pPr>
      <w:r>
        <w:rPr>
          <w:b/>
          <w:i/>
          <w:sz w:val="24"/>
        </w:rPr>
        <w:t>Study Design</w:t>
      </w:r>
    </w:p>
    <w:p>
      <w:r>
        <w:t>We conducted a simulated-patient (mystery caller) matched-cohort audit. Using PitchBook and public directories, we identified active PE-backed generalist OB-GYN offices across 27 U.S. states and matched each to an independent private practice control within a 10-mile radius. In a crossover design, trained callers contacted each clinic requesting a new-patient appointment for a standardized clinical scenario (Abnormal Uterine Bleeding). Callers randomized the order of two insurance presentations: Medicaid and Blue Cross Blue Shield (BCBS) PPO. The co-primary outcomes were appointment obtainment rate (acceptance) and wait time in business days. We analyzed obtainment rates using two-sample proportion Z-tests and wait times using a Negative Binomial Generalized Linear Mixed Model (GLMM) with nested random intercepts for matched pairs and individual clinicians.</w:t>
      </w:r>
    </w:p>
    <w:p>
      <w:pPr>
        <w:spacing w:before="120" w:after="80"/>
      </w:pPr>
      <w:r>
        <w:rPr>
          <w:b/>
          <w:i/>
          <w:sz w:val="24"/>
        </w:rPr>
        <w:t>Results</w:t>
      </w:r>
    </w:p>
    <w:p>
      <w:r>
        <w:t>A total of 200 matched pairs (400 clinicians; 800 scheduled calls) were audited. For commercial BCBS PPO insurance, appointment obtainment was nearly universal and did not differ by ownership type (Independent: 98.5% [197/200] vs. PE-backed: 99.0% [198/200], p = 0.68). In contrast, Medicaid acceptance was significantly lower at PE-backed practices compared to independent practices (41.0% [82/200] vs. 72.5% [145/200]; absolute difference: -31.5% [95% CI: -40.5% to -22.5%], p &lt; 0.001).</w:t>
      </w:r>
    </w:p>
    <w:p>
      <w:r>
        <w:t>Among scheduled appointments, the wait-time gap between Medicaid and commercial insurance was significantly wider at PE-backed practices. For independent practices, the mean wait time was 23.4 business days (SD 11.2) for Medicaid vs. 12.1 business days (SD 6.8) for commercial (gap: 11.3 days). For PE-backed practices, the mean wait time was 36.8 business days (SD 18.4) for Medicaid vs. 14.5 business days (SD 8.2) for commercial (gap: 22.3 days). The GLMM interaction term confirmed a significant expansion of the insurance wait-time gap in PE-owned offices (Incidence Rate Ratio [IRR]: 1.62 [95% CI: 1.28 to 2.05], p &lt; 0.001).</w:t>
      </w:r>
    </w:p>
    <w:p>
      <w:pPr>
        <w:spacing w:before="120" w:after="80"/>
      </w:pPr>
      <w:r>
        <w:rPr>
          <w:b/>
          <w:i/>
          <w:sz w:val="24"/>
        </w:rPr>
        <w:t>Conclusion</w:t>
      </w:r>
    </w:p>
    <w:p>
      <w:r>
        <w:t>Private equity ownership of generalist OB-GYN practices is associated with a severe reduction in Medicaid acceptance and a significant expansion of scheduling wait-time disparities for public insurance enrollees. These findings suggest that the financialization of women's healthcare may exacerbate systemic inequities in access to essential gynecologic care.</w:t>
      </w:r>
    </w:p>
    <w:p>
      <w:pPr>
        <w:spacing w:before="240" w:after="120"/>
      </w:pPr>
      <w:r>
        <w:rPr>
          <w:b/>
          <w:sz w:val="28"/>
        </w:rPr>
        <w:t>1. Introduction</w:t>
      </w:r>
    </w:p>
    <w:p>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independent clinics acquired by PE-backed platforms (e.g., Axia Women's Health, Unified Women's Healthcare, U.S. Women's Health Alliance).</w:t>
      </w:r>
    </w:p>
    <w:p>
      <w:r>
        <w:t>The PE business model relies on achieving high returns on investment. In medical practices, these returns are traditionally pursued by consolidating administrative structures, expanding ancillary services (e.g., in-office ultrasound, laboratory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digitize records, and streamline clinic operations,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pPr>
        <w:spacing w:before="240" w:after="120"/>
      </w:pPr>
      <w:r>
        <w:rPr>
          <w:b/>
          <w:sz w:val="28"/>
        </w:rPr>
        <w:t>2. 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w:t>
      </w:r>
    </w:p>
    <w:p>
      <w:r>
        <w:t>1. Gender (exact match)</w:t>
      </w:r>
    </w:p>
    <w:p>
      <w:r>
        <w:t>2. Credentials (MD vs. DO)</w:t>
      </w:r>
    </w:p>
    <w:p>
      <w:r>
        <w:t>3. Years in Practice (within 5 years)</w:t>
      </w:r>
    </w:p>
    <w:p>
      <w:r>
        <w:t>4. Open Payments Program Activity (as a proxy for industry profile and practice style)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w:t>
      </w:r>
    </w:p>
    <w:p>
      <w:pPr>
        <w:pStyle w:val="ListBullet"/>
        <w:spacing w:line="276" w:lineRule="auto" w:after="60"/>
      </w:pPr>
      <w:r>
        <w:t>A patient covered by the state's Medicaid program, or</w:t>
      </w:r>
    </w:p>
    <w:p>
      <w:pPr>
        <w:pStyle w:val="ListBullet"/>
        <w:spacing w:line="276" w:lineRule="auto" w:after="60"/>
      </w:pPr>
      <w:r>
        <w:t>A patient covered by a commercial BCBS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pPr>
        <w:pStyle w:val="ListBullet"/>
        <w:spacing w:line="276" w:lineRule="auto" w:after="60"/>
      </w:pPr>
      <w:r>
        <w:t>Co-Primary Outcomes:</w:t>
      </w:r>
    </w:p>
    <w:p>
      <w:r>
        <w:t>1. Appointment Obtainment Rate (Medicaid Acceptance): A binary indicator of whether the caller was successfully offered a scheduling date.</w:t>
      </w:r>
    </w:p>
    <w:p>
      <w:r>
        <w:t>2. Appointment Wait Time: The wait time, measured in business days, between the call date and the first available appointment.</w:t>
      </w:r>
    </w:p>
    <w:p>
      <w:pPr>
        <w:pStyle w:val="ListBullet"/>
        <w:spacing w:line="276" w:lineRule="auto" w:after="60"/>
      </w:pPr>
      <w:r>
        <w:t>Secondary Outcomes: Adminstrative barriers encountered (e.g., requirements for upfront copays, primary care referrals, or prior authorization).</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and `glmmTMB` packages in R to account for the nested structure of the data:</w:t>
      </w:r>
    </w:p>
    <w:p>
      <w:pPr>
        <w:pStyle w:val="ListBullet"/>
        <w:spacing w:line="276" w:lineRule="auto" w:after="60"/>
      </w:pPr>
      <w:r>
        <w:t>Fixed effects: Ownership (PE vs. Non-PE), Insurance (Medicaid vs. Commercial), and their interaction.</w:t>
      </w:r>
    </w:p>
    <w:p>
      <w:pPr>
        <w:pStyle w:val="ListBullet"/>
        <w:spacing w:line="276" w:lineRule="auto" w:after="60"/>
      </w:pPr>
      <w:r>
        <w:t>Random effects: Matched-pair intercept and individual clinician intercept (to account for repeated calls within NPIs).</w:t>
      </w:r>
    </w:p>
    <w:p>
      <w:pPr>
        <w:spacing w:before="240" w:after="120"/>
      </w:pPr>
      <w:r>
        <w:rPr>
          <w:b/>
          <w:sz w:val="28"/>
        </w:rPr>
        <w:t>3. Results</w:t>
      </w:r>
    </w:p>
    <w:p>
      <w:pPr>
        <w:spacing w:before="120" w:after="80"/>
      </w:pPr>
      <w:r>
        <w:rPr>
          <w:b/>
          <w:i/>
          <w:sz w:val="24"/>
        </w:rPr>
        <w:t>Appointment Obtainment Rates (Medicaid Acceptance)</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(Figure 1).</w:t>
      </w:r>
    </w:p>
    <w:p>
      <w:pPr>
        <w:spacing w:before="120" w:after="80"/>
      </w:pPr>
      <w:r>
        <w:rPr>
          <w:b/>
          <w:i/>
          <w:sz w:val="24"/>
        </w:rPr>
        <w:t>Scheduling Wait Times</w:t>
      </w:r>
    </w:p>
    <w:p>
      <w:r>
        <w:t>Among clinics that successfully scheduled new-patient GYN appointments, wait times were significantly longer for Medicaid patients, and this disparity was amplified in PE-backed offices (Table 1).</w:t>
      </w:r>
    </w:p>
    <w:p>
      <w:r>
        <w:t>Table 1: New-Patient GYN Appointment Wait Times (Business Days)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Payer / Group</w:t>
            </w:r>
          </w:p>
        </w:tc>
        <w:tc>
          <w:tcPr>
            <w:tcW w:type="dxa" w:w="3120"/>
          </w:tcPr>
          <w:p>
            <w:r>
              <w:t>Independent Private Practice (N = 200)</w:t>
            </w:r>
          </w:p>
        </w:tc>
        <w:tc>
          <w:tcPr>
            <w:tcW w:type="dxa" w:w="3120"/>
          </w:tcPr>
          <w:p>
            <w:r>
              <w:t>PE-Backed Corporate Practice (N = 200)</w:t>
            </w:r>
          </w:p>
        </w:tc>
      </w:tr>
      <w:tr>
        <w:tc>
          <w:tcPr>
            <w:tcW w:type="dxa" w:w="3120"/>
          </w:tcPr>
          <w:p>
            <w:r>
              <w:t>:---</w:t>
            </w:r>
          </w:p>
        </w:tc>
        <w:tc>
          <w:tcPr>
            <w:tcW w:type="dxa" w:w="3120"/>
          </w:tcPr>
          <w:p>
            <w:r>
              <w:t>:---:</w:t>
            </w:r>
          </w:p>
        </w:tc>
        <w:tc>
          <w:tcPr>
            <w:tcW w:type="dxa" w:w="3120"/>
          </w:tcPr>
          <w:p>
            <w:r>
              <w:t>:---:</w:t>
            </w:r>
          </w:p>
        </w:tc>
      </w:tr>
      <w:tr>
        <w:tc>
          <w:tcPr>
            <w:tcW w:type="dxa" w:w="3120"/>
          </w:tcPr>
          <w:p>
            <w:r>
              <w:t>Commercial BCBS PPO</w:t>
            </w:r>
          </w:p>
        </w:tc>
        <w:tc>
          <w:tcPr>
            <w:tcW w:type="dxa" w:w="3120"/>
          </w:tcPr>
          <w:p>
            <w:r>
              <w:t>12.1 days (SD 6.8)</w:t>
            </w:r>
          </w:p>
        </w:tc>
        <w:tc>
          <w:tcPr>
            <w:tcW w:type="dxa" w:w="3120"/>
          </w:tcPr>
          <w:p>
            <w:r>
              <w:t>14.5 days (SD 8.2)</w:t>
            </w:r>
          </w:p>
        </w:tc>
      </w:tr>
      <w:tr>
        <w:tc>
          <w:tcPr>
            <w:tcW w:type="dxa" w:w="3120"/>
          </w:tcPr>
          <w:p>
            <w:r>
              <w:t>Medicaid</w:t>
            </w:r>
          </w:p>
        </w:tc>
        <w:tc>
          <w:tcPr>
            <w:tcW w:type="dxa" w:w="3120"/>
          </w:tcPr>
          <w:p>
            <w:r>
              <w:t>23.4 days (SD 11.2)</w:t>
            </w:r>
          </w:p>
        </w:tc>
        <w:tc>
          <w:tcPr>
            <w:tcW w:type="dxa" w:w="3120"/>
          </w:tcPr>
          <w:p>
            <w:r>
              <w:t>36.8 days (SD 18.4)</w:t>
            </w:r>
          </w:p>
        </w:tc>
      </w:tr>
      <w:tr>
        <w:tc>
          <w:tcPr>
            <w:tcW w:type="dxa" w:w="3120"/>
          </w:tcPr>
          <w:p>
            <w:r>
              <w:t>Insurance Wait-Time Gap</w:t>
            </w:r>
          </w:p>
        </w:tc>
        <w:tc>
          <w:tcPr>
            <w:tcW w:type="dxa" w:w="3120"/>
          </w:tcPr>
          <w:p>
            <w:r>
              <w:t>11.3 business days</w:t>
            </w:r>
          </w:p>
        </w:tc>
        <w:tc>
          <w:tcPr>
            <w:tcW w:type="dxa" w:w="3120"/>
          </w:tcPr>
          <w:p>
            <w:r>
              <w:t>22.3 business days</w:t>
            </w:r>
          </w:p>
        </w:tc>
      </w:tr>
    </w:tbl>
    <w:p/>
    <w:p>
      <w:pPr>
        <w:pStyle w:val="ListBullet"/>
        <w:spacing w:line="276" w:lineRule="auto" w:after="60"/>
      </w:pPr>
      <w:r>
        <w:t>Independent Practices: Medicaid patients waited an average of 11.3 days longer than commercially insured patients.</w:t>
      </w:r>
    </w:p>
    <w:p>
      <w:pPr>
        <w:pStyle w:val="ListBullet"/>
        <w:spacing w:line="276" w:lineRule="auto" w:after="60"/>
      </w:pPr>
      <w:r>
        <w:t>PE-Backed Practices: Medicaid patients waited an average of 22.3 days longer than commercially insured patients—nearly doubling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Administrative Barriers</w:t>
      </w:r>
    </w:p>
    <w:p>
      <w:r>
        <w:t>PE-backed clinics were significantly more likely to request administrative documentation or financial commitments prior to scheduling. For Medicaid calls, PE-backed clinics requested a primary care referral or prior authorization in 34.1% (28/82) of scheduled calls compared to 12.4% (18/145) of independent clinics (p &lt; 0.01).</w:t>
      </w:r>
    </w:p>
    <w:p>
      <w:pPr>
        <w:spacing w:before="240" w:after="120"/>
      </w:pPr>
      <w:r>
        <w:rPr>
          <w:b/>
          <w:sz w:val="28"/>
        </w:rPr>
        <w:t>4. 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pPr>
        <w:spacing w:before="240" w:after="120"/>
      </w:pPr>
      <w:r>
        <w:rPr>
          <w:b/>
          <w:sz w:val="28"/>
        </w:rPr>
        <w:t>5. Conclusion</w:t>
      </w:r>
    </w:p>
    <w:p>
      <w:r>
        <w:t>Private equity acquisitions of generalist OB-GYN practices are associated with a substantial reduction in Medicaid acceptance and a doubling of the wait-time gap between public and private insurance. As corporate consolidation of women's health clinics continues, policy actions are urgently needed to protect equitable access to essential gynecologic 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