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Précis</w:t>
      </w:r>
    </w:p>
    <w:p>
      <w:r>
        <w:t>Private equity ownership of generalist OB-GYN practices is associated with a 31.5% reduction in Medicaid acceptance and a doubling of scheduling wait-time disparities.</w:t>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pPr>
        <w:spacing w:before="240" w:after="120"/>
      </w:pPr>
      <w:r>
        <w:rPr>
          <w:b/>
          <w:sz w:val="28"/>
        </w:rPr>
        <w:t>Introduction</w:t>
      </w:r>
    </w:p>
    <w:p>
      <w:r>
        <w:t>Over the last decade, corporate consolidation and financialization have transformed the delivery of healthcare in the United States. Private equity (PE) firms—investment partnerships that purchase private companies, restructure them, and aim to sell them for a profit within a short time horizon (typically 3 to 7 years)—have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clinics—specifically corporate PE ownership versus traditional independent private practice—influences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w:t>
      </w:r>
    </w:p>
    <w:p>
      <w:r>
        <w:t>1. Gender (exact match)</w:t>
      </w:r>
    </w:p>
    <w:p>
      <w:r>
        <w:t>2. Credentials (MD vs. DO)</w:t>
      </w:r>
    </w:p>
    <w:p>
      <w:r>
        <w:t>3. Years in Practice (within 5 years)</w:t>
      </w:r>
    </w:p>
    <w:p>
      <w:r>
        <w:t>4. Open Payments Program Activity (as a proxy for industry profile and practice style)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w:t>
      </w:r>
    </w:p>
    <w:p>
      <w:pPr>
        <w:pStyle w:val="ListBullet"/>
        <w:spacing w:line="276" w:lineRule="auto" w:after="60"/>
      </w:pPr>
      <w:r>
        <w:t>A patient covered by the state's Medicaid program, or</w:t>
      </w:r>
    </w:p>
    <w:p>
      <w:pPr>
        <w:pStyle w:val="ListBullet"/>
        <w:spacing w:line="276" w:lineRule="auto" w:after="60"/>
      </w:pPr>
      <w:r>
        <w:t>A patient covered by a commercial BCBS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pPr>
        <w:pStyle w:val="ListBullet"/>
        <w:spacing w:line="276" w:lineRule="auto" w:after="60"/>
      </w:pPr>
      <w:r>
        <w:t>Co-Primary Outcomes:</w:t>
      </w:r>
    </w:p>
    <w:p>
      <w:r>
        <w:t>1. Appointment Obtainment Rate (Medicaid Acceptance): A binary indicator of whether the caller was successfully offered a scheduling date.</w:t>
      </w:r>
    </w:p>
    <w:p>
      <w:r>
        <w:t>2. Appointment Wait Time: The wait time, measured in business days, between the call date and the first available appointment.</w:t>
      </w:r>
    </w:p>
    <w:p>
      <w:pPr>
        <w:pStyle w:val="ListBullet"/>
        <w:spacing w:line="276" w:lineRule="auto" w:after="60"/>
      </w:pPr>
      <w:r>
        <w:t>Secondary Outcomes: Administrative barriers encountered (e.g., requirements for upfront copays, primary care referrals, or prior authorization).</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and `glmmTMB` packages in R to account for the nested structure of the data:</w:t>
      </w:r>
    </w:p>
    <w:p>
      <w:pPr>
        <w:pStyle w:val="ListBullet"/>
        <w:spacing w:line="276" w:lineRule="auto" w:after="60"/>
      </w:pPr>
      <w:r>
        <w:t>Fixed effects: Ownership (PE vs. Non-PE), Insurance (Medicaid vs. Commercial), and their interaction.</w:t>
      </w:r>
    </w:p>
    <w:p>
      <w:pPr>
        <w:pStyle w:val="ListBullet"/>
        <w:spacing w:line="276" w:lineRule="auto" w:after="60"/>
      </w:pPr>
      <w:r>
        <w:t>Random effects: Matched-pair intercept and individual clinician intercept (to account for repeated calls within NPIs).</w:t>
      </w:r>
    </w:p>
    <w:p>
      <w:pPr>
        <w:spacing w:before="240" w:after="120"/>
      </w:pPr>
      <w:r>
        <w:rPr>
          <w:b/>
          <w:sz w:val="28"/>
        </w:rPr>
        <w:t>Results</w:t>
      </w:r>
    </w:p>
    <w:p>
      <w:pPr>
        <w:spacing w:before="120" w:after="80"/>
      </w:pPr>
      <w:r>
        <w:rPr>
          <w:b/>
          <w:i/>
          <w:sz w:val="24"/>
        </w:rPr>
        <w:t>Appointment Obtainment Rates (Medicaid Acceptance)</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w:t>
      </w:r>
    </w:p>
    <w:p>
      <w:pPr>
        <w:spacing w:before="120" w:after="80"/>
      </w:pPr>
      <w:r>
        <w:rPr>
          <w:b/>
          <w:i/>
          <w:sz w:val="24"/>
        </w:rPr>
        <w:t>Scheduling Wait Times</w:t>
      </w:r>
    </w:p>
    <w:p>
      <w:r>
        <w:t>Among clinics that successfully scheduled new-patient GYN appointments, wait times were significantly longer for Medicaid patients, and this disparity was amplified in PE-backed offices (Table 1).</w:t>
      </w:r>
    </w:p>
    <w:p>
      <w:r>
        <w:t>Table 1: New-Patient GYN Appointment Wait Times (Business Days)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Payer / Group</w:t>
            </w:r>
          </w:p>
        </w:tc>
        <w:tc>
          <w:tcPr>
            <w:tcW w:type="dxa" w:w="3120"/>
          </w:tcPr>
          <w:p>
            <w:r>
              <w:t>Independent Private Practice (N = 200)</w:t>
            </w:r>
          </w:p>
        </w:tc>
        <w:tc>
          <w:tcPr>
            <w:tcW w:type="dxa" w:w="3120"/>
          </w:tcPr>
          <w:p>
            <w:r>
              <w:t>PE-Backed Corporate Practice (N = 200)</w:t>
            </w:r>
          </w:p>
        </w:tc>
      </w:tr>
      <w:tr>
        <w:tc>
          <w:tcPr>
            <w:tcW w:type="dxa" w:w="3120"/>
          </w:tcPr>
          <w:p>
            <w:r>
              <w:t>:---</w:t>
            </w:r>
          </w:p>
        </w:tc>
        <w:tc>
          <w:tcPr>
            <w:tcW w:type="dxa" w:w="3120"/>
          </w:tcPr>
          <w:p>
            <w:r>
              <w:t>:---:</w:t>
            </w:r>
          </w:p>
        </w:tc>
        <w:tc>
          <w:tcPr>
            <w:tcW w:type="dxa" w:w="3120"/>
          </w:tcPr>
          <w:p>
            <w:r>
              <w:t>:---:</w:t>
            </w:r>
          </w:p>
        </w:tc>
      </w:tr>
      <w:tr>
        <w:tc>
          <w:tcPr>
            <w:tcW w:type="dxa" w:w="3120"/>
          </w:tcPr>
          <w:p>
            <w:r>
              <w:t>Commercial BCBS PPO</w:t>
            </w:r>
          </w:p>
        </w:tc>
        <w:tc>
          <w:tcPr>
            <w:tcW w:type="dxa" w:w="3120"/>
          </w:tcPr>
          <w:p>
            <w:r>
              <w:t>12.1 days (SD 6.8)</w:t>
            </w:r>
          </w:p>
        </w:tc>
        <w:tc>
          <w:tcPr>
            <w:tcW w:type="dxa" w:w="3120"/>
          </w:tcPr>
          <w:p>
            <w:r>
              <w:t>14.5 days (SD 8.2)</w:t>
            </w:r>
          </w:p>
        </w:tc>
      </w:tr>
      <w:tr>
        <w:tc>
          <w:tcPr>
            <w:tcW w:type="dxa" w:w="3120"/>
          </w:tcPr>
          <w:p>
            <w:r>
              <w:t>Medicaid</w:t>
            </w:r>
          </w:p>
        </w:tc>
        <w:tc>
          <w:tcPr>
            <w:tcW w:type="dxa" w:w="3120"/>
          </w:tcPr>
          <w:p>
            <w:r>
              <w:t>23.4 days (SD 11.2)</w:t>
            </w:r>
          </w:p>
        </w:tc>
        <w:tc>
          <w:tcPr>
            <w:tcW w:type="dxa" w:w="3120"/>
          </w:tcPr>
          <w:p>
            <w:r>
              <w:t>36.8 days (SD 18.4)</w:t>
            </w:r>
          </w:p>
        </w:tc>
      </w:tr>
      <w:tr>
        <w:tc>
          <w:tcPr>
            <w:tcW w:type="dxa" w:w="3120"/>
          </w:tcPr>
          <w:p>
            <w:r>
              <w:t>Insurance Wait-Time Gap</w:t>
            </w:r>
          </w:p>
        </w:tc>
        <w:tc>
          <w:tcPr>
            <w:tcW w:type="dxa" w:w="3120"/>
          </w:tcPr>
          <w:p>
            <w:r>
              <w:t>11.3 business days</w:t>
            </w:r>
          </w:p>
        </w:tc>
        <w:tc>
          <w:tcPr>
            <w:tcW w:type="dxa" w:w="3120"/>
          </w:tcPr>
          <w:p>
            <w:r>
              <w:t>22.3 business days</w:t>
            </w:r>
          </w:p>
        </w:tc>
      </w:tr>
    </w:tbl>
    <w:p/>
    <w:p>
      <w:pPr>
        <w:pStyle w:val="ListBullet"/>
        <w:spacing w:line="276" w:lineRule="auto" w:after="60"/>
      </w:pPr>
      <w:r>
        <w:t>Independent Practices: Medicaid patients waited an average of 11.3 days longer than commercially insured patients.</w:t>
      </w:r>
    </w:p>
    <w:p>
      <w:pPr>
        <w:pStyle w:val="ListBullet"/>
        <w:spacing w:line="276" w:lineRule="auto" w:after="60"/>
      </w:pPr>
      <w:r>
        <w:t>PE-Backed Practices: Medicaid patients waited an average of 22.3 days longer than commercially insured patients—nearly doubling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Administrative Barriers</w:t>
      </w:r>
    </w:p>
    <w:p>
      <w:r>
        <w:t>PE-backed clinics were significantly more likely to request administrative documentation or financial commitments prior to scheduling. For Medicaid calls, PE-backed clinics requested a primary care referral or prior authorization in 34.1% (28/82) of scheduled calls compared to 12.4% (18/145) of independent clinics (p &lt; 0.01).</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mechanisms—such as capping the number of Medicaid appointments allowed per month or routing Medicaid scheduling through centralized call centers that enforce additional administrative hurdles—to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