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pPr>
        <w:spacing w:before="240" w:after="120"/>
      </w:pPr>
      <w:r>
        <w:rPr>
          <w:b/>
          <w:sz w:val="28"/>
        </w:rPr>
        <w:t>Introduction</w:t>
      </w:r>
    </w:p>
    <w:p>
      <w:r>
        <w:t>Over the last decade, corporate consolidation and financialization have transformed the delivery of healthcare in the United States. Private equity (PE) firms—investment partnerships that purchase private companies, restructure them, and aim to sell them for a profit within a short time horizon (typically 3 to 7 years)—have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clinics—specifically corporate PE ownership versus traditional independent private practice—influences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 provider gender (enforcing an exact match), medical credentials (MD vs. DO), years in practice (matched within a five-year range), and Open Payments program activity as a proxy for industry engagement and practice profile.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 a patient covered by the state's Medicaid program or as a patient covered by a commercial Blue Cross Blue Shield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r>
        <w:t>The study evaluated two co-primary outcomes: the appointment obtainment rate, defined as a binary indicator of whether the caller was successfully offered a scheduling date, and the appointment wait time, measured in business days between the call date and the first available appointment. Secondary outcomes included administrative barriers encountered during scheduling, such as requirements for upfront copayments, primary care referrals, or prior authorizations.</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(4) and glmmTMB (5) packages in R to account for the nested structure of the data:</w:t>
      </w:r>
    </w:p>
    <w:p>
      <w:r>
        <w:t>Fixed effects included clinic ownership (private equity vs. independent), patient insurance type (Medicaid vs. commercial), and their interaction, while random effects consisted of a matched-pair intercept and an individual clinician intercept to account for correlation within matched pairs and repeated call measures.</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Table 1 presents the actual demographic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r>
        <w:t>Specifically, Medicaid patients at independent practices waited an average of [11.3] days longer than commercially insured patients, whereas Medicaid patients at private equity-backed practices waited an average of [22.3] days longer, representing a near-doubling of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mechanisms—such as capping the number of Medicaid appointments allowed per month or routing Medicaid scheduling through centralized call centers that enforce additional administrative hurdles—to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r>
        <w:t>4. Bates D, Mächler M, Bolker B, Walker S. Fitting Linear Mixed-Effects Models Using lme4. J Stat Softw. 2015;67(1):1-48.</w:t>
      </w:r>
    </w:p>
    <w:p>
      <w:r>
        <w:t>5. Brooks ME, Kristensen K, van Benthem KJ, et al. glmmTMB Balances Speed and Flexibility among Packages for Zero-inflated Generalized Linear Mixed Modeling. R J. 2017;9(2):378-400.</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bl>
    <w:p/>
    <w:p>
      <w:r>
        <w:t>Note: Models adjusted for clinician gender, credentials, state, and years in practice. Random intercepts included for matched pair and individual clinician.</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pPr>
        <w:spacing w:before="240" w:after="120"/>
      </w:pPr>
      <w:r>
        <w:rPr>
          <w:b/>
          <w:sz w:val="28"/>
        </w:rPr>
        <w:t>BibTeX Bibliography</w:t>
      </w:r>
    </w:p>
    <w:p>
      <w:r>
        <w:t>```bibtex</w:t>
      </w:r>
    </w:p>
    <w:p>
      <w:r>
        <w:t>@article{zhu2020private,</w:t>
      </w:r>
    </w:p>
    <w:p>
      <w:r>
        <w:t>title={Private equity acquisitions of ophthalmic practices},</w:t>
      </w:r>
    </w:p>
    <w:p>
      <w:r>
        <w:t>author={Zhu, Jane M and Hua, Laura M and Polsky, Daniel},</w:t>
      </w:r>
    </w:p>
    <w:p>
      <w:r>
        <w:t>journal={JAMA Ophthalmology},</w:t>
      </w:r>
    </w:p>
    <w:p>
      <w:r>
        <w:t>volume={138},</w:t>
      </w:r>
    </w:p>
    <w:p>
      <w:r>
        <w:t>number={10},</w:t>
      </w:r>
    </w:p>
    <w:p>
      <w:r>
        <w:t>pages={1064--1070},</w:t>
      </w:r>
    </w:p>
    <w:p>
      <w:r>
        <w:t>year={2020},</w:t>
      </w:r>
    </w:p>
    <w:p>
      <w:r>
        <w:t>publisher={American Medical Association}</w:t>
      </w:r>
    </w:p>
    <w:p>
      <w:r>
        <w:t>}</w:t>
      </w:r>
    </w:p>
    <w:p>
      <w:r>
        <w:t>@article{bruch2020changes,</w:t>
      </w:r>
    </w:p>
    <w:p>
      <w:r>
        <w:t>title={Changes in hospital income, use, and quality associated with private equity acquisition},</w:t>
      </w:r>
    </w:p>
    <w:p>
      <w:r>
        <w:t>author={Bruch, Joseph D and Gondi, Sameer and Song, Zirui},</w:t>
      </w:r>
    </w:p>
    <w:p>
      <w:r>
        <w:t>journal={JAMA Internal Medicine},</w:t>
      </w:r>
    </w:p>
    <w:p>
      <w:r>
        <w:t>volume={180},</w:t>
      </w:r>
    </w:p>
    <w:p>
      <w:r>
        <w:t>number={11},</w:t>
      </w:r>
    </w:p>
    <w:p>
      <w:r>
        <w:t>pages={1428--1435},</w:t>
      </w:r>
    </w:p>
    <w:p>
      <w:r>
        <w:t>year={2020},</w:t>
      </w:r>
    </w:p>
    <w:p>
      <w:r>
        <w:t>publisher={American Medical Association}</w:t>
      </w:r>
    </w:p>
    <w:p>
      <w:r>
        <w:t>}</w:t>
      </w:r>
    </w:p>
    <w:p>
      <w:r>
        <w:t>@article{acog2019medicaid,</w:t>
      </w:r>
    </w:p>
    <w:p>
      <w:r>
        <w:t>title={ACOG Committee Opinion No. 760: Medicaid Partnership},</w:t>
      </w:r>
    </w:p>
    <w:p>
      <w:r>
        <w:t>author={American College of Obstetricians and Gynecologists},</w:t>
      </w:r>
    </w:p>
    <w:p>
      <w:r>
        <w:t>journal={Obstetrics \&amp; Gynecology},</w:t>
      </w:r>
    </w:p>
    <w:p>
      <w:r>
        <w:t>volume={133},</w:t>
      </w:r>
    </w:p>
    <w:p>
      <w:r>
        <w:t>number={1},</w:t>
      </w:r>
    </w:p>
    <w:p>
      <w:r>
        <w:t>pages={e44--e50},</w:t>
      </w:r>
    </w:p>
    <w:p>
      <w:r>
        <w:t>year={2019}</w:t>
      </w:r>
    </w:p>
    <w:p>
      <w:r>
        <w:t>}</w:t>
      </w:r>
    </w:p>
    <w:p>
      <w:r>
        <w:t>@article{lme4,</w:t>
      </w:r>
    </w:p>
    <w:p>
      <w:r>
        <w:t>title={Fitting Linear Mixed-Effects Models Using lme4},</w:t>
      </w:r>
    </w:p>
    <w:p>
      <w:r>
        <w:t>author={Bates, Douglas and M{\"a}chler, Martin and Bolker, Benjamin and Walker, Steve},</w:t>
      </w:r>
    </w:p>
    <w:p>
      <w:r>
        <w:t>journal={Journal of Statistical Software},</w:t>
      </w:r>
    </w:p>
    <w:p>
      <w:r>
        <w:t>volume={67},</w:t>
      </w:r>
    </w:p>
    <w:p>
      <w:r>
        <w:t>number={1},</w:t>
      </w:r>
    </w:p>
    <w:p>
      <w:r>
        <w:t>pages={1--48},</w:t>
      </w:r>
    </w:p>
    <w:p>
      <w:r>
        <w:t>year={2015},</w:t>
      </w:r>
    </w:p>
    <w:p>
      <w:r>
        <w:t>doi={10.18637/jss.v067.i01}</w:t>
      </w:r>
    </w:p>
    <w:p>
      <w:r>
        <w:t>}</w:t>
      </w:r>
    </w:p>
    <w:p>
      <w:r>
        <w:t>@article{glmmTMB,</w:t>
      </w:r>
    </w:p>
    <w:p>
      <w:r>
        <w:t>title={glmmTMB Balances Speed and Flexibility among Packages for Zero-inflated Generalized Linear Mixed Modeling},</w:t>
      </w:r>
    </w:p>
    <w:p>
      <w:r>
        <w:t>author={Brooks, Mollie E and Kristensen, Kasper and van Benthem, Koen J and Blase, Arni and Berg, Anders and Sigrist, Lukas and Berg, Christian and Bolker, Benjamin M},</w:t>
      </w:r>
    </w:p>
    <w:p>
      <w:r>
        <w:t>journal={The R Journal},</w:t>
      </w:r>
    </w:p>
    <w:p>
      <w:r>
        <w:t>volume={9},</w:t>
      </w:r>
    </w:p>
    <w:p>
      <w:r>
        <w:t>number={2},</w:t>
      </w:r>
    </w:p>
    <w:p>
      <w:r>
        <w:t>pages={378--400},</w:t>
      </w:r>
    </w:p>
    <w:p>
      <w:r>
        <w:t>year={2017},</w:t>
      </w:r>
    </w:p>
    <w:p>
      <w:r>
        <w:t>doi={10.32614/RJ-2017-066}</w:t>
      </w:r>
    </w:p>
    <w:p>
      <w:r>
        <w:t>}</w:t>
      </w:r>
    </w:p>
    <w:p>
      <w:r>
        <w:t>```</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