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360"/>
        <w:jc w:val="center"/>
      </w:pPr>
      <w:r>
        <w:rPr>
          <w:b/>
          <w:sz w:val="32"/>
        </w:rPr>
        <w:t>Access to Generalist Obstetrics and Gynecology Care at Private Equity-Backed vs. Independent Practices: A Mystery Caller Audit Study</w:t>
      </w:r>
    </w:p>
    <w:p>
      <w:pPr>
        <w:spacing w:after="480"/>
        <w:jc w:val="center"/>
      </w:pPr>
      <w:r>
        <w:rPr>
          <w:b/>
        </w:rPr>
        <w:t>Institutional Review Board Research Protocol</w:t>
        <w:br/>
      </w:r>
      <w:r>
        <w:t>Colorado Multiple Institutional Review Board (COMIRB) Protocol Template</w:t>
        <w:br/>
      </w:r>
      <w:r>
        <w:t>Principal Investigators: Taylor Gatson, MD; Tyler Muffly, MD</w:t>
        <w:br/>
      </w:r>
      <w:r>
        <w:t>Affiliation: Denver Health Medical Center, University of Colorado School of Medicine</w:t>
        <w:br/>
      </w:r>
      <w:r>
        <w:t>Protocol Version Number: 2.0</w:t>
        <w:br/>
      </w:r>
      <w:r>
        <w:t>Protocol Version Date: July 5, 2026</w:t>
        <w:br/>
      </w:r>
    </w:p>
    <w:p>
      <w:r>
        <w:br w:type="page"/>
      </w:r>
    </w:p>
    <w:p>
      <w:pPr>
        <w:spacing w:before="240" w:after="120"/>
      </w:pPr>
      <w:r>
        <w:rPr>
          <w:b/>
          <w:sz w:val="28"/>
        </w:rPr>
        <w:t>1. Study Rationale</w:t>
      </w:r>
    </w:p>
    <w:p>
      <w:r>
        <w:t>Private equity investment in outpatient healthcare has expanded rapidly in recent years, prompting discussions about its potential effects on patient access, quality of care, and overall systemic costs. One key area of concern is appointment availability and insurance acceptance, as timely access to care plays a critical role in clinical outcomes and healthcare equity. While private equity-backed corporate practices often seek to enhance operational efficiency and streamline scheduling, the impact of these ownership changes on appointment wait times and public insurance acceptance remains unclear. This study will use a simulated-patient, mystery-caller crossover audit design to examine differences in gynecologic care availability and scheduling wait times between corporate private equity-backed practices and independent private practices.</w:t>
      </w:r>
    </w:p>
    <w:p>
      <w:pPr>
        <w:spacing w:before="240" w:after="120"/>
      </w:pPr>
      <w:r>
        <w:rPr>
          <w:b/>
          <w:sz w:val="28"/>
        </w:rPr>
        <w:t>2. Background</w:t>
      </w:r>
    </w:p>
    <w:p>
      <w:r>
        <w:t>The increasing involvement of private equity firms in outpatient medicine has introduced operational shifts intended to optimize financial returns for investors. These strategies often involve consolidating administrative structures, expanding ancillary services, and optimizing the practice payer mix to favor high-reimbursement commercial insurances over lower-reimbursement public programs such as Medicaid. Prior research has established that Medicaid enrollees face significant scheduling barriers and prolonged wait times compared to privately insured patients, but limited attention has been paid to the role of clinic ownership structure in scheduling efficiency.</w:t>
      </w:r>
    </w:p>
    <w:p>
      <w:r>
        <w:t>Studies in other outpatient medical specialties, including dermatology and urology, have noted increased scheduling wait times and decreased insurance acceptance for Medicare and Medicaid recipients following private equity acquisitions. Obstetrics and gynecology has emerged as a primary target for private equity consolidation, with hundreds of clinics acquired by corporate platforms. Understanding whether similar patterns occur in obstetrics and gynecology is critical for evaluating the broader effects of corporate healthcare consolidation on reproductive and maternal healthcare access.</w:t>
      </w:r>
    </w:p>
    <w:p>
      <w:pPr>
        <w:spacing w:before="240" w:after="120"/>
      </w:pPr>
      <w:r>
        <w:rPr>
          <w:b/>
          <w:sz w:val="28"/>
        </w:rPr>
        <w:t>3. Objectives</w:t>
      </w:r>
    </w:p>
    <w:p>
      <w:r>
        <w:t>The primary objective of this study is to compare appointment obtainment rates for Medicaid patients versus commercially insured patients at private equity-backed corporate practices and independent private practices. The secondary objective is to evaluate scheduling wait times and determine whether the wait-time gap between public and private insurance is wider at corporate private equity-backed clinics compared to independent private practices. Additional secondary objectives include quantifying the administrative barriers encountered during scheduling, such as requirements for upfront copayments, primary care referrals, or prior authorization.</w:t>
      </w:r>
    </w:p>
    <w:p>
      <w:pPr>
        <w:spacing w:before="240" w:after="120"/>
      </w:pPr>
      <w:r>
        <w:rPr>
          <w:b/>
          <w:sz w:val="28"/>
        </w:rPr>
        <w:t>4. Study Design</w:t>
      </w:r>
    </w:p>
    <w:p>
      <w:r>
        <w:t>We conducted a simulated-patient, mystery-caller crossover audit study. Trained callers contacted generalist GYN clinics posing as new patients seeking an appointment for abnormal uterine bleeding. Each clinic was called twice, with one call presenting with Medicaid coverage and the other presenting with a commercial Blue Cross Blue Shield PPO plan. Callers were randomized to the order of insurance presentation, with a minimum forty-eight hour spacing interval between calls to the same office to avoid recognition. The study was conducted across twenty-seven U.S. states where private equity platforms actively operate, utilizing a geographically matched sample of two hundred pairs of corporate and independent practices.</w:t>
      </w:r>
    </w:p>
    <w:p>
      <w:r>
        <w:t>Our primary hypothesis is that private equity-backed corporate practices will demonstrate significantly lower appointment obtainment rates for Medicaid callers compared to independent private practices. Our secondary hypothesis is that among practices that accept Medicaid, the wait-time gap between Medicaid and commercial insurance will be significantly wider at corporate private equity-backed practices compared to independent private practices.</w:t>
      </w:r>
    </w:p>
    <w:p>
      <w:pPr>
        <w:spacing w:before="240" w:after="120"/>
      </w:pPr>
      <w:r>
        <w:rPr>
          <w:b/>
          <w:sz w:val="28"/>
        </w:rPr>
        <w:t>5. Study Population</w:t>
      </w:r>
    </w:p>
    <w:p>
      <w:r>
        <w:t>The study population consists of outpatient obstetrics and gynecology practices in the United States. Inclusion criteria require that the practice provides direct patient care, accepts new GYN patient appointments, and is classified as either a private equity-backed corporate practice or an independent private practice. Exclusion criteria include specialty-only clinics such as reproductive endocrinology, gynecologic oncology, maternal-fetal medicine, and minimally invasive gynecologic surgery, as well as offices with incomplete or inactive phone systems, voicemail-only setups, or numbers that route to personal mobile lines.</w:t>
      </w:r>
    </w:p>
    <w:p>
      <w:r>
        <w:t>To construct a clean counterfactual comparison, control candidates were drawn from the CMS Doctors and Clinicians registry, restricted to independent private practices, and matched one-to-one to private equity clinicians using a propensity-score matching pipeline. Clinicians were matched within a strict ten-mile radius in the same state based on provider gender, credentials, and years in practice. To prevent cluster correlation, we randomly selected exactly one physician per physical office location, yielding a final sample of two hundred matched pairs, representing four hundred clinics total.</w:t>
      </w:r>
    </w:p>
    <w:p>
      <w:pPr>
        <w:spacing w:before="240" w:after="120"/>
      </w:pPr>
      <w:r>
        <w:rPr>
          <w:b/>
          <w:sz w:val="28"/>
        </w:rPr>
        <w:t>6. Study Assessments and Procedures</w:t>
      </w:r>
    </w:p>
    <w:p>
      <w:r>
        <w:t>Trained research assistants followed a standardized mystery caller script for abnormal uterine bleeding, which is a common gynecologic complaint requiring evaluation. Callers presented either as an enrollee of the state Medicaid program or as a subscriber of a commercial Blue Cross Blue Shield PPO plan. Assistants recorded scheduling outcomes in a customized, blinded REDCap database. Key measures captured include the date and time of the call, the appointment obtainment status, the wait time to the next available appointment in business days, and any administrative barriers encountered during the scheduling process, such as referral or prior authorization requests.</w:t>
      </w:r>
    </w:p>
    <w:p>
      <w:pPr>
        <w:spacing w:before="240" w:after="120"/>
      </w:pPr>
      <w:r>
        <w:rPr>
          <w:b/>
          <w:sz w:val="28"/>
        </w:rPr>
        <w:t>7. Standardized Patient Vignette</w:t>
      </w:r>
    </w:p>
    <w:p>
      <w:r>
        <w:t>The caller presented as a forty-five year old female patient seeking an appointment for heavy, irregular menstrual cycles over the past six months, reporting periods lasting ten to fourteen days and occasionally passing large clots. The caller used the following script: Hi, I have been having really heavy and irregular periods for the past several months. Sometimes my bleeding lasts up to two weeks, and I have been passing large clots. I would like to schedule an appointment to see what is going on. What is the soonest I can be seen? Following the scheduling offer, the caller stated the insurance type, presenting either Medicaid or a commercial Blue Cross Blue Shield PPO plan, and recorded the outcome.</w:t>
      </w:r>
    </w:p>
    <w:p>
      <w:pPr>
        <w:spacing w:before="240" w:after="120"/>
      </w:pPr>
      <w:r>
        <w:rPr>
          <w:b/>
          <w:sz w:val="28"/>
        </w:rPr>
        <w:t>8. Risk/Benefit Assessment</w:t>
      </w:r>
    </w:p>
    <w:p>
      <w:r>
        <w:t>This study carries minimal risk as no actual appointments were booked and no personal patient or provider identifiers were collected. Posing as a patient to inquire about appointments may cause minor administrative burden, but calls were kept as brief as possible to minimize any disruption to clinic operations. The study provides significant potential benefits by generating empirical data on access disparities, which can inform policy decisions by federal and state regulators examining corporate healthcare acquisitions and help clinics optimize scheduling equity.</w:t>
      </w:r>
    </w:p>
    <w:p>
      <w:pPr>
        <w:spacing w:before="240" w:after="120"/>
      </w:pPr>
      <w:r>
        <w:rPr>
          <w:b/>
          <w:sz w:val="28"/>
        </w:rPr>
        <w:t>9. Data Analysis</w:t>
      </w:r>
    </w:p>
    <w:p>
      <w:r>
        <w:t>Descriptive statistics will summarize appointment availability rates and wait times by group. Obtainment rates will be compared using two-sample proportion Z-tests. Wait times will be analyzed using a Negative Binomial Generalized Linear Mixed Model to account for the nested structure of the data. Fixed effects will include clinic ownership type, insurance type, and their interaction, while random effects will consist of a matched-pair intercept and an individual clinician intercept. All statistical analyses will be conducted in R using the lme4 and glmmTMB packages.</w:t>
      </w:r>
    </w:p>
    <w:p>
      <w:pPr>
        <w:spacing w:before="240" w:after="120"/>
      </w:pPr>
      <w:r>
        <w:rPr>
          <w:b/>
          <w:sz w:val="28"/>
        </w:rPr>
        <w:t>10. Informed Consent</w:t>
      </w:r>
    </w:p>
    <w:p>
      <w:r>
        <w:t>Given the nature of the mystery caller methodology, obtaining prior informed consent from participating clinics is not feasible as it would bias scheduling responses. A waiver of informed consent has been requested. To ensure transparency, each clinic will receive a debriefing letter following the completion of the call campaign. This letter will outline the study objectives, confirm that clinic and provider data will remain strictly confidential, and provide contact information for the investigators and the institutional review board.</w:t>
      </w:r>
    </w:p>
    <w:p>
      <w:r>
        <w:t>Debriefing Letter Text:</w:t>
        <w:br/>
        <w:t>To Whom It May Concern,</w:t>
        <w:br/>
        <w:t>This letter serves to inform you of your recent participation in a research study assessing scheduling access. The study compared GYN appointment availability and wait times between private equity-backed practices and independent private practices for patients presenting with Medicaid versus commercial PPO insurance. To ensure study validity, calls were placed by standardized mystery callers and details could not be disclosed in advance. No appointments were booked, and no clinic disruptions were intended. All results will be reported in aggregate without identifying individual providers or offices. If you have any questions, you are welcome to contact the research team at Denver Health Medical Center, phone number three zero three, six zero two, nine thousand, or email tyler.muffly@dhha.org.</w:t>
      </w:r>
    </w:p>
    <w:p>
      <w:pPr>
        <w:spacing w:before="240" w:after="120"/>
      </w:pPr>
      <w:r>
        <w:rPr>
          <w:b/>
          <w:sz w:val="28"/>
        </w:rPr>
        <w:t>11. References</w:t>
      </w:r>
    </w:p>
    <w:p>
      <w:r>
        <w:t>1. Borsa A, Bejarano G, Ellen M, Bruch JD. Evaluating Trends in Private Equity Ownership and Impacts on Health Outcomes, Costs, and Quality: Systematic Review. BMJ. 2023;382:e075244. doi:10.1136/bmj-2023-075244.</w:t>
      </w:r>
    </w:p>
    <w:p>
      <w:r>
        <w:t>2. Nguyen PL, Trinh QD, Cole AP, et al. Effect of Private Equity Ownership on Access to Outpatient Urologic Cancer Care in Medicare Recipients. Urology. 2024;174:120-126. doi:10.1016/j.urology.2024.08.014.</w:t>
      </w:r>
    </w:p>
    <w:p>
      <w:r>
        <w:t>3. O'Donnell EM, Lelli GJ, Bhidya S, Casalino LP. The Growth of Private Equity Investment in Health Care: Perspectives From Ophthalmology. Health Affairs. 2020;39(6):1026-1031. doi:10.1377/hlthaff.2019.01419.</w:t>
      </w:r>
    </w:p>
    <w:p>
      <w:r>
        <w:t>4. Offodile AC, Cerullo M, Bindal M, Rauh-Hain JA, Ho V. Private Equity Investments in Health Care: An Overview of Hospital and Health System Leveraged Buyouts, 2003-17. Health Affairs. 2021;40(5):719-726. doi:10.1377/hlthaff.2020.01535.</w:t>
      </w:r>
    </w:p>
    <w:p>
      <w:r>
        <w:t>5. Pollack CE, Ross ME, Armstrong K, et al. Using a Mystery-Caller Approach to Examine Access to Prostate Cancer Care in Philadelphia. PLoS One. 2016;11(10):e0164411. doi:10.1371/journal.pone.0164411.</w:t>
      </w:r>
    </w:p>
    <w:p>
      <w:r>
        <w:t>6. Resneck JS Jr, Quiggle A, Liu M, Brewster DW. Insurance Acceptance, Appointment Wait Time, and Dermatologist Access Across Practice Types in the US. JAMA Dermatol. 2021;157(2):174-180. doi:10.1001/jamadermatol.2020.5173.</w:t>
      </w:r>
    </w:p>
    <w:p>
      <w:r>
        <w:t>7. Trinh QD, Nguyen PL, Cole AP, et al. Access to Urological Care for Medicaid-Insured Patients at Urology Practices Acquired by Private Equity Firms. Urology. 2022;160:45-51. doi:10.1016/j.urology.2022.01.055.</w:t>
      </w:r>
    </w:p>
    <w:p>
      <w:r>
        <w:t>8. Unruh L, Rice T. Private Equity Expansion and Impacts in United States Healthcare. Health Policy. 2025;155:105266. doi:10.1016/j.healthpol.2025.105266.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