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aa82727fe0b951c7ef1dfa0f738c78947fbeb7"/>
    <w:p>
      <w:pPr>
        <w:pStyle w:val="Heading1"/>
      </w:pPr>
      <w:r>
        <w:t xml:space="preserve">Access to Generalist Obstetrics and Gynecology Care at Private Equity-Backed vs. Independent Practices: A Mystery Caller Audit Study</w:t>
      </w:r>
    </w:p>
    <w:p>
      <w:pPr>
        <w:pStyle w:val="FirstParagraph"/>
      </w:pPr>
      <w:r>
        <w:rPr>
          <w:b/>
          <w:bCs/>
        </w:rPr>
        <w:t xml:space="preserve">Authors:</w:t>
      </w:r>
      <w:r>
        <w:t xml:space="preserve"> </w:t>
      </w:r>
      <w:r>
        <w:t xml:space="preserve">Tyler Muffly, MD¹; Lizeth [Last Name], [Credentials]²; Taylor Gatson, [Credentials]²</w:t>
      </w:r>
    </w:p>
    <w:p>
      <w:pPr>
        <w:pStyle w:val="BodyText"/>
      </w:pPr>
      <w:r>
        <w:rPr>
          <w:b/>
          <w:bCs/>
        </w:rPr>
        <w:t xml:space="preserve">Affiliations:</w:t>
      </w:r>
      <w:r>
        <w:t xml:space="preserve"> </w:t>
      </w:r>
      <w:r>
        <w:t xml:space="preserve">¹ Department of Obstetrics and Gynecology, Denver Health and Hospital Authority, Denver, CO</w:t>
      </w:r>
      <w:r>
        <w:t xml:space="preserve"> </w:t>
      </w:r>
      <w:r>
        <w:t xml:space="preserve">² Department of Obstetrics and Gynecology, University of Colorado School of Medicine, Aurora, CO</w:t>
      </w:r>
    </w:p>
    <w:p>
      <w:pPr>
        <w:pStyle w:val="BodyText"/>
      </w:pPr>
      <w:r>
        <w:rPr>
          <w:b/>
          <w:bCs/>
        </w:rPr>
        <w:t xml:space="preserve">Corresponding Author:</w:t>
      </w:r>
      <w:r>
        <w:t xml:space="preserve"> </w:t>
      </w:r>
      <w:r>
        <w:t xml:space="preserve">Tyler Muffly, MD · Denver Health and Hospital Authority · 777 Bannock Street, Denver, CO 80204 · tyler.muffly@dhha.org</w:t>
      </w:r>
    </w:p>
    <w:p>
      <w:pPr>
        <w:pStyle w:val="BodyText"/>
      </w:pPr>
      <w:r>
        <w:rPr>
          <w:b/>
          <w:bCs/>
        </w:rPr>
        <w:t xml:space="preserve">Target Journal:</w:t>
      </w:r>
      <w:r>
        <w:t xml:space="preserve"> </w:t>
      </w:r>
      <w:r>
        <w:rPr>
          <w:i/>
          <w:iCs/>
        </w:rPr>
        <w:t xml:space="preserve">Obstetrics &amp; Gynecology</w:t>
      </w:r>
      <w:r>
        <w:t xml:space="preserve"> </w:t>
      </w:r>
      <w:r>
        <w:t xml:space="preserve">(The Green Journal)</w:t>
      </w:r>
    </w:p>
    <w:p>
      <w:pPr>
        <w:pStyle w:val="BodyText"/>
      </w:pPr>
      <w:r>
        <w:rPr>
          <w:b/>
          <w:bCs/>
        </w:rPr>
        <w:t xml:space="preserve">Word Count (Text Only):</w:t>
      </w:r>
      <w:r>
        <w:t xml:space="preserve"> </w:t>
      </w:r>
      <w:r>
        <w:t xml:space="preserve">[XXXX] ·</w:t>
      </w:r>
      <w:r>
        <w:t xml:space="preserve"> </w:t>
      </w:r>
      <w:r>
        <w:rPr>
          <w:b/>
          <w:bCs/>
        </w:rPr>
        <w:t xml:space="preserve">Abstract Word Count:</w:t>
      </w:r>
      <w:r>
        <w:t xml:space="preserve"> </w:t>
      </w:r>
      <w:r>
        <w:t xml:space="preserve">[XXX] ·</w:t>
      </w:r>
      <w:r>
        <w:t xml:space="preserve"> </w:t>
      </w:r>
      <w:r>
        <w:rPr>
          <w:b/>
          <w:bCs/>
        </w:rPr>
        <w:t xml:space="preserve">Tables:</w:t>
      </w:r>
      <w:r>
        <w:t xml:space="preserve"> </w:t>
      </w:r>
      <w:r>
        <w:t xml:space="preserve">4 ·</w:t>
      </w:r>
      <w:r>
        <w:t xml:space="preserve"> </w:t>
      </w:r>
      <w:r>
        <w:rPr>
          <w:b/>
          <w:bCs/>
        </w:rPr>
        <w:t xml:space="preserve">Figures:</w:t>
      </w:r>
      <w:r>
        <w:t xml:space="preserve"> </w:t>
      </w:r>
      <w:r>
        <w:t xml:space="preserve">2</w:t>
      </w:r>
      <w:r>
        <w:t xml:space="preserve"> </w:t>
      </w:r>
      <w:r>
        <w:rPr>
          <w:b/>
          <w:bCs/>
        </w:rPr>
        <w:t xml:space="preserve">Funding/Financial Support:</w:t>
      </w:r>
      <w:r>
        <w:t xml:space="preserve"> </w:t>
      </w:r>
      <w:r>
        <w:t xml:space="preserve">None.</w:t>
      </w:r>
      <w:r>
        <w:t xml:space="preserve"> </w:t>
      </w:r>
      <w:r>
        <w:rPr>
          <w:b/>
          <w:bCs/>
        </w:rPr>
        <w:t xml:space="preserve">Conflict of Interest:</w:t>
      </w:r>
      <w:r>
        <w:t xml:space="preserve"> </w:t>
      </w:r>
      <w:r>
        <w:t xml:space="preserve">The authors have no conflicts of interest to disclose.</w:t>
      </w:r>
      <w:r>
        <w:t xml:space="preserve"> </w:t>
      </w:r>
      <w:r>
        <w:rPr>
          <w:b/>
          <w:bCs/>
        </w:rPr>
        <w:t xml:space="preserve">IRB Approval:</w:t>
      </w:r>
      <w:r>
        <w:t xml:space="preserve"> </w:t>
      </w:r>
      <w:r>
        <w:t xml:space="preserve">Approved by the Colorado Multiple Institutional Review Board (COMIRB Protocol No. [XXXXX]) with a waiver of provider and patient consent.</w:t>
      </w:r>
    </w:p>
    <w:bookmarkStart w:id="9" w:name="précis"/>
    <w:p>
      <w:pPr>
        <w:pStyle w:val="Heading2"/>
      </w:pPr>
      <w:r>
        <w:t xml:space="preserve">Précis</w:t>
      </w:r>
    </w:p>
    <w:p>
      <w:pPr>
        <w:pStyle w:val="FirstParagraph"/>
      </w:pPr>
      <w:r>
        <w:t xml:space="preserve">Private equity ownership of generalist OB-GYN practices is associated with a [31.5]-percentage-point reduction in Medicaid acceptance and a near-doubling of the insurance-based scheduling wait-time gap.</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new-patient scheduling access and wait times for Medicaid versus commercially insured patients at private equity (PE)-backed and independent obstetrics and gynecology (OB-GYN) practices.</w:t>
      </w:r>
    </w:p>
    <w:p>
      <w:pPr>
        <w:pStyle w:val="BodyText"/>
      </w:pPr>
      <w:r>
        <w:rPr>
          <w:b/>
          <w:bCs/>
        </w:rPr>
        <w:t xml:space="preserve">Methods:</w:t>
      </w:r>
      <w:r>
        <w:t xml:space="preserve"> </w:t>
      </w:r>
      <w:r>
        <w:t xml:space="preserve">We conducted a simulated-patient (mystery caller) crossover audit of [200] matched clinician pairs ([400] clinicians) across 26 states. Trained callers requested new-patient gynecology appointments, presenting either Medicaid or commercial preferred-provider-organization (PPO) insurance. Co-primary outcomes were the appointment obtainment rate and the wait time in business days. The primary obtainment comparison was PE vs. independent ownership among Medicaid calls, estimated with a matched-pair mixed-effects logistic model; wait times were modeled with a negative-binomial generalized linear mixed model (GLMM) testing the ownership-by-insurance interaction.</w:t>
      </w:r>
    </w:p>
    <w:p>
      <w:pPr>
        <w:pStyle w:val="BodyText"/>
      </w:pPr>
      <w:r>
        <w:rPr>
          <w:b/>
          <w:bCs/>
        </w:rPr>
        <w:t xml:space="preserve">Results:</w:t>
      </w:r>
      <w:r>
        <w:t xml:space="preserve"> </w:t>
      </w:r>
      <w:r>
        <w:t xml:space="preserve">Commercial insurance was accepted nearly universally, with no difference by ownership ([98.5]% independent vs. [99.0]% PE, [p = 0.68]). Medicaid acceptance was substantially lower at PE-backed than independent clinics ([41.0]% vs. [72.5]%; absolute difference [-31.5]%; OR [0.26], 95% CI [0.17 to 0.40], [p &lt; 0.001]). Among clinics that scheduled an appointment, the insurance wait-time gap was wider at PE-backed clinics ([22.3] vs. [11.3] business days; interaction IRR [1.31], 95% CI [1.07 to 1.56], [p = 0.008]).</w:t>
      </w:r>
    </w:p>
    <w:p>
      <w:pPr>
        <w:pStyle w:val="BodyText"/>
      </w:pPr>
      <w:r>
        <w:rPr>
          <w:b/>
          <w:bCs/>
        </w:rPr>
        <w:t xml:space="preserve">Conclusion:</w:t>
      </w:r>
      <w:r>
        <w:t xml:space="preserve"> </w:t>
      </w:r>
      <w:r>
        <w:t xml:space="preserve">Private equity ownership of generalist OB-GYN practices is associated with lower Medicaid acceptance and a widened wait-time disparity between publicly and commercially insured patients.</w:t>
      </w:r>
    </w:p>
    <w:bookmarkEnd w:id="10"/>
    <w:bookmarkStart w:id="11" w:name="introduction"/>
    <w:p>
      <w:pPr>
        <w:pStyle w:val="Heading2"/>
      </w:pPr>
      <w:r>
        <w:t xml:space="preserve">Introduction</w:t>
      </w:r>
    </w:p>
    <w:p>
      <w:pPr>
        <w:pStyle w:val="FirstParagraph"/>
      </w:pPr>
      <w:r>
        <w:t xml:space="preserve">Over the past decade, corporate consolidation and financialization have reshaped the delivery of health care in the United States. Private equity (PE) firms, which are investment partnerships that acquire companies, restructure operations, and aim to resell them at a profit within a short horizon (typically three to seven years), have expanded aggressively into outpatient physician practice, acquiring hundreds of groups across specialties.</w:t>
      </w:r>
      <w:r>
        <w:rPr>
          <w:vertAlign w:val="superscript"/>
        </w:rPr>
        <w:t xml:space="preserve">1,2</w:t>
      </w:r>
      <w:r>
        <w:t xml:space="preserve"> </w:t>
      </w:r>
      <w:r>
        <w:t xml:space="preserve">Obstetrics and gynecology (OB-GYN) has become a prominent target of this activity, with multiple national women’s-health</w:t>
      </w:r>
      <w:r>
        <w:t xml:space="preserve"> </w:t>
      </w:r>
      <w:r>
        <w:t xml:space="preserve">“platforms”</w:t>
      </w:r>
      <w:r>
        <w:t xml:space="preserve"> </w:t>
      </w:r>
      <w:r>
        <w:t xml:space="preserve">assembling large networks of acquired clinics.</w:t>
      </w:r>
      <w:r>
        <w:rPr>
          <w:vertAlign w:val="superscript"/>
        </w:rPr>
        <w:t xml:space="preserve">1</w:t>
      </w:r>
    </w:p>
    <w:p>
      <w:pPr>
        <w:pStyle w:val="BodyText"/>
      </w:pPr>
      <w:r>
        <w:t xml:space="preserve">The returns underlying the PE model are typically pursued through administrative consolidation, expansion of ancillary services, intensified clinician productivity, and optimization of the</w:t>
      </w:r>
      <w:r>
        <w:t xml:space="preserve"> </w:t>
      </w:r>
      <w:r>
        <w:t xml:space="preserve">“payer mix”</w:t>
      </w:r>
      <w:r>
        <w:t xml:space="preserve"> </w:t>
      </w:r>
      <w:r>
        <w:t xml:space="preserve">toward higher-reimbursement commercial insurance and away from lower-reimbursement public programs such as Medicaid. A growing evidence base links PE ownership in health care to higher costs and mixed-to-worse quality across settings, including hospitals and physician specialties.</w:t>
      </w:r>
      <w:r>
        <w:rPr>
          <w:vertAlign w:val="superscript"/>
        </w:rPr>
        <w:t xml:space="preserve">3–5</w:t>
      </w:r>
      <w:r>
        <w:t xml:space="preserve"> </w:t>
      </w:r>
      <w:r>
        <w:t xml:space="preserve">Parallel analyses in dermatology and ophthalmology have documented rapid PE penetration and downstream changes in utilization and spending, raising the question of whether similar dynamics affect access in women’s health.</w:t>
      </w:r>
      <w:r>
        <w:rPr>
          <w:vertAlign w:val="superscript"/>
        </w:rPr>
        <w:t xml:space="preserve">6,7</w:t>
      </w:r>
    </w:p>
    <w:p>
      <w:pPr>
        <w:pStyle w:val="BodyText"/>
      </w:pPr>
      <w:r>
        <w:t xml:space="preserve">Medicaid finances approximately 41% of births in the United States and is a cornerstone of reproductive health-care access.</w:t>
      </w:r>
      <w:r>
        <w:rPr>
          <w:vertAlign w:val="superscript"/>
        </w:rPr>
        <w:t xml:space="preserve">8</w:t>
      </w:r>
      <w:r>
        <w:t xml:space="preserve"> </w:t>
      </w:r>
      <w:r>
        <w:t xml:space="preserve">Audit (</w:t>
      </w:r>
      <w:r>
        <w:t xml:space="preserve">“secret shopper”</w:t>
      </w:r>
      <w:r>
        <w:t xml:space="preserve">) studies have repeatedly shown that Medicaid enrollees face higher appointment-denial rates and longer waits than commercially insured patients across specialties.</w:t>
      </w:r>
      <w:r>
        <w:rPr>
          <w:vertAlign w:val="superscript"/>
        </w:rPr>
        <w:t xml:space="preserve">9,10</w:t>
      </w:r>
      <w:r>
        <w:t xml:space="preserve"> </w:t>
      </w:r>
      <w:r>
        <w:t xml:space="preserve">Yet no study has examined whether the</w:t>
      </w:r>
      <w:r>
        <w:t xml:space="preserve"> </w:t>
      </w:r>
      <w:r>
        <w:rPr>
          <w:i/>
          <w:iCs/>
        </w:rPr>
        <w:t xml:space="preserve">ownership structure</w:t>
      </w:r>
      <w:r>
        <w:t xml:space="preserve"> </w:t>
      </w:r>
      <w:r>
        <w:t xml:space="preserve">of OB-GYN practices, namely corporate PE ownership versus traditional independent private practice, shapes these disparities. We addressed this gap with a mystery-caller audit testing two pre-specified hypotheses: (1) PE-backed generalist gynecology clinics decline new Medicaid patients more often than matched independent practices; and (2) among practices that do schedule Medicaid patients, the wait-time gap between public and commercial insurance is wider at PE-backed clinics.</w:t>
      </w:r>
    </w:p>
    <w:bookmarkEnd w:id="11"/>
    <w:bookmarkStart w:id="17" w:name="methods"/>
    <w:p>
      <w:pPr>
        <w:pStyle w:val="Heading2"/>
      </w:pPr>
      <w:r>
        <w:t xml:space="preserve">Methods</w:t>
      </w:r>
    </w:p>
    <w:bookmarkStart w:id="12" w:name="study-design"/>
    <w:p>
      <w:pPr>
        <w:pStyle w:val="Heading3"/>
      </w:pPr>
      <w:r>
        <w:t xml:space="preserve">Study Design</w:t>
      </w:r>
    </w:p>
    <w:p>
      <w:pPr>
        <w:pStyle w:val="FirstParagraph"/>
      </w:pPr>
      <w:r>
        <w:t xml:space="preserve">We conducted a simulated-patient (mystery caller) crossover audit. Trained callers contacted generalist OB-GYN clinics posing as new patients. Each clinic was called twice: once presenting Medicaid and once presenting commercial Blue Cross Blue Shield (BCBS) PPO coverage. To minimize temporal and seasonal confounding, all calls were completed within a single week in July 2026. The Colorado Multiple Institutional Review Board (COMIRB) approved the protocol (No. [XXXXX]) under a waiver of patient and provider consent, consistent with established audit-study methodology.</w:t>
      </w:r>
      <w:r>
        <w:rPr>
          <w:vertAlign w:val="superscript"/>
        </w:rPr>
        <w:t xml:space="preserve">9</w:t>
      </w:r>
    </w:p>
    <w:bookmarkEnd w:id="12"/>
    <w:bookmarkStart w:id="13" w:name="cohort-identification-and-matching"/>
    <w:p>
      <w:pPr>
        <w:pStyle w:val="Heading3"/>
      </w:pPr>
      <w:r>
        <w:t xml:space="preserve">Cohort Identification and Matching</w:t>
      </w:r>
    </w:p>
    <w:p>
      <w:pPr>
        <w:pStyle w:val="FirstParagraph"/>
      </w:pPr>
      <w:r>
        <w:t xml:space="preserve">PE-backed OB-GYN clinics were identified using the PitchBook financial database to track acquisitions by major women’s-health platforms, and each platform’s active clinician roster was compiled from its public consumer directory. To construct a clean counterfactual, control candidates were drawn from the CMS Doctors and Clinicians registry, restricted to independent private practices (excluding academic and hospital-system settings), and matched 1-to-1 to PE clinicians using a propensity-score matching pipeline.</w:t>
      </w:r>
    </w:p>
    <w:p>
      <w:pPr>
        <w:pStyle w:val="BodyText"/>
      </w:pPr>
      <w:r>
        <w:t xml:space="preserve">Clinicians were matched within a strict 10-mile radius in the same state on provider gender (exact match), credential (MD vs. DO), years in practice (within a five-year band), and Open Payments activity as a proxy for industry engagement. To prevent within-office clustering, exactly one physician was randomly selected per physical office location. From a matched pool of 511 pairs across 26 U.S. states, we fielded 200 pairs (400 clinicians). The 311 unfielded pairs were retained as a replacement pool, though a replacement is eligible only if it does not introduce an office already represented in the fielded sample; 92 pairs meet that condition, all of them in Florida. Because PE ownership was geographically concentrated, most heavily in Florida, the fielded sample was drawn to maximize representation across states rather than by simple random selection, so that no single market dominated the cohort.</w:t>
      </w:r>
    </w:p>
    <w:bookmarkEnd w:id="13"/>
    <w:bookmarkStart w:id="14" w:name="call-protocol-and-vignette"/>
    <w:p>
      <w:pPr>
        <w:pStyle w:val="Heading3"/>
      </w:pPr>
      <w:r>
        <w:t xml:space="preserve">Call Protocol and Vignette</w:t>
      </w:r>
    </w:p>
    <w:p>
      <w:pPr>
        <w:pStyle w:val="FirstParagraph"/>
      </w:pPr>
      <w:r>
        <w:t xml:space="preserve">Callers followed a standardized script requesting a new-patient appointment for abnormal uterine bleeding (AUB), a common gynecologic complaint that warrants timely evaluation without constituting an emergency. Each caller presented either as a Medicaid enrollee or as a commercial BCBS PPO enrollee. Insurance-presentation order was randomized, with a minimum 48-hour interval between the two calls to a given office to reduce recognition. Outcomes were recorded in a customized, blinded REDCap database. To ensure data integrity, clinician phone numbers were cross-referenced against three independent sources (NPPES, CMS billing records, and platform websites); of the numbers checked, 73.3% matched across two or more sources and 100% matched at least one registry.</w:t>
      </w:r>
    </w:p>
    <w:bookmarkEnd w:id="14"/>
    <w:bookmarkStart w:id="15" w:name="primary-and-secondary-outcomes"/>
    <w:p>
      <w:pPr>
        <w:pStyle w:val="Heading3"/>
      </w:pPr>
      <w:r>
        <w:t xml:space="preserve">Primary and Secondary Outcomes</w:t>
      </w:r>
    </w:p>
    <w:p>
      <w:pPr>
        <w:pStyle w:val="FirstParagraph"/>
      </w:pPr>
      <w:r>
        <w:t xml:space="preserve">The two co-primary outcomes were (1) the appointment obtainment rate, a binary indicator of whether a scheduling date was offered, and (2) the appointment wait time, measured in business days from the call date to the first available appointment. Secondary outcomes included administrative barriers to scheduling (for example, required upfront copayment, primary-care referral, or prior authorization).</w:t>
      </w:r>
    </w:p>
    <w:bookmarkEnd w:id="15"/>
    <w:bookmarkStart w:id="16" w:name="statistical-analysis"/>
    <w:p>
      <w:pPr>
        <w:pStyle w:val="Heading3"/>
      </w:pPr>
      <w:r>
        <w:t xml:space="preserve">Statistical Analysis</w:t>
      </w:r>
    </w:p>
    <w:p>
      <w:pPr>
        <w:pStyle w:val="FirstParagraph"/>
      </w:pPr>
      <w:r>
        <w:t xml:space="preserve">Analyses follow a pre-specified hierarchy, fixed before any call was placed.</w:t>
      </w:r>
    </w:p>
    <w:p>
      <w:pPr>
        <w:pStyle w:val="BodyText"/>
      </w:pPr>
      <w:r>
        <w:t xml:space="preserve">The primary obtainment estimand is the difference in appointment obtainment between PE-backed and independent clinicians among Medicaid calls only, estimated with a mixed-effects logistic model containing a random intercept for the matched pair. Because each clinician contributes exactly one Medicaid call, no clinician-level random effect is identifiable in this model. A McNemar test on discordant matched pairs is reported as a distribution-free confirmation, and the absolute risk difference is reported alongside the odds ratio.</w:t>
      </w:r>
    </w:p>
    <w:p>
      <w:pPr>
        <w:pStyle w:val="BodyText"/>
      </w:pPr>
      <w:r>
        <w:t xml:space="preserve">The primary wait-time estimand is the ownership-by-insurance interaction, estimated with a negative-binomial GLMM using the</w:t>
      </w:r>
      <w:r>
        <w:t xml:space="preserve"> </w:t>
      </w:r>
      <w:r>
        <w:rPr>
          <w:i/>
          <w:iCs/>
        </w:rPr>
        <w:t xml:space="preserve">lme4</w:t>
      </w:r>
      <w:r>
        <w:rPr>
          <w:vertAlign w:val="superscript"/>
        </w:rPr>
        <w:t xml:space="preserve">11</w:t>
      </w:r>
      <w:r>
        <w:t xml:space="preserve"> </w:t>
      </w:r>
      <w:r>
        <w:t xml:space="preserve">and</w:t>
      </w:r>
      <w:r>
        <w:t xml:space="preserve"> </w:t>
      </w:r>
      <w:r>
        <w:rPr>
          <w:i/>
          <w:iCs/>
        </w:rPr>
        <w:t xml:space="preserve">glmmTMB</w:t>
      </w:r>
      <w:r>
        <w:rPr>
          <w:vertAlign w:val="superscript"/>
        </w:rPr>
        <w:t xml:space="preserve">12</w:t>
      </w:r>
      <w:r>
        <w:t xml:space="preserve"> </w:t>
      </w:r>
      <w:r>
        <w:t xml:space="preserve">packages in R. Fixed effects are clinic ownership (PE vs. independent), insurance type (Medicaid vs. commercial), their interaction, and the CDC Social Vulnerability Index percentile; random intercepts for the matched pair and the individual clinician account for correlation within pairs and repeated measures.</w:t>
      </w:r>
    </w:p>
    <w:p>
      <w:pPr>
        <w:pStyle w:val="BodyText"/>
      </w:pPr>
      <w:r>
        <w:t xml:space="preserve">The ownership-by-insurance interaction for obtainment is reported as a secondary analysis. Because commercial acceptance is nearly universal, that interaction is identified almost entirely from the Medicaid arm and is expected to be imprecise. In simulation under the anticipated cell proportions at 200 pairs, the primary Medicaid obtainment contrast reached essentially complete power and the wait-time interaction reached approximately 77 percent, whereas the obtainment interaction reached approximately 40 percent and failed to return an estimable standard error in roughly one simulated dataset in eight.</w:t>
      </w:r>
    </w:p>
    <w:p>
      <w:pPr>
        <w:pStyle w:val="BodyText"/>
      </w:pPr>
      <w:r>
        <w:t xml:space="preserve">Wait time is defined conditional on obtaining an appointment. Because obtainment itself differs by insurance and by ownership, conditional wait-time comparisons are made within a selected subgroup, and the selection is heaviest in the PE Medicaid cell. We therefore pre-specify an unconditional access analysis among Medicaid calls in which failure to obtain an appointment is ranked as the worst access outcome rather than treated as missing data. Variance components and intraclass correlation coefficients are reported as exploratory: with two calls per clinician they are weakly identified. All tests were two-sided at α = 0.05.</w:t>
      </w:r>
    </w:p>
    <w:bookmarkEnd w:id="16"/>
    <w:bookmarkEnd w:id="17"/>
    <w:bookmarkStart w:id="22" w:name="results"/>
    <w:p>
      <w:pPr>
        <w:pStyle w:val="Heading2"/>
      </w:pPr>
      <w:r>
        <w:t xml:space="preserve">Results</w:t>
      </w:r>
    </w:p>
    <w:bookmarkStart w:id="18" w:name="baseline-cohort-demographics-table-1"/>
    <w:p>
      <w:pPr>
        <w:pStyle w:val="Heading3"/>
      </w:pPr>
      <w:r>
        <w:t xml:space="preserve">Baseline Cohort Demographics (Table 1)</w:t>
      </w:r>
    </w:p>
    <w:p>
      <w:pPr>
        <w:pStyle w:val="FirstParagraph"/>
      </w:pPr>
      <w:r>
        <w:t xml:space="preserve">The propensity-score matching pipeline yielded well-balanced baseline characteristics across the [400] fielded clinicians (200 PE-employed, 200 independent controls); no matched covariate differed significantly between groups (Table 1).</w:t>
      </w:r>
    </w:p>
    <w:bookmarkEnd w:id="18"/>
    <w:bookmarkStart w:id="19" w:name="X2576078a6118f7ed6948356a29eb452418cf0b7"/>
    <w:p>
      <w:pPr>
        <w:pStyle w:val="Heading3"/>
      </w:pPr>
      <w:r>
        <w:t xml:space="preserve">Appointment Obtainment (Medicaid Acceptance) (Table 2)</w:t>
      </w:r>
    </w:p>
    <w:p>
      <w:pPr>
        <w:pStyle w:val="FirstParagraph"/>
      </w:pPr>
      <w:r>
        <w:t xml:space="preserve">Across the [800] calls ([400] independent, [400] PE-backed), commercial BCBS PPO coverage was accepted nearly universally, with no difference by ownership: [98.5]% ([197]/[200]) at independent clinics vs. [99.0]% ([198]/[200]) at PE-backed clinics ([p = 0.68]). Medicaid acceptance, however, differed markedly: [72.5]% (145/[200]) at independent clinics vs. only [41.0]% (82/[200]) at PE-backed clinics, an absolute reduction of [-31.5]% (95% CI [-40.5]% to [-22.5]%, [p &lt; 0.001]) under corporate ownership (Table 2).</w:t>
      </w:r>
    </w:p>
    <w:bookmarkEnd w:id="19"/>
    <w:bookmarkStart w:id="20" w:name="scheduling-wait-times-table-3"/>
    <w:p>
      <w:pPr>
        <w:pStyle w:val="Heading3"/>
      </w:pPr>
      <w:r>
        <w:t xml:space="preserve">Scheduling Wait Times (Table 3)</w:t>
      </w:r>
    </w:p>
    <w:p>
      <w:pPr>
        <w:pStyle w:val="FirstParagraph"/>
      </w:pPr>
      <w:r>
        <w:t xml:space="preserve">Among clinics that scheduled new-patient gynecology appointments, Medicaid patients waited longer than commercially insured patients, and this disparity was amplified under PE ownership (Table 3). At independent practices, Medicaid patients waited on average [11.3] days longer than commercially insured patients; at PE-backed practices the gap was [22.3] days, a near-doubling. The negative-binomial GLMM confirmed a significant ownership-by-insurance interaction, indicating expansion of the wait-time gap at corporate offices (IRR [1.31], 95% CI [1.07 to 1.56], [p = 0.008]). These wait times are conditional on the clinic offering an appointment, and the conditioning is heaviest in the PE Medicaid cell, where only [82] of [200] calls yielded a scheduled date.</w:t>
      </w:r>
    </w:p>
    <w:bookmarkEnd w:id="20"/>
    <w:bookmarkStart w:id="21" w:name="mixed-effects-regression-table-4"/>
    <w:p>
      <w:pPr>
        <w:pStyle w:val="Heading3"/>
      </w:pPr>
      <w:r>
        <w:t xml:space="preserve">Mixed-Effects Regression (Table 4)</w:t>
      </w:r>
    </w:p>
    <w:p>
      <w:pPr>
        <w:pStyle w:val="FirstParagraph"/>
      </w:pPr>
      <w:r>
        <w:t xml:space="preserve">Table 4 presents odds ratios for obtainment and incidence rate ratios for wait time from the adjusted regression models.</w:t>
      </w:r>
    </w:p>
    <w:bookmarkEnd w:id="21"/>
    <w:bookmarkEnd w:id="22"/>
    <w:bookmarkStart w:id="25" w:name="discussion"/>
    <w:p>
      <w:pPr>
        <w:pStyle w:val="Heading2"/>
      </w:pPr>
      <w:r>
        <w:t xml:space="preserve">Discussion</w:t>
      </w:r>
    </w:p>
    <w:p>
      <w:pPr>
        <w:pStyle w:val="FirstParagraph"/>
      </w:pPr>
      <w:r>
        <w:t xml:space="preserve">This mystery-caller audit provides among the first empirical evidence that corporate, private equity ownership of generalist OB-GYN practices is associated with restricted access for publicly insured patients. We observed a</w:t>
      </w:r>
      <w:r>
        <w:t xml:space="preserve"> </w:t>
      </w:r>
      <w:r>
        <w:rPr>
          <w:i/>
          <w:iCs/>
        </w:rPr>
        <w:t xml:space="preserve">dual-barrier</w:t>
      </w:r>
      <w:r>
        <w:t xml:space="preserve"> </w:t>
      </w:r>
      <w:r>
        <w:t xml:space="preserve">effect: PE-backed clinics were substantially less likely to accept Medicaid patients, and when they did, they imposed scheduling delays roughly twice as long as those at matched independent practices. The magnitude of the Medicaid access gap is consistent with prior secret-shopper work documenting large public-versus-private disparities in appointment availability and wait time across specialties.</w:t>
      </w:r>
      <w:r>
        <w:rPr>
          <w:vertAlign w:val="superscript"/>
        </w:rPr>
        <w:t xml:space="preserve">9,10</w:t>
      </w:r>
    </w:p>
    <w:p>
      <w:pPr>
        <w:pStyle w:val="BodyText"/>
      </w:pPr>
      <w:r>
        <w:t xml:space="preserve">These findings align with the incentives embedded in the PE model and with a broadening literature linking PE ownership to higher costs and mixed-to-worse quality and outcomes across health-care settings.</w:t>
      </w:r>
      <w:r>
        <w:rPr>
          <w:vertAlign w:val="superscript"/>
        </w:rPr>
        <w:t xml:space="preserve">3–5</w:t>
      </w:r>
      <w:r>
        <w:t xml:space="preserve"> </w:t>
      </w:r>
      <w:r>
        <w:t xml:space="preserve">Operating under substantial debt and compressed investment horizons, corporate managers are incentivized to pursue</w:t>
      </w:r>
      <w:r>
        <w:t xml:space="preserve"> </w:t>
      </w:r>
      <w:r>
        <w:t xml:space="preserve">“payer-mix optimization,”</w:t>
      </w:r>
      <w:r>
        <w:t xml:space="preserve"> </w:t>
      </w:r>
      <w:r>
        <w:t xml:space="preserve">for example by capping monthly Medicaid slots or routing public-insurance scheduling through centralized call centers that add administrative friction, to prioritize higher-reimbursement commercial volume. While such strategies may improve corporate margins, they can exacerbate systemic inequities: Medicaid enrollees seeking evaluation for abnormal uterine bleeding may face delayed diagnosis of endometrial hyperplasia or malignancy, or be displaced to emergency and hospital-based settings that raise total system cost.</w:t>
      </w:r>
    </w:p>
    <w:bookmarkStart w:id="23" w:name="policy-and-clinical-implications"/>
    <w:p>
      <w:pPr>
        <w:pStyle w:val="Heading3"/>
      </w:pPr>
      <w:r>
        <w:t xml:space="preserve">Policy and Clinical Implications</w:t>
      </w:r>
    </w:p>
    <w:p>
      <w:pPr>
        <w:pStyle w:val="FirstParagraph"/>
      </w:pPr>
      <w:r>
        <w:t xml:space="preserve">Our results bear directly on intensifying federal and state scrutiny of health-care consolidation. As the Federal Trade Commission and state legislatures examine PE acquisitions, evidence that ownership structure degrades access for publicly insured populations may inform remedies such as Medicaid-acceptance conditions or transparency requirements for scheduling wait times as a condition of corporate acquisition.</w:t>
      </w:r>
    </w:p>
    <w:bookmarkEnd w:id="23"/>
    <w:bookmarkStart w:id="24" w:name="limitations"/>
    <w:p>
      <w:pPr>
        <w:pStyle w:val="Heading3"/>
      </w:pPr>
      <w:r>
        <w:t xml:space="preserve">Limitations</w:t>
      </w:r>
    </w:p>
    <w:p>
      <w:pPr>
        <w:pStyle w:val="FirstParagraph"/>
      </w:pPr>
      <w:r>
        <w:t xml:space="preserve">This study has limitations. First, the audit used a single clinical vignette (AUB) and a single calling week, which may not capture seasonal variation or access for other presentations. Second, although controls were closely matched on geography and physician characteristics, unmeasured local-market factors could influence scheduling. Third, PE ownership is geographically concentrated: Florida contributed a disproportionate share of eligible pairs, so despite balancing efforts the cohort over-represents a small number of markets, and findings may not generalize to states without corporate consolidation. Fourth, wait time can only be measured at clinics that offered an appointment, and willingness to offer one differed by both insurance and ownership. The wait-time comparison is therefore made within a selected subgroup, and the selection is strongest exactly where the effect is largest: the PE Medicaid cell contributed the fewest scheduled appointments. If the clinics that decline Medicaid are also those that would have quoted the longest waits, the conditional analysis understates the true access gap. We report an unconditional access analysis among Medicaid calls, in which failure to obtain an appointment is ranked as the worst outcome, to keep this selection visible rather than implicit. Finally, mystery-caller designs capture scheduling behavior at the point of contact and cannot observe downstream care quality.</w:t>
      </w:r>
    </w:p>
    <w:bookmarkEnd w:id="24"/>
    <w:bookmarkEnd w:id="25"/>
    <w:bookmarkStart w:id="51" w:name="references"/>
    <w:p>
      <w:pPr>
        <w:pStyle w:val="Heading2"/>
      </w:pPr>
      <w:r>
        <w:t xml:space="preserve">References</w:t>
      </w:r>
    </w:p>
    <w:bookmarkStart w:id="50" w:name="refs"/>
    <w:bookmarkStart w:id="27" w:name="ref-zhu2020specialties"/>
    <w:p>
      <w:pPr>
        <w:pStyle w:val="Bibliography"/>
      </w:pPr>
      <w:r>
        <w:t xml:space="preserve">1.</w:t>
      </w:r>
      <w:r>
        <w:t xml:space="preserve"> </w:t>
      </w:r>
      <w:r>
        <w:t xml:space="preserve">	</w:t>
      </w:r>
      <w:r>
        <w:t xml:space="preserve">Zhu JM, Hua LM, Polsky D. Private equity acquisitions of physician medical groups across specialties, 2013-2016.</w:t>
      </w:r>
      <w:r>
        <w:t xml:space="preserve"> </w:t>
      </w:r>
      <w:r>
        <w:rPr>
          <w:i/>
          <w:iCs/>
        </w:rPr>
        <w:t xml:space="preserve">JAMA</w:t>
      </w:r>
      <w:r>
        <w:t xml:space="preserve">. 2020;323(7):663-665. doi:</w:t>
      </w:r>
      <w:hyperlink r:id="rId26">
        <w:r>
          <w:rPr>
            <w:rStyle w:val="Hyperlink"/>
          </w:rPr>
          <w:t xml:space="preserve">10.1001/jama.2019.21844</w:t>
        </w:r>
      </w:hyperlink>
    </w:p>
    <w:bookmarkEnd w:id="27"/>
    <w:bookmarkStart w:id="29" w:name="ref-zhu2021ecosystem"/>
    <w:p>
      <w:pPr>
        <w:pStyle w:val="Bibliography"/>
      </w:pPr>
      <w:r>
        <w:t xml:space="preserve">2.</w:t>
      </w:r>
      <w:r>
        <w:t xml:space="preserve"> </w:t>
      </w:r>
      <w:r>
        <w:t xml:space="preserve">	</w:t>
      </w:r>
      <w:r>
        <w:t xml:space="preserve">Zhu JM, Polsky D. Private equity and physician medical practices—navigating a changing ecosystem.</w:t>
      </w:r>
      <w:r>
        <w:t xml:space="preserve"> </w:t>
      </w:r>
      <w:r>
        <w:rPr>
          <w:i/>
          <w:iCs/>
        </w:rPr>
        <w:t xml:space="preserve">New England Journal of Medicine</w:t>
      </w:r>
      <w:r>
        <w:t xml:space="preserve">. 2021;384(11):981-983. doi:</w:t>
      </w:r>
      <w:hyperlink r:id="rId28">
        <w:r>
          <w:rPr>
            <w:rStyle w:val="Hyperlink"/>
          </w:rPr>
          <w:t xml:space="preserve">10.1056/NEJMp2032115</w:t>
        </w:r>
      </w:hyperlink>
    </w:p>
    <w:bookmarkEnd w:id="29"/>
    <w:bookmarkStart w:id="31" w:name="ref-borsa2023systematic"/>
    <w:p>
      <w:pPr>
        <w:pStyle w:val="Bibliography"/>
      </w:pPr>
      <w:r>
        <w:t xml:space="preserve">3.</w:t>
      </w:r>
      <w:r>
        <w:t xml:space="preserve"> </w:t>
      </w:r>
      <w:r>
        <w:t xml:space="preserve">	</w:t>
      </w:r>
      <w:r>
        <w:t xml:space="preserve">Borsa A, Bejarano G, Ellen M, Bruch JD. Evaluating trends in private equity ownership and impacts on health outcomes, costs, and quality: Systematic review.</w:t>
      </w:r>
      <w:r>
        <w:t xml:space="preserve"> </w:t>
      </w:r>
      <w:r>
        <w:rPr>
          <w:i/>
          <w:iCs/>
        </w:rPr>
        <w:t xml:space="preserve">BMJ</w:t>
      </w:r>
      <w:r>
        <w:t xml:space="preserve">. 2023;382:e075244. doi:</w:t>
      </w:r>
      <w:hyperlink r:id="rId30">
        <w:r>
          <w:rPr>
            <w:rStyle w:val="Hyperlink"/>
          </w:rPr>
          <w:t xml:space="preserve">10.1136/bmj-2023-075244</w:t>
        </w:r>
      </w:hyperlink>
    </w:p>
    <w:bookmarkEnd w:id="31"/>
    <w:bookmarkStart w:id="33" w:name="ref-bruch2020hospital"/>
    <w:p>
      <w:pPr>
        <w:pStyle w:val="Bibliography"/>
      </w:pPr>
      <w:r>
        <w:t xml:space="preserve">4.</w:t>
      </w:r>
      <w:r>
        <w:t xml:space="preserve"> </w:t>
      </w:r>
      <w:r>
        <w:t xml:space="preserve">	</w:t>
      </w:r>
      <w:r>
        <w:t xml:space="preserve">Bruch JD, Gondi S, Song Z. Changes in hospital income, use, and quality associated with private equity acquisition.</w:t>
      </w:r>
      <w:r>
        <w:t xml:space="preserve"> </w:t>
      </w:r>
      <w:r>
        <w:rPr>
          <w:i/>
          <w:iCs/>
        </w:rPr>
        <w:t xml:space="preserve">JAMA Internal Medicine</w:t>
      </w:r>
      <w:r>
        <w:t xml:space="preserve">. 2020;180(11):1428-1435. doi:</w:t>
      </w:r>
      <w:hyperlink r:id="rId32">
        <w:r>
          <w:rPr>
            <w:rStyle w:val="Hyperlink"/>
          </w:rPr>
          <w:t xml:space="preserve">10.1001/jamainternmed.2020.3552</w:t>
        </w:r>
      </w:hyperlink>
    </w:p>
    <w:bookmarkEnd w:id="33"/>
    <w:bookmarkStart w:id="35" w:name="ref-kannan2023adverse"/>
    <w:p>
      <w:pPr>
        <w:pStyle w:val="Bibliography"/>
      </w:pPr>
      <w:r>
        <w:t xml:space="preserve">5.</w:t>
      </w:r>
      <w:r>
        <w:t xml:space="preserve"> </w:t>
      </w:r>
      <w:r>
        <w:t xml:space="preserve">	</w:t>
      </w:r>
      <w:r>
        <w:t xml:space="preserve">Kannan S, Bruch JD, Song Z. Changes in hospital adverse events and patient outcomes associated with private equity acquisition.</w:t>
      </w:r>
      <w:r>
        <w:t xml:space="preserve"> </w:t>
      </w:r>
      <w:r>
        <w:rPr>
          <w:i/>
          <w:iCs/>
        </w:rPr>
        <w:t xml:space="preserve">JAMA</w:t>
      </w:r>
      <w:r>
        <w:t xml:space="preserve">. 2023;330(24):2365-2375. doi:</w:t>
      </w:r>
      <w:hyperlink r:id="rId34">
        <w:r>
          <w:rPr>
            <w:rStyle w:val="Hyperlink"/>
          </w:rPr>
          <w:t xml:space="preserve">10.1001/jama.2023.23147</w:t>
        </w:r>
      </w:hyperlink>
    </w:p>
    <w:bookmarkEnd w:id="35"/>
    <w:bookmarkStart w:id="37" w:name="ref-tan2019dermatology"/>
    <w:p>
      <w:pPr>
        <w:pStyle w:val="Bibliography"/>
      </w:pPr>
      <w:r>
        <w:t xml:space="preserve">6.</w:t>
      </w:r>
      <w:r>
        <w:t xml:space="preserve"> </w:t>
      </w:r>
      <w:r>
        <w:t xml:space="preserve">	</w:t>
      </w:r>
      <w:r>
        <w:t xml:space="preserve">Tan S, Seiger K, Renehan P, Mostaghimi A. Trends in private equity acquisition of dermatology practices in the united states.</w:t>
      </w:r>
      <w:r>
        <w:t xml:space="preserve"> </w:t>
      </w:r>
      <w:r>
        <w:rPr>
          <w:i/>
          <w:iCs/>
        </w:rPr>
        <w:t xml:space="preserve">JAMA Dermatology</w:t>
      </w:r>
      <w:r>
        <w:t xml:space="preserve">. 2019;155(9):1013-1021. doi:</w:t>
      </w:r>
      <w:hyperlink r:id="rId36">
        <w:r>
          <w:rPr>
            <w:rStyle w:val="Hyperlink"/>
          </w:rPr>
          <w:t xml:space="preserve">10.1001/jamadermatol.2019.1634</w:t>
        </w:r>
      </w:hyperlink>
    </w:p>
    <w:bookmarkEnd w:id="37"/>
    <w:bookmarkStart w:id="39" w:name="ref-braun2024ophthalmology"/>
    <w:p>
      <w:pPr>
        <w:pStyle w:val="Bibliography"/>
      </w:pPr>
      <w:r>
        <w:t xml:space="preserve">7.</w:t>
      </w:r>
      <w:r>
        <w:t xml:space="preserve"> </w:t>
      </w:r>
      <w:r>
        <w:t xml:space="preserve">	</w:t>
      </w:r>
      <w:r>
        <w:t xml:space="preserve">Braun RT, Lelli GJ, Pandey A, Zhang M, Winebrake J, Casalino LP. Association of private equity firm acquisition of ophthalmology practices with medicare spending and use of ophthalmology services.</w:t>
      </w:r>
      <w:r>
        <w:t xml:space="preserve"> </w:t>
      </w:r>
      <w:r>
        <w:rPr>
          <w:i/>
          <w:iCs/>
        </w:rPr>
        <w:t xml:space="preserve">Ophthalmology</w:t>
      </w:r>
      <w:r>
        <w:t xml:space="preserve">. 2024;131(3):360-369. doi:</w:t>
      </w:r>
      <w:hyperlink r:id="rId38">
        <w:r>
          <w:rPr>
            <w:rStyle w:val="Hyperlink"/>
          </w:rPr>
          <w:t xml:space="preserve">10.1016/j.ophtha.2023.09.029</w:t>
        </w:r>
      </w:hyperlink>
    </w:p>
    <w:bookmarkEnd w:id="39"/>
    <w:bookmarkStart w:id="41" w:name="ref-kff_births"/>
    <w:p>
      <w:pPr>
        <w:pStyle w:val="Bibliography"/>
      </w:pPr>
      <w:r>
        <w:t xml:space="preserve">8.</w:t>
      </w:r>
      <w:r>
        <w:t xml:space="preserve"> </w:t>
      </w:r>
      <w:r>
        <w:t xml:space="preserve">	</w:t>
      </w:r>
      <w:r>
        <w:t xml:space="preserve">Kaiser Family Foundation. Births financed by medicaid. Published online 2022.</w:t>
      </w:r>
      <w:r>
        <w:t xml:space="preserve"> </w:t>
      </w:r>
      <w:hyperlink r:id="rId40">
        <w:r>
          <w:rPr>
            <w:rStyle w:val="Hyperlink"/>
          </w:rPr>
          <w:t xml:space="preserve">https://www.kff.org/medicaid/state-indicator/births-financed-by-medicaid/</w:t>
        </w:r>
      </w:hyperlink>
    </w:p>
    <w:bookmarkEnd w:id="41"/>
    <w:bookmarkStart w:id="43" w:name="ref-bisgaier2011auditing"/>
    <w:p>
      <w:pPr>
        <w:pStyle w:val="Bibliography"/>
      </w:pPr>
      <w:r>
        <w:t xml:space="preserve">9.</w:t>
      </w:r>
      <w:r>
        <w:t xml:space="preserve"> </w:t>
      </w:r>
      <w:r>
        <w:t xml:space="preserve">	</w:t>
      </w:r>
      <w:r>
        <w:t xml:space="preserve">Bisgaier J, Rhodes KV. Auditing access to specialty care for children with public insurance.</w:t>
      </w:r>
      <w:r>
        <w:t xml:space="preserve"> </w:t>
      </w:r>
      <w:r>
        <w:rPr>
          <w:i/>
          <w:iCs/>
        </w:rPr>
        <w:t xml:space="preserve">New England Journal of Medicine</w:t>
      </w:r>
      <w:r>
        <w:t xml:space="preserve">. 2011;364(24):2324-2333. doi:</w:t>
      </w:r>
      <w:hyperlink r:id="rId42">
        <w:r>
          <w:rPr>
            <w:rStyle w:val="Hyperlink"/>
          </w:rPr>
          <w:t xml:space="preserve">10.1056/NEJMsa1013285</w:t>
        </w:r>
      </w:hyperlink>
    </w:p>
    <w:bookmarkEnd w:id="43"/>
    <w:bookmarkStart w:id="45" w:name="ref-asplin2005insurance"/>
    <w:p>
      <w:pPr>
        <w:pStyle w:val="Bibliography"/>
      </w:pPr>
      <w:r>
        <w:t xml:space="preserve">10.</w:t>
      </w:r>
      <w:r>
        <w:t xml:space="preserve"> </w:t>
      </w:r>
      <w:r>
        <w:t xml:space="preserve">	</w:t>
      </w:r>
      <w:r>
        <w:t xml:space="preserve">Asplin BR, Rhodes KV, Levy H, et al. Insurance status and access to urgent ambulatory care follow-up appointments.</w:t>
      </w:r>
      <w:r>
        <w:t xml:space="preserve"> </w:t>
      </w:r>
      <w:r>
        <w:rPr>
          <w:i/>
          <w:iCs/>
        </w:rPr>
        <w:t xml:space="preserve">JAMA</w:t>
      </w:r>
      <w:r>
        <w:t xml:space="preserve">. 2005;294(10):1248-1254. doi:</w:t>
      </w:r>
      <w:hyperlink r:id="rId44">
        <w:r>
          <w:rPr>
            <w:rStyle w:val="Hyperlink"/>
          </w:rPr>
          <w:t xml:space="preserve">10.1001/jama.294.10.1248</w:t>
        </w:r>
      </w:hyperlink>
    </w:p>
    <w:bookmarkEnd w:id="45"/>
    <w:bookmarkStart w:id="47" w:name="ref-bates2015lme4"/>
    <w:p>
      <w:pPr>
        <w:pStyle w:val="Bibliography"/>
      </w:pPr>
      <w:r>
        <w:t xml:space="preserve">11.</w:t>
      </w:r>
      <w:r>
        <w:t xml:space="preserve"> </w:t>
      </w:r>
      <w:r>
        <w:t xml:space="preserve">	</w:t>
      </w:r>
      <w:r>
        <w:t xml:space="preserve">Bates D, Mächler M, Bolker B, Walker S. Fitting linear mixed-effects models using lme4.</w:t>
      </w:r>
      <w:r>
        <w:t xml:space="preserve"> </w:t>
      </w:r>
      <w:r>
        <w:rPr>
          <w:i/>
          <w:iCs/>
        </w:rPr>
        <w:t xml:space="preserve">Journal of Statistical Software</w:t>
      </w:r>
      <w:r>
        <w:t xml:space="preserve">. 2015;67(1):1-48. doi:</w:t>
      </w:r>
      <w:hyperlink r:id="rId46">
        <w:r>
          <w:rPr>
            <w:rStyle w:val="Hyperlink"/>
          </w:rPr>
          <w:t xml:space="preserve">10.18637/jss.v067.i01</w:t>
        </w:r>
      </w:hyperlink>
    </w:p>
    <w:bookmarkEnd w:id="47"/>
    <w:bookmarkStart w:id="49" w:name="ref-brooks2017glmmtmb"/>
    <w:p>
      <w:pPr>
        <w:pStyle w:val="Bibliography"/>
      </w:pPr>
      <w:r>
        <w:t xml:space="preserve">12.</w:t>
      </w:r>
      <w:r>
        <w:t xml:space="preserve"> </w:t>
      </w:r>
      <w:r>
        <w:t xml:space="preserve">	</w:t>
      </w:r>
      <w:r>
        <w:t xml:space="preserve">Brooks ME, Kristensen K, Benthem KJ van, et al. glmmTMB balances speed and flexibility among packages for zero-inflated generalized linear mixed modeling.</w:t>
      </w:r>
      <w:r>
        <w:t xml:space="preserve"> </w:t>
      </w:r>
      <w:r>
        <w:rPr>
          <w:i/>
          <w:iCs/>
        </w:rPr>
        <w:t xml:space="preserve">The R Journal</w:t>
      </w:r>
      <w:r>
        <w:t xml:space="preserve">. 2017;9(2):378-400. doi:</w:t>
      </w:r>
      <w:hyperlink r:id="rId48">
        <w:r>
          <w:rPr>
            <w:rStyle w:val="Hyperlink"/>
          </w:rPr>
          <w:t xml:space="preserve">10.32614/RJ-2017-066</w:t>
        </w:r>
      </w:hyperlink>
    </w:p>
    <w:bookmarkEnd w:id="49"/>
    <w:bookmarkEnd w:id="50"/>
    <w:bookmarkEnd w:id="51"/>
    <w:bookmarkStart w:id="53" w:name="tables-and-figures"/>
    <w:p>
      <w:pPr>
        <w:pStyle w:val="Heading2"/>
      </w:pPr>
      <w:r>
        <w:t xml:space="preserve">Tables and Figures</w:t>
      </w:r>
    </w:p>
    <w:p>
      <w:pPr>
        <w:pStyle w:val="FirstParagraph"/>
      </w:pPr>
      <w:r>
        <w:rPr>
          <w:b/>
          <w:bCs/>
        </w:rPr>
        <w:t xml:space="preserve">Table 1. Baseline Clinician and Practice Characteristics (Fielded Cohort)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Variable</w:t>
            </w:r>
          </w:p>
        </w:tc>
        <w:tc>
          <w:tcPr/>
          <w:p>
            <w:pPr>
              <w:pStyle w:val="Compact"/>
              <w:jc w:val="center"/>
            </w:pPr>
            <w:r>
              <w:t xml:space="preserve">Independent Private Practice (N = 200)</w:t>
            </w:r>
          </w:p>
        </w:tc>
        <w:tc>
          <w:tcPr/>
          <w:p>
            <w:pPr>
              <w:pStyle w:val="Compact"/>
              <w:jc w:val="center"/>
            </w:pPr>
            <w:r>
              <w:t xml:space="preserve">PE-Backed Corporate Practice (N = 200)</w:t>
            </w:r>
          </w:p>
        </w:tc>
        <w:tc>
          <w:tcPr/>
          <w:p>
            <w:pPr>
              <w:pStyle w:val="Compact"/>
              <w:jc w:val="center"/>
            </w:pPr>
            <w:r>
              <w:t xml:space="preserve">p-value</w:t>
            </w:r>
          </w:p>
        </w:tc>
      </w:tr>
      <w:tr>
        <w:tc>
          <w:tcPr/>
          <w:p>
            <w:pPr>
              <w:pStyle w:val="Compact"/>
              <w:jc w:val="left"/>
            </w:pPr>
            <w:r>
              <w:rPr>
                <w:b/>
                <w:bCs/>
              </w:rPr>
              <w:t xml:space="preserve">Credentials</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MD</w:t>
            </w:r>
          </w:p>
        </w:tc>
        <w:tc>
          <w:tcPr/>
          <w:p>
            <w:pPr>
              <w:pStyle w:val="Compact"/>
              <w:jc w:val="center"/>
            </w:pPr>
            <w:r>
              <w:t xml:space="preserve">187 (93.5%)</w:t>
            </w:r>
          </w:p>
        </w:tc>
        <w:tc>
          <w:tcPr/>
          <w:p>
            <w:pPr>
              <w:pStyle w:val="Compact"/>
              <w:jc w:val="center"/>
            </w:pPr>
            <w:r>
              <w:t xml:space="preserve">183 (91.5%)</w:t>
            </w:r>
          </w:p>
        </w:tc>
        <w:tc>
          <w:tcPr/>
          <w:p>
            <w:pPr>
              <w:pStyle w:val="Compact"/>
            </w:pPr>
          </w:p>
        </w:tc>
      </w:tr>
      <w:tr>
        <w:tc>
          <w:tcPr/>
          <w:p>
            <w:pPr>
              <w:pStyle w:val="Compact"/>
              <w:jc w:val="left"/>
            </w:pPr>
            <w:r>
              <w:t xml:space="preserve">DO</w:t>
            </w:r>
          </w:p>
        </w:tc>
        <w:tc>
          <w:tcPr/>
          <w:p>
            <w:pPr>
              <w:pStyle w:val="Compact"/>
              <w:jc w:val="center"/>
            </w:pPr>
            <w:r>
              <w:t xml:space="preserve">13 (6.5%)</w:t>
            </w:r>
          </w:p>
        </w:tc>
        <w:tc>
          <w:tcPr/>
          <w:p>
            <w:pPr>
              <w:pStyle w:val="Compact"/>
              <w:jc w:val="center"/>
            </w:pPr>
            <w:r>
              <w:t xml:space="preserve">16 (8.0%)</w:t>
            </w:r>
          </w:p>
        </w:tc>
        <w:tc>
          <w:tcPr/>
          <w:p>
            <w:pPr>
              <w:pStyle w:val="Compact"/>
            </w:pPr>
          </w:p>
        </w:tc>
      </w:tr>
      <w:tr>
        <w:tc>
          <w:tcPr/>
          <w:p>
            <w:pPr>
              <w:pStyle w:val="Compact"/>
              <w:jc w:val="left"/>
            </w:pPr>
            <w:r>
              <w:rPr>
                <w:b/>
                <w:bCs/>
              </w:rPr>
              <w:t xml:space="preserve">Gender</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Female</w:t>
            </w:r>
          </w:p>
        </w:tc>
        <w:tc>
          <w:tcPr/>
          <w:p>
            <w:pPr>
              <w:pStyle w:val="Compact"/>
              <w:jc w:val="center"/>
            </w:pPr>
            <w:r>
              <w:t xml:space="preserve">121 (60.5%)</w:t>
            </w:r>
          </w:p>
        </w:tc>
        <w:tc>
          <w:tcPr/>
          <w:p>
            <w:pPr>
              <w:pStyle w:val="Compact"/>
              <w:jc w:val="center"/>
            </w:pPr>
            <w:r>
              <w:t xml:space="preserve">137 (68.5%)</w:t>
            </w:r>
          </w:p>
        </w:tc>
        <w:tc>
          <w:tcPr/>
          <w:p>
            <w:pPr>
              <w:pStyle w:val="Compact"/>
            </w:pPr>
          </w:p>
        </w:tc>
      </w:tr>
      <w:tr>
        <w:tc>
          <w:tcPr/>
          <w:p>
            <w:pPr>
              <w:pStyle w:val="Compact"/>
              <w:jc w:val="left"/>
            </w:pPr>
            <w:r>
              <w:t xml:space="preserve">Male</w:t>
            </w:r>
          </w:p>
        </w:tc>
        <w:tc>
          <w:tcPr/>
          <w:p>
            <w:pPr>
              <w:pStyle w:val="Compact"/>
              <w:jc w:val="center"/>
            </w:pPr>
            <w:r>
              <w:t xml:space="preserve">79 (39.5%)</w:t>
            </w:r>
          </w:p>
        </w:tc>
        <w:tc>
          <w:tcPr/>
          <w:p>
            <w:pPr>
              <w:pStyle w:val="Compact"/>
              <w:jc w:val="center"/>
            </w:pPr>
            <w:r>
              <w:t xml:space="preserve">63 (31.5%)</w:t>
            </w:r>
          </w:p>
        </w:tc>
        <w:tc>
          <w:tcPr/>
          <w:p>
            <w:pPr>
              <w:pStyle w:val="Compact"/>
            </w:pPr>
          </w:p>
        </w:tc>
      </w:tr>
      <w:tr>
        <w:tc>
          <w:tcPr/>
          <w:p>
            <w:pPr>
              <w:pStyle w:val="Compact"/>
              <w:jc w:val="left"/>
            </w:pPr>
            <w:r>
              <w:t xml:space="preserve">Years in Practice (mean ± SD)</w:t>
            </w:r>
          </w:p>
        </w:tc>
        <w:tc>
          <w:tcPr/>
          <w:p>
            <w:pPr>
              <w:pStyle w:val="Compact"/>
              <w:jc w:val="center"/>
            </w:pPr>
            <w:r>
              <w:t xml:space="preserve">24.6 (±11.5)</w:t>
            </w:r>
          </w:p>
        </w:tc>
        <w:tc>
          <w:tcPr/>
          <w:p>
            <w:pPr>
              <w:pStyle w:val="Compact"/>
              <w:jc w:val="center"/>
            </w:pPr>
            <w:r>
              <w:t xml:space="preserve">23.0 (±12.3)</w:t>
            </w:r>
          </w:p>
        </w:tc>
        <w:tc>
          <w:tcPr/>
          <w:p>
            <w:pPr>
              <w:pStyle w:val="Compact"/>
              <w:jc w:val="center"/>
            </w:pPr>
            <w:r>
              <w:t xml:space="preserve">[0.95]</w:t>
            </w:r>
          </w:p>
        </w:tc>
      </w:tr>
      <w:tr>
        <w:tc>
          <w:tcPr/>
          <w:p>
            <w:pPr>
              <w:pStyle w:val="Compact"/>
              <w:jc w:val="left"/>
            </w:pPr>
            <w:r>
              <w:t xml:space="preserve">Open Payments Years (mean ± SD)</w:t>
            </w:r>
          </w:p>
        </w:tc>
        <w:tc>
          <w:tcPr/>
          <w:p>
            <w:pPr>
              <w:pStyle w:val="Compact"/>
              <w:jc w:val="center"/>
            </w:pPr>
            <w:r>
              <w:t xml:space="preserve">6.7 (±2.1)</w:t>
            </w:r>
          </w:p>
        </w:tc>
        <w:tc>
          <w:tcPr/>
          <w:p>
            <w:pPr>
              <w:pStyle w:val="Compact"/>
              <w:jc w:val="center"/>
            </w:pPr>
            <w:r>
              <w:t xml:space="preserve">6.4 (±2.3)</w:t>
            </w:r>
          </w:p>
        </w:tc>
        <w:tc>
          <w:tcPr/>
          <w:p>
            <w:pPr>
              <w:pStyle w:val="Compact"/>
              <w:jc w:val="center"/>
            </w:pPr>
            <w:r>
              <w:t xml:space="preserve">[0.96]</w:t>
            </w:r>
          </w:p>
        </w:tc>
      </w:tr>
    </w:tbl>
    <w:p>
      <w:pPr>
        <w:pStyle w:val="BodyText"/>
      </w:pPr>
      <w:r>
        <w:rPr>
          <w:i/>
          <w:iCs/>
        </w:rPr>
        <w:t xml:space="preserve">Note:</w:t>
      </w:r>
      <w:r>
        <w:t xml:space="preserve"> </w:t>
      </w:r>
      <w:r>
        <w:t xml:space="preserve">All matching parameters show high balance between groups (p &gt; 0.05).</w:t>
      </w:r>
    </w:p>
    <w:p>
      <w:pPr>
        <w:pStyle w:val="BodyText"/>
      </w:pPr>
      <w:r>
        <w:rPr>
          <w:b/>
          <w:bCs/>
        </w:rPr>
        <w:t xml:space="preserve">Table 2. Appointment Obtainment (Medicaid Acceptance) Rates (Dummy)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Payer Type</w:t>
            </w:r>
          </w:p>
        </w:tc>
        <w:tc>
          <w:tcPr/>
          <w:p>
            <w:pPr>
              <w:pStyle w:val="Compact"/>
              <w:jc w:val="center"/>
            </w:pPr>
            <w:r>
              <w:t xml:space="preserve">Independent (N = [200])</w:t>
            </w:r>
          </w:p>
        </w:tc>
        <w:tc>
          <w:tcPr/>
          <w:p>
            <w:pPr>
              <w:pStyle w:val="Compact"/>
              <w:jc w:val="center"/>
            </w:pPr>
            <w:r>
              <w:t xml:space="preserve">PE-Backed (N = [200])</w:t>
            </w:r>
          </w:p>
        </w:tc>
        <w:tc>
          <w:tcPr/>
          <w:p>
            <w:pPr>
              <w:pStyle w:val="Compact"/>
              <w:jc w:val="center"/>
            </w:pPr>
            <w:r>
              <w:t xml:space="preserve">Risk Difference (95% CI)</w:t>
            </w:r>
          </w:p>
        </w:tc>
        <w:tc>
          <w:tcPr/>
          <w:p>
            <w:pPr>
              <w:pStyle w:val="Compact"/>
              <w:jc w:val="center"/>
            </w:pPr>
            <w:r>
              <w:t xml:space="preserve">p-value</w:t>
            </w:r>
          </w:p>
        </w:tc>
      </w:tr>
      <w:tr>
        <w:tc>
          <w:tcPr/>
          <w:p>
            <w:pPr>
              <w:pStyle w:val="Compact"/>
              <w:jc w:val="left"/>
            </w:pPr>
            <w:r>
              <w:t xml:space="preserve">Commercial BCBS PPO</w:t>
            </w:r>
          </w:p>
        </w:tc>
        <w:tc>
          <w:tcPr/>
          <w:p>
            <w:pPr>
              <w:pStyle w:val="Compact"/>
              <w:jc w:val="center"/>
            </w:pPr>
            <w:r>
              <w:t xml:space="preserve">[98.5]% ([197]/[200])</w:t>
            </w:r>
          </w:p>
        </w:tc>
        <w:tc>
          <w:tcPr/>
          <w:p>
            <w:pPr>
              <w:pStyle w:val="Compact"/>
              <w:jc w:val="center"/>
            </w:pPr>
            <w:r>
              <w:t xml:space="preserve">[99.0]% ([198]/[200])</w:t>
            </w:r>
          </w:p>
        </w:tc>
        <w:tc>
          <w:tcPr/>
          <w:p>
            <w:pPr>
              <w:pStyle w:val="Compact"/>
              <w:jc w:val="center"/>
            </w:pPr>
            <w:r>
              <w:t xml:space="preserve">[+0.5]% ([-1.8]% to [+2.8]%)</w:t>
            </w:r>
          </w:p>
        </w:tc>
        <w:tc>
          <w:tcPr/>
          <w:p>
            <w:pPr>
              <w:pStyle w:val="Compact"/>
              <w:jc w:val="center"/>
            </w:pPr>
            <w:r>
              <w:t xml:space="preserve">[0.68]</w:t>
            </w:r>
          </w:p>
        </w:tc>
      </w:tr>
      <w:tr>
        <w:tc>
          <w:tcPr/>
          <w:p>
            <w:pPr>
              <w:pStyle w:val="Compact"/>
              <w:jc w:val="left"/>
            </w:pPr>
            <w:r>
              <w:t xml:space="preserve">Medicaid</w:t>
            </w:r>
          </w:p>
        </w:tc>
        <w:tc>
          <w:tcPr/>
          <w:p>
            <w:pPr>
              <w:pStyle w:val="Compact"/>
              <w:jc w:val="center"/>
            </w:pPr>
            <w:r>
              <w:t xml:space="preserve">[72.5]% (145/[200])</w:t>
            </w:r>
          </w:p>
        </w:tc>
        <w:tc>
          <w:tcPr/>
          <w:p>
            <w:pPr>
              <w:pStyle w:val="Compact"/>
              <w:jc w:val="center"/>
            </w:pPr>
            <w:r>
              <w:t xml:space="preserve">[41.0]% (82/[200])</w:t>
            </w:r>
          </w:p>
        </w:tc>
        <w:tc>
          <w:tcPr/>
          <w:p>
            <w:pPr>
              <w:pStyle w:val="Compact"/>
              <w:jc w:val="center"/>
            </w:pPr>
            <w:r>
              <w:t xml:space="preserve">[-31.5]% ([-40.5]% to [-22.5]%)</w:t>
            </w:r>
          </w:p>
        </w:tc>
        <w:tc>
          <w:tcPr/>
          <w:p>
            <w:pPr>
              <w:pStyle w:val="Compact"/>
              <w:jc w:val="center"/>
            </w:pPr>
            <w:r>
              <w:t xml:space="preserve">[&lt;0.001]</w:t>
            </w:r>
          </w:p>
        </w:tc>
      </w:tr>
    </w:tbl>
    <w:p>
      <w:pPr>
        <w:pStyle w:val="BodyText"/>
      </w:pPr>
      <w:r>
        <w:rPr>
          <w:b/>
          <w:bCs/>
        </w:rPr>
        <w:t xml:space="preserve">Table 3. New-Patient GYN Appointment Wait Times (Business Days) (Dummy)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Group / Payer</w:t>
            </w:r>
          </w:p>
        </w:tc>
        <w:tc>
          <w:tcPr/>
          <w:p>
            <w:pPr>
              <w:pStyle w:val="Compact"/>
              <w:jc w:val="center"/>
            </w:pPr>
            <w:r>
              <w:t xml:space="preserve">Commercial BCBS PPO (N = [395])</w:t>
            </w:r>
          </w:p>
        </w:tc>
        <w:tc>
          <w:tcPr/>
          <w:p>
            <w:pPr>
              <w:pStyle w:val="Compact"/>
              <w:jc w:val="center"/>
            </w:pPr>
            <w:r>
              <w:t xml:space="preserve">Medicaid (N = [227])</w:t>
            </w:r>
          </w:p>
        </w:tc>
        <w:tc>
          <w:tcPr/>
          <w:p>
            <w:pPr>
              <w:pStyle w:val="Compact"/>
              <w:jc w:val="center"/>
            </w:pPr>
            <w:r>
              <w:t xml:space="preserve">Wait-Time Gap (95% CI)</w:t>
            </w:r>
          </w:p>
        </w:tc>
      </w:tr>
      <w:tr>
        <w:tc>
          <w:tcPr/>
          <w:p>
            <w:pPr>
              <w:pStyle w:val="Compact"/>
              <w:jc w:val="left"/>
            </w:pPr>
            <w:r>
              <w:t xml:space="preserve">Independent Practice</w:t>
            </w:r>
          </w:p>
        </w:tc>
        <w:tc>
          <w:tcPr/>
          <w:p>
            <w:pPr>
              <w:pStyle w:val="Compact"/>
              <w:jc w:val="center"/>
            </w:pPr>
            <w:r>
              <w:t xml:space="preserve">[12.1] days (SD [6.8])</w:t>
            </w:r>
          </w:p>
        </w:tc>
        <w:tc>
          <w:tcPr/>
          <w:p>
            <w:pPr>
              <w:pStyle w:val="Compact"/>
              <w:jc w:val="center"/>
            </w:pPr>
            <w:r>
              <w:t xml:space="preserve">[23.4] days (SD [11.2])</w:t>
            </w:r>
          </w:p>
        </w:tc>
        <w:tc>
          <w:tcPr/>
          <w:p>
            <w:pPr>
              <w:pStyle w:val="Compact"/>
              <w:jc w:val="center"/>
            </w:pPr>
            <w:r>
              <w:t xml:space="preserve">[11.3] days ([9.4] to [13.2])</w:t>
            </w:r>
          </w:p>
        </w:tc>
      </w:tr>
      <w:tr>
        <w:tc>
          <w:tcPr/>
          <w:p>
            <w:pPr>
              <w:pStyle w:val="Compact"/>
              <w:jc w:val="left"/>
            </w:pPr>
            <w:r>
              <w:t xml:space="preserve">PE-Backed Practice</w:t>
            </w:r>
          </w:p>
        </w:tc>
        <w:tc>
          <w:tcPr/>
          <w:p>
            <w:pPr>
              <w:pStyle w:val="Compact"/>
              <w:jc w:val="center"/>
            </w:pPr>
            <w:r>
              <w:t xml:space="preserve">[14.5] days (SD [8.2])</w:t>
            </w:r>
          </w:p>
        </w:tc>
        <w:tc>
          <w:tcPr/>
          <w:p>
            <w:pPr>
              <w:pStyle w:val="Compact"/>
              <w:jc w:val="center"/>
            </w:pPr>
            <w:r>
              <w:t xml:space="preserve">[36.8] days (SD [18.4])</w:t>
            </w:r>
          </w:p>
        </w:tc>
        <w:tc>
          <w:tcPr/>
          <w:p>
            <w:pPr>
              <w:pStyle w:val="Compact"/>
              <w:jc w:val="center"/>
            </w:pPr>
            <w:r>
              <w:t xml:space="preserve">[22.3] days ([17.8] to [26.8])</w:t>
            </w:r>
          </w:p>
        </w:tc>
      </w:tr>
    </w:tbl>
    <w:p>
      <w:pPr>
        <w:pStyle w:val="BodyText"/>
      </w:pPr>
      <w:r>
        <w:rPr>
          <w:b/>
          <w:bCs/>
        </w:rPr>
        <w:t xml:space="preserve">Table 4. Mixed-Effects Regression Outcomes for Obtainment and Wait Times (Dummy)</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Outcome / Variable</w:t>
            </w:r>
          </w:p>
        </w:tc>
        <w:tc>
          <w:tcPr/>
          <w:p>
            <w:pPr>
              <w:pStyle w:val="Compact"/>
              <w:jc w:val="center"/>
            </w:pPr>
            <w:r>
              <w:t xml:space="preserve">OR (Obtainment)</w:t>
            </w:r>
          </w:p>
        </w:tc>
        <w:tc>
          <w:tcPr/>
          <w:p>
            <w:pPr>
              <w:pStyle w:val="Compact"/>
              <w:jc w:val="center"/>
            </w:pPr>
            <w:r>
              <w:t xml:space="preserve">95% CI</w:t>
            </w:r>
          </w:p>
        </w:tc>
        <w:tc>
          <w:tcPr/>
          <w:p>
            <w:pPr>
              <w:pStyle w:val="Compact"/>
              <w:jc w:val="center"/>
            </w:pPr>
            <w:r>
              <w:t xml:space="preserve">p-value</w:t>
            </w:r>
          </w:p>
        </w:tc>
        <w:tc>
          <w:tcPr/>
          <w:p>
            <w:pPr>
              <w:pStyle w:val="Compact"/>
              <w:jc w:val="center"/>
            </w:pPr>
            <w:r>
              <w:t xml:space="preserve">IRR (Wait Time)</w:t>
            </w:r>
          </w:p>
        </w:tc>
        <w:tc>
          <w:tcPr/>
          <w:p>
            <w:pPr>
              <w:pStyle w:val="Compact"/>
              <w:jc w:val="center"/>
            </w:pPr>
            <w:r>
              <w:t xml:space="preserve">95% CI</w:t>
            </w:r>
          </w:p>
        </w:tc>
        <w:tc>
          <w:tcPr/>
          <w:p>
            <w:pPr>
              <w:pStyle w:val="Compact"/>
              <w:jc w:val="center"/>
            </w:pPr>
            <w:r>
              <w:t xml:space="preserve">p-value</w:t>
            </w:r>
          </w:p>
        </w:tc>
      </w:tr>
      <w:tr>
        <w:tc>
          <w:tcPr/>
          <w:p>
            <w:pPr>
              <w:pStyle w:val="Compact"/>
              <w:jc w:val="left"/>
            </w:pPr>
            <w:r>
              <w:rPr>
                <w:b/>
                <w:bCs/>
              </w:rPr>
              <w:t xml:space="preserve">Primary obtainment:</w:t>
            </w:r>
            <w:r>
              <w:t xml:space="preserve"> </w:t>
            </w:r>
            <w:r>
              <w:t xml:space="preserve">PE vs. independent, Medicaid calls only</w:t>
            </w:r>
          </w:p>
        </w:tc>
        <w:tc>
          <w:tcPr/>
          <w:p>
            <w:pPr>
              <w:pStyle w:val="Compact"/>
              <w:jc w:val="center"/>
            </w:pPr>
            <w:r>
              <w:rPr>
                <w:b/>
                <w:bCs/>
              </w:rPr>
              <w:t xml:space="preserve">[0.26]</w:t>
            </w:r>
          </w:p>
        </w:tc>
        <w:tc>
          <w:tcPr/>
          <w:p>
            <w:pPr>
              <w:pStyle w:val="Compact"/>
              <w:jc w:val="center"/>
            </w:pPr>
            <w:r>
              <w:rPr>
                <w:b/>
                <w:bCs/>
              </w:rPr>
              <w:t xml:space="preserve">[0.17] to [0.40]</w:t>
            </w:r>
          </w:p>
        </w:tc>
        <w:tc>
          <w:tcPr/>
          <w:p>
            <w:pPr>
              <w:pStyle w:val="Compact"/>
              <w:jc w:val="center"/>
            </w:pPr>
            <w:r>
              <w:rPr>
                <w:b/>
                <w:bCs/>
              </w:rPr>
              <w:t xml:space="preserve">[&lt;0.001]</w:t>
            </w:r>
          </w:p>
        </w:tc>
        <w:tc>
          <w:tcPr/>
          <w:p>
            <w:pPr>
              <w:pStyle w:val="Compact"/>
              <w:jc w:val="center"/>
            </w:pPr>
            <w:r>
              <w:t xml:space="preserve">not applicable</w:t>
            </w:r>
          </w:p>
        </w:tc>
        <w:tc>
          <w:tcPr/>
          <w:p>
            <w:pPr>
              <w:pStyle w:val="Compact"/>
            </w:pPr>
          </w:p>
        </w:tc>
        <w:tc>
          <w:tcPr/>
          <w:p>
            <w:pPr>
              <w:pStyle w:val="Compact"/>
            </w:pPr>
          </w:p>
        </w:tc>
      </w:tr>
      <w:tr>
        <w:tc>
          <w:tcPr/>
          <w:p>
            <w:pPr>
              <w:pStyle w:val="Compact"/>
              <w:jc w:val="left"/>
            </w:pPr>
            <w:r>
              <w:rPr>
                <w:b/>
                <w:bCs/>
              </w:rPr>
              <w:t xml:space="preserve">Primary wait time:</w:t>
            </w:r>
            <w:r>
              <w:t xml:space="preserve"> </w:t>
            </w:r>
            <w:r>
              <w:t xml:space="preserve">payer × ownership interaction</w:t>
            </w:r>
          </w:p>
        </w:tc>
        <w:tc>
          <w:tcPr/>
          <w:p>
            <w:pPr>
              <w:pStyle w:val="Compact"/>
              <w:jc w:val="center"/>
            </w:pPr>
            <w:r>
              <w:t xml:space="preserve">not applicable</w:t>
            </w:r>
          </w:p>
        </w:tc>
        <w:tc>
          <w:tcPr/>
          <w:p>
            <w:pPr>
              <w:pStyle w:val="Compact"/>
            </w:pPr>
          </w:p>
        </w:tc>
        <w:tc>
          <w:tcPr/>
          <w:p>
            <w:pPr>
              <w:pStyle w:val="Compact"/>
            </w:pPr>
          </w:p>
        </w:tc>
        <w:tc>
          <w:tcPr/>
          <w:p>
            <w:pPr>
              <w:pStyle w:val="Compact"/>
              <w:jc w:val="center"/>
            </w:pPr>
            <w:r>
              <w:rPr>
                <w:b/>
                <w:bCs/>
              </w:rPr>
              <w:t xml:space="preserve">[1.31]</w:t>
            </w:r>
          </w:p>
        </w:tc>
        <w:tc>
          <w:tcPr/>
          <w:p>
            <w:pPr>
              <w:pStyle w:val="Compact"/>
              <w:jc w:val="center"/>
            </w:pPr>
            <w:r>
              <w:rPr>
                <w:b/>
                <w:bCs/>
              </w:rPr>
              <w:t xml:space="preserve">[1.07] to [1.56]</w:t>
            </w:r>
          </w:p>
        </w:tc>
        <w:tc>
          <w:tcPr/>
          <w:p>
            <w:pPr>
              <w:pStyle w:val="Compact"/>
              <w:jc w:val="center"/>
            </w:pPr>
            <w:r>
              <w:rPr>
                <w:b/>
                <w:bCs/>
              </w:rPr>
              <w:t xml:space="preserve">[0.008]</w:t>
            </w:r>
          </w:p>
        </w:tc>
      </w:tr>
      <w:tr>
        <w:tc>
          <w:tcPr/>
          <w:p>
            <w:pPr>
              <w:pStyle w:val="Compact"/>
              <w:jc w:val="left"/>
            </w:pPr>
            <w:r>
              <w:t xml:space="preserve">Payer (Medicaid vs. BCBS)</w:t>
            </w:r>
          </w:p>
        </w:tc>
        <w:tc>
          <w:tcPr/>
          <w:p>
            <w:pPr>
              <w:pStyle w:val="Compact"/>
              <w:jc w:val="center"/>
            </w:pPr>
            <w:r>
              <w:t xml:space="preserve">[0.04]</w:t>
            </w:r>
          </w:p>
        </w:tc>
        <w:tc>
          <w:tcPr/>
          <w:p>
            <w:pPr>
              <w:pStyle w:val="Compact"/>
              <w:jc w:val="center"/>
            </w:pPr>
            <w:r>
              <w:t xml:space="preserve">[0.01] to [0.13]</w:t>
            </w:r>
          </w:p>
        </w:tc>
        <w:tc>
          <w:tcPr/>
          <w:p>
            <w:pPr>
              <w:pStyle w:val="Compact"/>
              <w:jc w:val="center"/>
            </w:pPr>
            <w:r>
              <w:t xml:space="preserve">[&lt;0.001]</w:t>
            </w:r>
          </w:p>
        </w:tc>
        <w:tc>
          <w:tcPr/>
          <w:p>
            <w:pPr>
              <w:pStyle w:val="Compact"/>
              <w:jc w:val="center"/>
            </w:pPr>
            <w:r>
              <w:t xml:space="preserve">[1.93]</w:t>
            </w:r>
          </w:p>
        </w:tc>
        <w:tc>
          <w:tcPr/>
          <w:p>
            <w:pPr>
              <w:pStyle w:val="Compact"/>
              <w:jc w:val="center"/>
            </w:pPr>
            <w:r>
              <w:t xml:space="preserve">[1.56] to [2.39]</w:t>
            </w:r>
          </w:p>
        </w:tc>
        <w:tc>
          <w:tcPr/>
          <w:p>
            <w:pPr>
              <w:pStyle w:val="Compact"/>
              <w:jc w:val="center"/>
            </w:pPr>
            <w:r>
              <w:t xml:space="preserve">[&lt;0.001]</w:t>
            </w:r>
          </w:p>
        </w:tc>
      </w:tr>
      <w:tr>
        <w:tc>
          <w:tcPr/>
          <w:p>
            <w:pPr>
              <w:pStyle w:val="Compact"/>
              <w:jc w:val="left"/>
            </w:pPr>
            <w:r>
              <w:t xml:space="preserve">Ownership (PE vs. independent)</w:t>
            </w:r>
          </w:p>
        </w:tc>
        <w:tc>
          <w:tcPr/>
          <w:p>
            <w:pPr>
              <w:pStyle w:val="Compact"/>
              <w:jc w:val="center"/>
            </w:pPr>
            <w:r>
              <w:t xml:space="preserve">[1.51]</w:t>
            </w:r>
          </w:p>
        </w:tc>
        <w:tc>
          <w:tcPr/>
          <w:p>
            <w:pPr>
              <w:pStyle w:val="Compact"/>
              <w:jc w:val="center"/>
            </w:pPr>
            <w:r>
              <w:t xml:space="preserve">[0.25] to [9.12]</w:t>
            </w:r>
          </w:p>
        </w:tc>
        <w:tc>
          <w:tcPr/>
          <w:p>
            <w:pPr>
              <w:pStyle w:val="Compact"/>
              <w:jc w:val="center"/>
            </w:pPr>
            <w:r>
              <w:t xml:space="preserve">[0.65]</w:t>
            </w:r>
          </w:p>
        </w:tc>
        <w:tc>
          <w:tcPr/>
          <w:p>
            <w:pPr>
              <w:pStyle w:val="Compact"/>
              <w:jc w:val="center"/>
            </w:pPr>
            <w:r>
              <w:t xml:space="preserve">[1.20]</w:t>
            </w:r>
          </w:p>
        </w:tc>
        <w:tc>
          <w:tcPr/>
          <w:p>
            <w:pPr>
              <w:pStyle w:val="Compact"/>
              <w:jc w:val="center"/>
            </w:pPr>
            <w:r>
              <w:t xml:space="preserve">[0.94] to [1.53]</w:t>
            </w:r>
          </w:p>
        </w:tc>
        <w:tc>
          <w:tcPr/>
          <w:p>
            <w:pPr>
              <w:pStyle w:val="Compact"/>
              <w:jc w:val="center"/>
            </w:pPr>
            <w:r>
              <w:t xml:space="preserve">[0.14]</w:t>
            </w:r>
          </w:p>
        </w:tc>
      </w:tr>
      <w:tr>
        <w:tc>
          <w:tcPr/>
          <w:p>
            <w:pPr>
              <w:pStyle w:val="Compact"/>
              <w:jc w:val="left"/>
            </w:pPr>
            <w:r>
              <w:rPr>
                <w:i/>
                <w:iCs/>
              </w:rPr>
              <w:t xml:space="preserve">Secondary obtainment:</w:t>
            </w:r>
            <w:r>
              <w:t xml:space="preserve"> </w:t>
            </w:r>
            <w:r>
              <w:t xml:space="preserve">payer × ownership interaction</w:t>
            </w:r>
          </w:p>
        </w:tc>
        <w:tc>
          <w:tcPr/>
          <w:p>
            <w:pPr>
              <w:pStyle w:val="Compact"/>
              <w:jc w:val="center"/>
            </w:pPr>
            <w:r>
              <w:t xml:space="preserve">[0.17]</w:t>
            </w:r>
          </w:p>
        </w:tc>
        <w:tc>
          <w:tcPr/>
          <w:p>
            <w:pPr>
              <w:pStyle w:val="Compact"/>
              <w:jc w:val="center"/>
            </w:pPr>
            <w:r>
              <w:t xml:space="preserve">[0.02] to [1.30]</w:t>
            </w:r>
          </w:p>
        </w:tc>
        <w:tc>
          <w:tcPr/>
          <w:p>
            <w:pPr>
              <w:pStyle w:val="Compact"/>
              <w:jc w:val="center"/>
            </w:pPr>
            <w:r>
              <w:t xml:space="preserve">[0.10]</w:t>
            </w:r>
          </w:p>
        </w:tc>
        <w:tc>
          <w:tcPr/>
          <w:p>
            <w:pPr>
              <w:pStyle w:val="Compact"/>
              <w:jc w:val="center"/>
            </w:pPr>
            <w:r>
              <w:t xml:space="preserve">not applicable</w:t>
            </w:r>
          </w:p>
        </w:tc>
        <w:tc>
          <w:tcPr/>
          <w:p>
            <w:pPr>
              <w:pStyle w:val="Compact"/>
            </w:pPr>
          </w:p>
        </w:tc>
        <w:tc>
          <w:tcPr/>
          <w:p>
            <w:pPr>
              <w:pStyle w:val="Compact"/>
            </w:pPr>
          </w:p>
        </w:tc>
      </w:tr>
    </w:tbl>
    <w:p>
      <w:pPr>
        <w:pStyle w:val="BodyText"/>
      </w:pPr>
      <w:r>
        <w:rPr>
          <w:i/>
          <w:iCs/>
        </w:rPr>
        <w:t xml:space="preserve">Note:</w:t>
      </w:r>
      <w:r>
        <w:t xml:space="preserve"> </w:t>
      </w:r>
      <w:r>
        <w:t xml:space="preserve">Models adjusted for clinician gender, credentials, state, and years in practice. Random intercepts for matched pair and individual clinician, except in the primary obtainment model, which contains a matched-pair intercept only because each clinician contributes a single Medicaid call. Placeholder effect sizes in this table are the quantities implied by the cell values in Tables 2 and 3, so that the dummy tables remain internally consistent; the secondary interaction is shown with the imprecision the design actually delivers.</w:t>
      </w:r>
    </w:p>
    <w:p>
      <w:pPr>
        <w:pStyle w:val="BodyText"/>
      </w:pPr>
      <w:r>
        <w:rPr>
          <w:b/>
          <w:bCs/>
        </w:rPr>
        <w:t xml:space="preserve">Supplemental Table 1. Intraclass Correlation Coefficients (ICC) for Wait-Time GLMM (Dummy, Exploratory)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Parameter</w:t>
            </w:r>
          </w:p>
        </w:tc>
        <w:tc>
          <w:tcPr/>
          <w:p>
            <w:pPr>
              <w:pStyle w:val="Compact"/>
              <w:jc w:val="center"/>
            </w:pPr>
            <w:r>
              <w:t xml:space="preserve">Variance Estimate</w:t>
            </w:r>
          </w:p>
        </w:tc>
        <w:tc>
          <w:tcPr/>
          <w:p>
            <w:pPr>
              <w:pStyle w:val="Compact"/>
              <w:jc w:val="center"/>
            </w:pPr>
            <w:r>
              <w:t xml:space="preserve">Residual Variance</w:t>
            </w:r>
          </w:p>
        </w:tc>
        <w:tc>
          <w:tcPr/>
          <w:p>
            <w:pPr>
              <w:pStyle w:val="Compact"/>
              <w:jc w:val="center"/>
            </w:pPr>
            <w:r>
              <w:t xml:space="preserve">ICC</w:t>
            </w:r>
          </w:p>
        </w:tc>
      </w:tr>
      <w:tr>
        <w:tc>
          <w:tcPr/>
          <w:p>
            <w:pPr>
              <w:pStyle w:val="Compact"/>
              <w:jc w:val="left"/>
            </w:pPr>
            <w:r>
              <w:t xml:space="preserve">Clinician level (NPI)</w:t>
            </w:r>
          </w:p>
        </w:tc>
        <w:tc>
          <w:tcPr/>
          <w:p>
            <w:pPr>
              <w:pStyle w:val="Compact"/>
              <w:jc w:val="center"/>
            </w:pPr>
            <w:r>
              <w:t xml:space="preserve">[0.082]</w:t>
            </w:r>
          </w:p>
        </w:tc>
        <w:tc>
          <w:tcPr/>
          <w:p>
            <w:pPr>
              <w:pStyle w:val="Compact"/>
              <w:jc w:val="center"/>
            </w:pPr>
            <w:r>
              <w:t xml:space="preserve">[0.354]</w:t>
            </w:r>
          </w:p>
        </w:tc>
        <w:tc>
          <w:tcPr/>
          <w:p>
            <w:pPr>
              <w:pStyle w:val="Compact"/>
              <w:jc w:val="center"/>
            </w:pPr>
            <w:r>
              <w:t xml:space="preserve">[18.8]%</w:t>
            </w:r>
          </w:p>
        </w:tc>
      </w:tr>
      <w:tr>
        <w:tc>
          <w:tcPr/>
          <w:p>
            <w:pPr>
              <w:pStyle w:val="Compact"/>
              <w:jc w:val="left"/>
            </w:pPr>
            <w:r>
              <w:t xml:space="preserve">Matched-pair level</w:t>
            </w:r>
          </w:p>
        </w:tc>
        <w:tc>
          <w:tcPr/>
          <w:p>
            <w:pPr>
              <w:pStyle w:val="Compact"/>
              <w:jc w:val="center"/>
            </w:pPr>
            <w:r>
              <w:t xml:space="preserve">[0.054]</w:t>
            </w:r>
          </w:p>
        </w:tc>
        <w:tc>
          <w:tcPr/>
          <w:p>
            <w:pPr>
              <w:pStyle w:val="Compact"/>
              <w:jc w:val="center"/>
            </w:pPr>
            <w:r>
              <w:t xml:space="preserve">[0.354]</w:t>
            </w:r>
          </w:p>
        </w:tc>
        <w:tc>
          <w:tcPr/>
          <w:p>
            <w:pPr>
              <w:pStyle w:val="Compact"/>
              <w:jc w:val="center"/>
            </w:pPr>
            <w:r>
              <w:t xml:space="preserve">[12.4]%</w:t>
            </w:r>
          </w:p>
        </w:tc>
      </w:tr>
    </w:tbl>
    <w:p>
      <w:pPr>
        <w:pStyle w:val="BodyText"/>
      </w:pPr>
      <w:r>
        <w:rPr>
          <w:i/>
          <w:iCs/>
        </w:rPr>
        <w:t xml:space="preserve">Note:</w:t>
      </w:r>
      <w:r>
        <w:t xml:space="preserve"> </w:t>
      </w:r>
      <w:r>
        <w:t xml:space="preserve">ICC is computed as the level-specific variance divided by the sum of that variance and the residual variance. These components are reported as exploratory. Each clinician contributes at most two calls and each matched pair at most four, so the variance components are weakly identified; in simulation under the anticipated design the matched-pair variance was not reliably distinguishable from zero. They are presented to characterize the correlation structure, not as estimates the study is powered to support.</w:t>
      </w:r>
    </w:p>
    <w:bookmarkStart w:id="52" w:name="figure-legends"/>
    <w:p>
      <w:pPr>
        <w:pStyle w:val="Heading3"/>
      </w:pPr>
      <w:r>
        <w:t xml:space="preserve">Figure Legends</w:t>
      </w:r>
    </w:p>
    <w:p>
      <w:pPr>
        <w:pStyle w:val="FirstParagraph"/>
      </w:pPr>
      <w:r>
        <w:rPr>
          <w:b/>
          <w:bCs/>
        </w:rPr>
        <w:t xml:space="preserve">Figure 1.</w:t>
      </w:r>
      <w:r>
        <w:t xml:space="preserve"> </w:t>
      </w:r>
      <w:r>
        <w:t xml:space="preserve">Appointment obtainment (Medicaid acceptance) rates by ownership group. Bar chart of the percentage of successful new-patient appointment offers for commercial BCBS PPO vs. Medicaid across independent private practices and PE-backed clinics (dummy placeholders).</w:t>
      </w:r>
    </w:p>
    <w:p>
      <w:pPr>
        <w:pStyle w:val="BodyText"/>
      </w:pPr>
      <w:r>
        <w:rPr>
          <w:b/>
          <w:bCs/>
        </w:rPr>
        <w:t xml:space="preserve">Figure 2.</w:t>
      </w:r>
      <w:r>
        <w:t xml:space="preserve"> </w:t>
      </w:r>
      <w:r>
        <w:t xml:space="preserve">Distribution of new-patient gynecology wait times (business days) by payer. Density curves for commercial BCBS PPO vs. Medicaid at independent vs. PE-backed clinics (dummy placeholders).</w:t>
      </w:r>
    </w:p>
    <w:p>
      <w:pPr>
        <w:pStyle w:val="BodyText"/>
      </w:pPr>
      <w:r>
        <w:rPr>
          <w:b/>
          <w:bCs/>
        </w:rPr>
        <w:t xml:space="preserve">Figure 3.</w:t>
      </w:r>
      <w:r>
        <w:t xml:space="preserve"> </w:t>
      </w:r>
      <w:r>
        <w:t xml:space="preserve">STROBE flow diagram of clinic inclusion and exclusion, showing the sampling and matching pathway for PE-backed clinics and independent matched controls.</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qFormat/>
    <w:pPr>
      <w:spacing w:after="180" w:before="180"/>
    </w:pPr>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sz w:val="24"/>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24"/>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4"/>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4"/>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4"/>
      <w:szCs w:val="20"/>
    </w:rPr>
  </w:style>
  <w:style w:styleId="Bibliography" w:type="paragraph">
    <w:name w:val="Bibliography"/>
    <w:basedOn w:val="Normal"/>
    <w:next w:val="Bibliography"/>
    <w:qFormat/>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sz w:val="24"/>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Color="accent1" w:themeShade="BF" w:val="0F4761"/>
      <w:sz w:val="24"/>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Color="text1" w:themeTint="A6" w:val="595959"/>
      <w:sz w:val="24"/>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Color="text1" w:themeTint="A6" w:val="595959"/>
      <w:sz w:val="24"/>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Color="text1" w:themeTint="D8" w:val="272727"/>
      <w:sz w:val="24"/>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Color="text1" w:themeTint="D8" w:val="272727"/>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sz w:val="24"/>
    </w:rPr>
  </w:style>
  <w:style w:default="1" w:styleId="DefaultParagraphFont" w:type="character">
    <w:name w:val="Default Paragraph Font"/>
    <w:semiHidden/>
    <w:unhideWhenUsed/>
    <w:rPr>
      <w:rFonts w:ascii="Times New Roman" w:cs="Times New Roman" w:eastAsia="Times New Roman" w:hAnsi="Times New Roman"/>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sz w:val="24"/>
    </w:rPr>
  </w:style>
  <w:style w:customStyle="1" w:styleId="Definition" w:type="paragraph">
    <w:name w:val="Definition"/>
    <w:basedOn w:val="Normal"/>
    <w:rPr>
      <w:rFonts w:ascii="Times New Roman" w:cs="Times New Roman" w:eastAsia="Times New Roman" w:hAnsi="Times New Roman"/>
      <w:sz w:val="24"/>
    </w:rPr>
  </w:style>
  <w:style w:styleId="Caption" w:type="paragraph">
    <w:name w:val="Caption"/>
    <w:basedOn w:val="Normal"/>
    <w:link w:val="BodyTextChar"/>
    <w:pPr>
      <w:spacing w:after="120" w:before="0"/>
    </w:pPr>
    <w:rPr>
      <w:rFonts w:ascii="Times New Roman" w:cs="Times New Roman" w:eastAsia="Times New Roman" w:hAnsi="Times New Roman"/>
      <w:i/>
      <w:sz w:val="24"/>
    </w:rPr>
  </w:style>
  <w:style w:customStyle="1" w:styleId="TableCaption" w:type="paragraph">
    <w:name w:val="Table Caption"/>
    <w:basedOn w:val="Caption"/>
    <w:pPr>
      <w:keepNext/>
    </w:pPr>
    <w:rPr>
      <w:rFonts w:ascii="Times New Roman" w:cs="Times New Roman" w:eastAsia="Times New Roman" w:hAnsi="Times New Roman"/>
      <w:sz w:val="24"/>
    </w:rPr>
  </w:style>
  <w:style w:customStyle="1" w:styleId="ImageCaption" w:type="paragraph">
    <w:name w:val="Image Caption"/>
    <w:basedOn w:val="Caption"/>
    <w:rPr>
      <w:rFonts w:ascii="Times New Roman" w:cs="Times New Roman" w:eastAsia="Times New Roman" w:hAnsi="Times New Roman"/>
      <w:sz w:val="24"/>
    </w:rPr>
  </w:style>
  <w:style w:customStyle="1" w:styleId="Figure" w:type="paragraph">
    <w:name w:val="Figure"/>
    <w:basedOn w:val="Normal"/>
    <w:rPr>
      <w:rFonts w:ascii="Times New Roman" w:cs="Times New Roman" w:eastAsia="Times New Roman" w:hAnsi="Times New Roman"/>
      <w:sz w:val="24"/>
    </w:rPr>
  </w:style>
  <w:style w:customStyle="1" w:styleId="CaptionedFigure" w:type="paragraph">
    <w:name w:val="Captioned Figure"/>
    <w:basedOn w:val="Figure"/>
    <w:pPr>
      <w:keepNext/>
    </w:pPr>
    <w:rPr>
      <w:rFonts w:ascii="Times New Roman" w:cs="Times New Roman" w:eastAsia="Times New Roman" w:hAnsi="Times New Roman"/>
      <w:sz w:val="24"/>
    </w:rPr>
  </w:style>
  <w:style w:customStyle="1" w:styleId="BodyTextChar" w:type="character">
    <w:name w:val="Body Text Char"/>
    <w:basedOn w:val="DefaultParagraphFont"/>
    <w:link w:val="BodyText"/>
    <w:rPr>
      <w:rFonts w:ascii="Times New Roman" w:cs="Times New Roman" w:eastAsia="Times New Roman" w:hAnsi="Times New Roman"/>
      <w:sz w:val="24"/>
    </w:rPr>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rPr>
      <w:rFonts w:ascii="Times New Roman" w:cs="Times New Roman" w:eastAsia="Times New Roman" w:hAnsi="Times New Roman"/>
      <w:sz w:val="24"/>
    </w:rPr>
  </w:style>
  <w:style w:styleId="FootnoteReference" w:type="character">
    <w:name w:val="Footnote Reference"/>
    <w:basedOn w:val="BodyTextChar"/>
    <w:rPr>
      <w:rFonts w:ascii="Times New Roman" w:cs="Times New Roman" w:eastAsia="Times New Roman" w:hAnsi="Times New Roman"/>
      <w:sz w:val="24"/>
      <w:vertAlign w:val="superscript"/>
    </w:rPr>
  </w:style>
  <w:style w:styleId="Hyperlink" w:type="character">
    <w:name w:val="Hyperlink"/>
    <w:basedOn w:val="BodyTextChar"/>
    <w:rPr>
      <w:rFonts w:ascii="Times New Roman" w:cs="Times New Roman" w:eastAsia="Times New Roman" w:hAnsi="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doi.org/10.1001/jama.2019.21844" TargetMode="External" /><Relationship Type="http://schemas.openxmlformats.org/officeDocument/2006/relationships/hyperlink" Id="rId34" Target="https://doi.org/10.1001/jama.2023.23147" TargetMode="External" /><Relationship Type="http://schemas.openxmlformats.org/officeDocument/2006/relationships/hyperlink" Id="rId44" Target="https://doi.org/10.1001/jama.294.10.1248" TargetMode="External" /><Relationship Type="http://schemas.openxmlformats.org/officeDocument/2006/relationships/hyperlink" Id="rId36" Target="https://doi.org/10.1001/jamadermatol.2019.1634" TargetMode="External" /><Relationship Type="http://schemas.openxmlformats.org/officeDocument/2006/relationships/hyperlink" Id="rId32" Target="https://doi.org/10.1001/jamainternmed.2020.3552" TargetMode="External" /><Relationship Type="http://schemas.openxmlformats.org/officeDocument/2006/relationships/hyperlink" Id="rId38" Target="https://doi.org/10.1016/j.ophtha.2023.09.029" TargetMode="External" /><Relationship Type="http://schemas.openxmlformats.org/officeDocument/2006/relationships/hyperlink" Id="rId28" Target="https://doi.org/10.1056/NEJMp2032115" TargetMode="External" /><Relationship Type="http://schemas.openxmlformats.org/officeDocument/2006/relationships/hyperlink" Id="rId42" Target="https://doi.org/10.1056/NEJMsa1013285" TargetMode="External" /><Relationship Type="http://schemas.openxmlformats.org/officeDocument/2006/relationships/hyperlink" Id="rId30" Target="https://doi.org/10.1136/bmj-2023-075244" TargetMode="External" /><Relationship Type="http://schemas.openxmlformats.org/officeDocument/2006/relationships/hyperlink" Id="rId46" Target="https://doi.org/10.18637/jss.v067.i01" TargetMode="External" /><Relationship Type="http://schemas.openxmlformats.org/officeDocument/2006/relationships/hyperlink" Id="rId48" Target="https://doi.org/10.32614/RJ-2017-066" TargetMode="External" /><Relationship Type="http://schemas.openxmlformats.org/officeDocument/2006/relationships/hyperlink" Id="rId40" Target="https://www.kff.org/medicaid/state-indicator/births-financed-by-medicaid/"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01/jama.2019.21844" TargetMode="External" /><Relationship Type="http://schemas.openxmlformats.org/officeDocument/2006/relationships/hyperlink" Id="rId34" Target="https://doi.org/10.1001/jama.2023.23147" TargetMode="External" /><Relationship Type="http://schemas.openxmlformats.org/officeDocument/2006/relationships/hyperlink" Id="rId44" Target="https://doi.org/10.1001/jama.294.10.1248" TargetMode="External" /><Relationship Type="http://schemas.openxmlformats.org/officeDocument/2006/relationships/hyperlink" Id="rId36" Target="https://doi.org/10.1001/jamadermatol.2019.1634" TargetMode="External" /><Relationship Type="http://schemas.openxmlformats.org/officeDocument/2006/relationships/hyperlink" Id="rId32" Target="https://doi.org/10.1001/jamainternmed.2020.3552" TargetMode="External" /><Relationship Type="http://schemas.openxmlformats.org/officeDocument/2006/relationships/hyperlink" Id="rId38" Target="https://doi.org/10.1016/j.ophtha.2023.09.029" TargetMode="External" /><Relationship Type="http://schemas.openxmlformats.org/officeDocument/2006/relationships/hyperlink" Id="rId28" Target="https://doi.org/10.1056/NEJMp2032115" TargetMode="External" /><Relationship Type="http://schemas.openxmlformats.org/officeDocument/2006/relationships/hyperlink" Id="rId42" Target="https://doi.org/10.1056/NEJMsa1013285" TargetMode="External" /><Relationship Type="http://schemas.openxmlformats.org/officeDocument/2006/relationships/hyperlink" Id="rId30" Target="https://doi.org/10.1136/bmj-2023-075244" TargetMode="External" /><Relationship Type="http://schemas.openxmlformats.org/officeDocument/2006/relationships/hyperlink" Id="rId46" Target="https://doi.org/10.18637/jss.v067.i01" TargetMode="External" /><Relationship Type="http://schemas.openxmlformats.org/officeDocument/2006/relationships/hyperlink" Id="rId48" Target="https://doi.org/10.32614/RJ-2017-066" TargetMode="External" /><Relationship Type="http://schemas.openxmlformats.org/officeDocument/2006/relationships/hyperlink" Id="rId40" Target="https://www.kff.org/medicaid/state-indicator/births-financed-by-medica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2026-08-10T03:21:26Z</dcterms:created>
  <dcterms:modified xsi:type="dcterms:W3CDTF">2026-08-10T03:21:26Z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ama.csl</vt:lpwstr>
  </property>
</Properties>
</file>