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w:t>
      </w:r>
    </w:p>
    <w:p>
      <w:r>
        <w:t>Tyler Muffly, MD¹; Lizeth [Last Name], [Credentials]²; Taylor Gatson, [Credentials]²</w:t>
      </w:r>
    </w:p>
    <w:p>
      <w:r>
        <w:t>Affiliations:</w:t>
      </w:r>
    </w:p>
    <w:p>
      <w:r>
        <w:t>¹ Department of Obstetrics and Gynecology, Denver Health and Hospital Authority, Denver, CO</w:t>
      </w:r>
    </w:p>
    <w:p>
      <w:r>
        <w:t>² Department of Obstetrics and Gynecology, University of Colorado School of Medicine, Aurora, CO</w:t>
      </w:r>
    </w:p>
    <w:p>
      <w:r>
        <w:t>Corresponding Author:</w:t>
      </w:r>
    </w:p>
    <w:p>
      <w:r>
        <w:t>Tyler Muffly, MD</w:t>
      </w:r>
    </w:p>
    <w:p>
      <w:r>
        <w:t>Denver Health and Hospital Authority</w:t>
      </w:r>
    </w:p>
    <w:p>
      <w:r>
        <w:t>777 Bannock Street, Denver, CO 80204</w:t>
      </w:r>
    </w:p>
    <w:p>
      <w:r>
        <w:t>Email: tyler.muffly@dhha.org</w:t>
      </w:r>
    </w:p>
    <w:p>
      <w:r>
        <w:t>Target Journal: Obstetrics &amp; Gynecology (The Green Journal)</w:t>
      </w:r>
    </w:p>
    <w:p>
      <w:r>
        <w:t>Word Count (Text Only): [XXXX] words</w:t>
      </w:r>
    </w:p>
    <w:p>
      <w:r>
        <w:t>Abstract Word Count: [124] words</w:t>
      </w:r>
    </w:p>
    <w:p>
      <w:r>
        <w:t>Number of Tables: 4</w:t>
      </w:r>
    </w:p>
    <w:p>
      <w:r>
        <w:t>Number of Figures: 2</w:t>
      </w:r>
    </w:p>
    <w:p>
      <w:r>
        <w:t>Funding/Financial Support: None.</w:t>
      </w:r>
    </w:p>
    <w:p>
      <w:r>
        <w:t>Conflict of Interest: The authors have no conflicts of interest to disclose.</w:t>
      </w:r>
    </w:p>
    <w:p>
      <w:r>
        <w:t>IRB Approval: Approved by the Colorado Multiple Institutional Review Board (COMIRB Protocol No. [XXXXX]) with a waiver of provider and patient consent.</w:t>
      </w:r>
    </w:p>
    <w:p>
      <w:r>
        <w:br w:type="page"/>
      </w:r>
    </w:p>
    <w:p>
      <w:r>
        <w:t>Précis</w:t>
      </w:r>
    </w:p>
    <w:p>
      <w:r>
        <w:t>Private equity ownership of generalist OB-GYN practices is associated with a [31.5]% reduction in Medicaid acceptance and a doubling of scheduling wait-time disparities.</w:t>
      </w:r>
    </w:p>
    <w:p>
      <w:r>
        <w:br w:type="page"/>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r>
        <w:t>--</w:t>
      </w:r>
    </w:p>
    <w:p>
      <w:pPr>
        <w:spacing w:before="240" w:after="120"/>
      </w:pPr>
      <w:r>
        <w:rPr>
          <w:b/>
          <w:sz w:val="28"/>
        </w:rPr>
        <w:t>Introduction</w:t>
      </w:r>
    </w:p>
    <w:p>
      <w:r>
        <w:t>Over the last decade, corporate consolidation and financialization have transformed the delivery of healthcare in the United States. Private equity (PE) firms, investment partnerships that purchase private companies, restructure them, and aim to sell them for a profit within a short time horizon (typically 3 to 7 years), 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 specifically corporate PE ownership versus traditional independent private practice, 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r>
        <w:t>--</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 provider gender (enforcing an exact match), medical credentials (MD vs. DO), years in practice (matched within a five-year range), and Open Payments program activity as a proxy for industry engagement and practice profile.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 a patient covered by the state's Medicaid program or as a patient covered by a commercial Blue Cross Blue Shield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r>
        <w:t>The study evaluated two co-primary outcomes: the appointment obtainment rate, defined as a binary indicator of whether the caller was successfully offered a scheduling date, and the appointment wait time, measured in business days between the call date and the first available appointment. Secondary outcomes included administrative barriers encountered during scheduling, such as requirements for upfront copayments, primary care referrals, or prior authorizations.</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(4) and glmmTMB (5) packages in R to account for the nested structure of the data:</w:t>
      </w:r>
    </w:p>
    <w:p>
      <w:r>
        <w:t>Fixed effects included clinic ownership (private equity vs. independent), patient insurance type (Medicaid vs. commercial), and their interaction, while random effects consisted of a matched-pair intercept and an individual clinician intercept to account for correlation within matched pairs and repeated call measures.</w:t>
      </w:r>
    </w:p>
    <w:p>
      <w:r>
        <w:t>--</w:t>
      </w:r>
    </w:p>
    <w:p>
      <w:pPr>
        <w:spacing w:before="240" w:after="120"/>
      </w:pPr>
      <w:r>
        <w:rPr>
          <w:b/>
          <w:sz w:val="28"/>
        </w:rPr>
        <w:t>Results</w:t>
      </w:r>
    </w:p>
    <w:p>
      <w:pPr>
        <w:spacing w:before="120" w:after="80"/>
      </w:pPr>
      <w:r>
        <w:rPr>
          <w:b/>
          <w:i/>
          <w:sz w:val="24"/>
        </w:rPr>
        <w:t>Baseline Cohort Demographics (Table 1)</w:t>
      </w:r>
    </w:p>
    <w:p>
      <w:r>
        <w:t>Our propensity-score matching pipeline yielded highly balanced baseline characteristics across the [400] fielded clinicians (200 PE-employed, 200 independent controls). Table 1 presents the actual demographic data compiled for the calling campaign.</w:t>
      </w:r>
    </w:p>
    <w:p>
      <w:pPr>
        <w:spacing w:before="120" w:after="80"/>
      </w:pPr>
      <w:r>
        <w:rPr>
          <w:b/>
          <w:i/>
          <w:sz w:val="24"/>
        </w:rPr>
        <w:t>Appointment Obtainment Rates (Medicaid Acceptance) (Table 2)</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(Table 2).</w:t>
      </w:r>
    </w:p>
    <w:p>
      <w:pPr>
        <w:spacing w:before="120" w:after="80"/>
      </w:pPr>
      <w:r>
        <w:rPr>
          <w:b/>
          <w:i/>
          <w:sz w:val="24"/>
        </w:rPr>
        <w:t>Scheduling Wait Times (Table 3)</w:t>
      </w:r>
    </w:p>
    <w:p>
      <w:r>
        <w:t>Among clinics that successfully scheduled new-patient GYN appointments, wait times were significantly longer for Medicaid patients, and this disparity was amplified in PE-backed offices (Table 3).</w:t>
      </w:r>
    </w:p>
    <w:p>
      <w:r>
        <w:t>Specifically, Medicaid patients at independent practices waited an average of [11.3] days longer than commercially insured patients, whereas Medicaid patients at private equity-backed practices waited an average of [22.3] days longer, representing a near-doubling of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Mixed-Effects Regression Outcomes (Table 4)</w:t>
      </w:r>
    </w:p>
    <w:p>
      <w:r>
        <w:t>Table 4 presents the odds ratios (OR) for appointment obtainment and incidence rate ratios (IRR) for wait times derived from our regression models.</w:t>
      </w:r>
    </w:p>
    <w:p>
      <w:r>
        <w:t>--</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 such as capping the number of Medicaid appointments allowed per month or routing Medicaid scheduling through centralized call centers that enforce additional administrative hurdles, 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r>
        <w:t>--</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p>
      <w:r>
        <w:t>4. Bates D, Mächler M, Bolker B, Walker S. Fitting Linear Mixed-Effects Models Using lme4. J Stat Softw. 2015;67(1):1-48.</w:t>
      </w:r>
    </w:p>
    <w:p>
      <w:r>
        <w:t>5. Brooks ME, Kristensen K, van Benthem KJ, et al. glmmTMB Balances Speed and Flexibility among Packages for Zero-inflated Generalized Linear Mixed Modeling. R J. 2017;9(2):378-400.</w:t>
      </w:r>
    </w:p>
    <w:p>
      <w:r>
        <w:t>--</w:t>
      </w:r>
    </w:p>
    <w:p>
      <w:pPr>
        <w:spacing w:before="240" w:after="120"/>
      </w:pPr>
      <w:r>
        <w:rPr>
          <w:b/>
          <w:sz w:val="28"/>
        </w:rPr>
        <w:t>Tables and Figures</w:t>
      </w:r>
    </w:p>
    <w:p>
      <w:pPr>
        <w:spacing w:before="120" w:after="80"/>
      </w:pPr>
      <w:r>
        <w:rPr>
          <w:b/>
          <w:i/>
          <w:sz w:val="24"/>
        </w:rPr>
        <w:t>Table 1: Baseline Clinician and Practice Characteristics (Fielded Cohort)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Independent Private Practice (N = 200)</w:t>
            </w:r>
          </w:p>
        </w:tc>
        <w:tc>
          <w:tcPr>
            <w:tcW w:type="dxa" w:w="2340"/>
          </w:tcPr>
          <w:p>
            <w:r>
              <w:t>PE-Backed Corporate Practice (N = 200)</w:t>
            </w:r>
          </w:p>
        </w:tc>
        <w:tc>
          <w:tcPr>
            <w:tcW w:type="dxa" w:w="2340"/>
          </w:tcPr>
          <w:p>
            <w:r>
              <w:t>p-value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Credentials</w:t>
            </w:r>
          </w:p>
        </w:tc>
        <w:tc>
          <w:tcPr>
            <w:tcW w:type="dxa" w:w="2340"/>
          </w:tcPr>
          <w:p>
            <w:r/>
          </w:p>
        </w:tc>
        <w:tc>
          <w:tcPr>
            <w:tcW w:type="dxa" w:w="2340"/>
          </w:tcPr>
          <w:p>
            <w:r/>
          </w:p>
        </w:tc>
        <w:tc>
          <w:tcPr>
            <w:tcW w:type="dxa" w:w="2340"/>
          </w:tcPr>
          <w:p>
            <w:r>
              <w:t>[0.99]</w:t>
            </w:r>
          </w:p>
        </w:tc>
      </w:tr>
      <w:tr>
        <w:tc>
          <w:tcPr>
            <w:tcW w:type="dxa" w:w="2340"/>
          </w:tcPr>
          <w:p>
            <w:r>
              <w:t>- MD</w:t>
            </w:r>
          </w:p>
        </w:tc>
        <w:tc>
          <w:tcPr>
            <w:tcW w:type="dxa" w:w="2340"/>
          </w:tcPr>
          <w:p>
            <w:r>
              <w:t>187 (93.5%)</w:t>
            </w:r>
          </w:p>
        </w:tc>
        <w:tc>
          <w:tcPr>
            <w:tcW w:type="dxa" w:w="2340"/>
          </w:tcPr>
          <w:p>
            <w:r>
              <w:t>183 (91.5%)</w:t>
            </w:r>
          </w:p>
        </w:tc>
        <w:tc>
          <w:tcPr>
            <w:tcW w:type="dxa" w:w="2340"/>
          </w:tcPr>
          <w:p>
            <w:r/>
          </w:p>
        </w:tc>
      </w:tr>
      <w:tr>
        <w:tc>
          <w:tcPr>
            <w:tcW w:type="dxa" w:w="2340"/>
          </w:tcPr>
          <w:p>
            <w:r>
              <w:t>- DO</w:t>
            </w:r>
          </w:p>
        </w:tc>
        <w:tc>
          <w:tcPr>
            <w:tcW w:type="dxa" w:w="2340"/>
          </w:tcPr>
          <w:p>
            <w:r>
              <w:t>13 (6.5%)</w:t>
            </w:r>
          </w:p>
        </w:tc>
        <w:tc>
          <w:tcPr>
            <w:tcW w:type="dxa" w:w="2340"/>
          </w:tcPr>
          <w:p>
            <w:r>
              <w:t>16 (8.0%)</w:t>
            </w:r>
          </w:p>
        </w:tc>
        <w:tc>
          <w:tcPr>
            <w:tcW w:type="dxa" w:w="2340"/>
          </w:tcPr>
          <w:p>
            <w:r/>
          </w:p>
        </w:tc>
      </w:tr>
      <w:tr>
        <w:tc>
          <w:tcPr>
            <w:tcW w:type="dxa" w:w="2340"/>
          </w:tcPr>
          <w:p>
            <w:r>
              <w:t>Gender</w:t>
            </w:r>
          </w:p>
        </w:tc>
        <w:tc>
          <w:tcPr>
            <w:tcW w:type="dxa" w:w="2340"/>
          </w:tcPr>
          <w:p>
            <w:r/>
          </w:p>
        </w:tc>
        <w:tc>
          <w:tcPr>
            <w:tcW w:type="dxa" w:w="2340"/>
          </w:tcPr>
          <w:p>
            <w:r/>
          </w:p>
        </w:tc>
        <w:tc>
          <w:tcPr>
            <w:tcW w:type="dxa" w:w="2340"/>
          </w:tcPr>
          <w:p>
            <w:r>
              <w:t>[0.99]</w:t>
            </w:r>
          </w:p>
        </w:tc>
      </w:tr>
      <w:tr>
        <w:tc>
          <w:tcPr>
            <w:tcW w:type="dxa" w:w="2340"/>
          </w:tcPr>
          <w:p>
            <w:r>
              <w:t>- Female</w:t>
            </w:r>
          </w:p>
        </w:tc>
        <w:tc>
          <w:tcPr>
            <w:tcW w:type="dxa" w:w="2340"/>
          </w:tcPr>
          <w:p>
            <w:r>
              <w:t>121 (60.5%)</w:t>
            </w:r>
          </w:p>
        </w:tc>
        <w:tc>
          <w:tcPr>
            <w:tcW w:type="dxa" w:w="2340"/>
          </w:tcPr>
          <w:p>
            <w:r>
              <w:t>137 (68.5%)</w:t>
            </w:r>
          </w:p>
        </w:tc>
        <w:tc>
          <w:tcPr>
            <w:tcW w:type="dxa" w:w="2340"/>
          </w:tcPr>
          <w:p>
            <w:r/>
          </w:p>
        </w:tc>
      </w:tr>
      <w:tr>
        <w:tc>
          <w:tcPr>
            <w:tcW w:type="dxa" w:w="2340"/>
          </w:tcPr>
          <w:p>
            <w:r>
              <w:t>- Male</w:t>
            </w:r>
          </w:p>
        </w:tc>
        <w:tc>
          <w:tcPr>
            <w:tcW w:type="dxa" w:w="2340"/>
          </w:tcPr>
          <w:p>
            <w:r>
              <w:t>79 (39.5%)</w:t>
            </w:r>
          </w:p>
        </w:tc>
        <w:tc>
          <w:tcPr>
            <w:tcW w:type="dxa" w:w="2340"/>
          </w:tcPr>
          <w:p>
            <w:r>
              <w:t>63 (31.5%)</w:t>
            </w:r>
          </w:p>
        </w:tc>
        <w:tc>
          <w:tcPr>
            <w:tcW w:type="dxa" w:w="2340"/>
          </w:tcPr>
          <w:p>
            <w:r/>
          </w:p>
        </w:tc>
      </w:tr>
      <w:tr>
        <w:tc>
          <w:tcPr>
            <w:tcW w:type="dxa" w:w="2340"/>
          </w:tcPr>
          <w:p>
            <w:r>
              <w:t>Years in Practice (mean ± SD)</w:t>
            </w:r>
          </w:p>
        </w:tc>
        <w:tc>
          <w:tcPr>
            <w:tcW w:type="dxa" w:w="2340"/>
          </w:tcPr>
          <w:p>
            <w:r>
              <w:t>24.6 (±11.5)</w:t>
            </w:r>
          </w:p>
        </w:tc>
        <w:tc>
          <w:tcPr>
            <w:tcW w:type="dxa" w:w="2340"/>
          </w:tcPr>
          <w:p>
            <w:r>
              <w:t>23.0 (±12.3)</w:t>
            </w:r>
          </w:p>
        </w:tc>
        <w:tc>
          <w:tcPr>
            <w:tcW w:type="dxa" w:w="2340"/>
          </w:tcPr>
          <w:p>
            <w:r>
              <w:t>[0.95]</w:t>
            </w:r>
          </w:p>
        </w:tc>
      </w:tr>
      <w:tr>
        <w:tc>
          <w:tcPr>
            <w:tcW w:type="dxa" w:w="2340"/>
          </w:tcPr>
          <w:p>
            <w:r>
              <w:t>Open Payments Years (mean ± SD)</w:t>
            </w:r>
          </w:p>
        </w:tc>
        <w:tc>
          <w:tcPr>
            <w:tcW w:type="dxa" w:w="2340"/>
          </w:tcPr>
          <w:p>
            <w:r>
              <w:t>6.7 (±2.1)</w:t>
            </w:r>
          </w:p>
        </w:tc>
        <w:tc>
          <w:tcPr>
            <w:tcW w:type="dxa" w:w="2340"/>
          </w:tcPr>
          <w:p>
            <w:r>
              <w:t>6.4 (±2.3)</w:t>
            </w:r>
          </w:p>
        </w:tc>
        <w:tc>
          <w:tcPr>
            <w:tcW w:type="dxa" w:w="2340"/>
          </w:tcPr>
          <w:p>
            <w:r>
              <w:t>[0.96]</w:t>
            </w:r>
          </w:p>
        </w:tc>
      </w:tr>
    </w:tbl>
    <w:p/>
    <w:p>
      <w:r>
        <w:t>Note: All matching parameters show high balance between the corporate private equity and independent private practice groups (p &gt; 0.05).</w:t>
      </w:r>
    </w:p>
    <w:p>
      <w:pPr>
        <w:spacing w:before="120" w:after="80"/>
      </w:pPr>
      <w:r>
        <w:rPr>
          <w:b/>
          <w:i/>
          <w:sz w:val="24"/>
        </w:rPr>
        <w:t>Table 2: Appointment Obtainment (Medicaid Acceptance) Rates (Dummy)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Payer Type</w:t>
            </w:r>
          </w:p>
        </w:tc>
        <w:tc>
          <w:tcPr>
            <w:tcW w:type="dxa" w:w="1872"/>
          </w:tcPr>
          <w:p>
            <w:r>
              <w:t>Independent Practice (N = [200])</w:t>
            </w:r>
          </w:p>
        </w:tc>
        <w:tc>
          <w:tcPr>
            <w:tcW w:type="dxa" w:w="1872"/>
          </w:tcPr>
          <w:p>
            <w:r>
              <w:t>PE-Backed Practice (N = [200])</w:t>
            </w:r>
          </w:p>
        </w:tc>
        <w:tc>
          <w:tcPr>
            <w:tcW w:type="dxa" w:w="1872"/>
          </w:tcPr>
          <w:p>
            <w:r>
              <w:t>Risk Difference (95% CI)</w:t>
            </w:r>
          </w:p>
        </w:tc>
        <w:tc>
          <w:tcPr>
            <w:tcW w:type="dxa" w:w="1872"/>
          </w:tcPr>
          <w:p>
            <w:r>
              <w:t>p-value</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Commercial BCBS PPO</w:t>
            </w:r>
          </w:p>
        </w:tc>
        <w:tc>
          <w:tcPr>
            <w:tcW w:type="dxa" w:w="1872"/>
          </w:tcPr>
          <w:p>
            <w:r>
              <w:t>[98.5]% ([197]/[200])</w:t>
            </w:r>
          </w:p>
        </w:tc>
        <w:tc>
          <w:tcPr>
            <w:tcW w:type="dxa" w:w="1872"/>
          </w:tcPr>
          <w:p>
            <w:r>
              <w:t>[99.0]% ([198]/[200])</w:t>
            </w:r>
          </w:p>
        </w:tc>
        <w:tc>
          <w:tcPr>
            <w:tcW w:type="dxa" w:w="1872"/>
          </w:tcPr>
          <w:p>
            <w:r>
              <w:t>[+0.5]% ([-1.8]% to [+2.8]%)</w:t>
            </w:r>
          </w:p>
        </w:tc>
        <w:tc>
          <w:tcPr>
            <w:tcW w:type="dxa" w:w="1872"/>
          </w:tcPr>
          <w:p>
            <w:r>
              <w:t>[p = 0.68]</w:t>
            </w:r>
          </w:p>
        </w:tc>
      </w:tr>
      <w:tr>
        <w:tc>
          <w:tcPr>
            <w:tcW w:type="dxa" w:w="1872"/>
          </w:tcPr>
          <w:p>
            <w:r>
              <w:t>Medicaid</w:t>
            </w:r>
          </w:p>
        </w:tc>
        <w:tc>
          <w:tcPr>
            <w:tcW w:type="dxa" w:w="1872"/>
          </w:tcPr>
          <w:p>
            <w:r>
              <w:t>[72.5]% (145/[200])</w:t>
            </w:r>
          </w:p>
        </w:tc>
        <w:tc>
          <w:tcPr>
            <w:tcW w:type="dxa" w:w="1872"/>
          </w:tcPr>
          <w:p>
            <w:r>
              <w:t>[41.0]% (82/[200])</w:t>
            </w:r>
          </w:p>
        </w:tc>
        <w:tc>
          <w:tcPr>
            <w:tcW w:type="dxa" w:w="1872"/>
          </w:tcPr>
          <w:p>
            <w:r>
              <w:t>[-31.5]% ([-40.5]% to [-22.5]%)</w:t>
            </w:r>
          </w:p>
        </w:tc>
        <w:tc>
          <w:tcPr>
            <w:tcW w:type="dxa" w:w="1872"/>
          </w:tcPr>
          <w:p>
            <w:r>
              <w:t>[p &lt; 0.001]</w:t>
            </w:r>
          </w:p>
        </w:tc>
      </w:tr>
    </w:tbl>
    <w:p/>
    <w:p>
      <w:pPr>
        <w:spacing w:before="120" w:after="80"/>
      </w:pPr>
      <w:r>
        <w:rPr>
          <w:b/>
          <w:i/>
          <w:sz w:val="24"/>
        </w:rPr>
        <w:t>Table 3: New-Patient GYN Appointment Wait Times (Business Days)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Group / Payer</w:t>
            </w:r>
          </w:p>
        </w:tc>
        <w:tc>
          <w:tcPr>
            <w:tcW w:type="dxa" w:w="2340"/>
          </w:tcPr>
          <w:p>
            <w:r>
              <w:t>Commercial BCBS PPO (N = [395] Scheduled)</w:t>
            </w:r>
          </w:p>
        </w:tc>
        <w:tc>
          <w:tcPr>
            <w:tcW w:type="dxa" w:w="2340"/>
          </w:tcPr>
          <w:p>
            <w:r>
              <w:t>Medicaid (N = [227] Scheduled)</w:t>
            </w:r>
          </w:p>
        </w:tc>
        <w:tc>
          <w:tcPr>
            <w:tcW w:type="dxa" w:w="2340"/>
          </w:tcPr>
          <w:p>
            <w:r>
              <w:t>Wait-Time Gap (95% CI)</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Independent Practice</w:t>
            </w:r>
          </w:p>
        </w:tc>
        <w:tc>
          <w:tcPr>
            <w:tcW w:type="dxa" w:w="2340"/>
          </w:tcPr>
          <w:p>
            <w:r>
              <w:t>[12.1] days (SD [6.8])</w:t>
            </w:r>
          </w:p>
        </w:tc>
        <w:tc>
          <w:tcPr>
            <w:tcW w:type="dxa" w:w="2340"/>
          </w:tcPr>
          <w:p>
            <w:r>
              <w:t>[23.4] days (SD [11.2])</w:t>
            </w:r>
          </w:p>
        </w:tc>
        <w:tc>
          <w:tcPr>
            <w:tcW w:type="dxa" w:w="2340"/>
          </w:tcPr>
          <w:p>
            <w:r>
              <w:t>[11.3] days ([9.4] to [13.2])</w:t>
            </w:r>
          </w:p>
        </w:tc>
      </w:tr>
      <w:tr>
        <w:tc>
          <w:tcPr>
            <w:tcW w:type="dxa" w:w="2340"/>
          </w:tcPr>
          <w:p>
            <w:r>
              <w:t>PE-Backed Practice</w:t>
            </w:r>
          </w:p>
        </w:tc>
        <w:tc>
          <w:tcPr>
            <w:tcW w:type="dxa" w:w="2340"/>
          </w:tcPr>
          <w:p>
            <w:r>
              <w:t>[14.5] days (SD [8.2])</w:t>
            </w:r>
          </w:p>
        </w:tc>
        <w:tc>
          <w:tcPr>
            <w:tcW w:type="dxa" w:w="2340"/>
          </w:tcPr>
          <w:p>
            <w:r>
              <w:t>[36.8] days (SD [18.4])</w:t>
            </w:r>
          </w:p>
        </w:tc>
        <w:tc>
          <w:tcPr>
            <w:tcW w:type="dxa" w:w="2340"/>
          </w:tcPr>
          <w:p>
            <w:r>
              <w:t>[22.3] days ([17.8] to [26.8])</w:t>
            </w:r>
          </w:p>
        </w:tc>
      </w:tr>
    </w:tbl>
    <w:p/>
    <w:p>
      <w:pPr>
        <w:spacing w:before="120" w:after="80"/>
      </w:pPr>
      <w:r>
        <w:rPr>
          <w:b/>
          <w:i/>
          <w:sz w:val="24"/>
        </w:rPr>
        <w:t>Table 4: Mixed-Effects Regression Outcomes for Obtainment and Wait Times (Dummy)</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Outcome / Variable</w:t>
            </w:r>
          </w:p>
        </w:tc>
        <w:tc>
          <w:tcPr>
            <w:tcW w:type="dxa" w:w="1337"/>
          </w:tcPr>
          <w:p>
            <w:r>
              <w:t>Odds Ratio (Obtainment)</w:t>
            </w:r>
          </w:p>
        </w:tc>
        <w:tc>
          <w:tcPr>
            <w:tcW w:type="dxa" w:w="1337"/>
          </w:tcPr>
          <w:p>
            <w:r>
              <w:t>95% CI</w:t>
            </w:r>
          </w:p>
        </w:tc>
        <w:tc>
          <w:tcPr>
            <w:tcW w:type="dxa" w:w="1337"/>
          </w:tcPr>
          <w:p>
            <w:r>
              <w:t>p-value</w:t>
            </w:r>
          </w:p>
        </w:tc>
        <w:tc>
          <w:tcPr>
            <w:tcW w:type="dxa" w:w="1337"/>
          </w:tcPr>
          <w:p>
            <w:r>
              <w:t>Incidence Rate Ratio (Wait Time)</w:t>
            </w:r>
          </w:p>
        </w:tc>
        <w:tc>
          <w:tcPr>
            <w:tcW w:type="dxa" w:w="1337"/>
          </w:tcPr>
          <w:p>
            <w:r>
              <w:t>95% CI</w:t>
            </w:r>
          </w:p>
        </w:tc>
        <w:tc>
          <w:tcPr>
            <w:tcW w:type="dxa" w:w="1337"/>
          </w:tcPr>
          <w:p>
            <w:r>
              <w:t>p-value</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Payer (Medicaid vs. BCBS)</w:t>
            </w:r>
          </w:p>
        </w:tc>
        <w:tc>
          <w:tcPr>
            <w:tcW w:type="dxa" w:w="1337"/>
          </w:tcPr>
          <w:p>
            <w:r>
              <w:t>[0.15]</w:t>
            </w:r>
          </w:p>
        </w:tc>
        <w:tc>
          <w:tcPr>
            <w:tcW w:type="dxa" w:w="1337"/>
          </w:tcPr>
          <w:p>
            <w:r>
              <w:t>[0.08] to [0.28]</w:t>
            </w:r>
          </w:p>
        </w:tc>
        <w:tc>
          <w:tcPr>
            <w:tcW w:type="dxa" w:w="1337"/>
          </w:tcPr>
          <w:p>
            <w:r>
              <w:t>[p &lt; 0.001]</w:t>
            </w:r>
          </w:p>
        </w:tc>
        <w:tc>
          <w:tcPr>
            <w:tcW w:type="dxa" w:w="1337"/>
          </w:tcPr>
          <w:p>
            <w:r>
              <w:t>[1.93]</w:t>
            </w:r>
          </w:p>
        </w:tc>
        <w:tc>
          <w:tcPr>
            <w:tcW w:type="dxa" w:w="1337"/>
          </w:tcPr>
          <w:p>
            <w:r>
              <w:t>[1.56] to [2.39]</w:t>
            </w:r>
          </w:p>
        </w:tc>
        <w:tc>
          <w:tcPr>
            <w:tcW w:type="dxa" w:w="1337"/>
          </w:tcPr>
          <w:p>
            <w:r>
              <w:t>[p &lt; 0.001]</w:t>
            </w:r>
          </w:p>
        </w:tc>
      </w:tr>
      <w:tr>
        <w:tc>
          <w:tcPr>
            <w:tcW w:type="dxa" w:w="1337"/>
          </w:tcPr>
          <w:p>
            <w:r>
              <w:t>Ownership (PE vs. Control)</w:t>
            </w:r>
          </w:p>
        </w:tc>
        <w:tc>
          <w:tcPr>
            <w:tcW w:type="dxa" w:w="1337"/>
          </w:tcPr>
          <w:p>
            <w:r>
              <w:t>[1.02]</w:t>
            </w:r>
          </w:p>
        </w:tc>
        <w:tc>
          <w:tcPr>
            <w:tcW w:type="dxa" w:w="1337"/>
          </w:tcPr>
          <w:p>
            <w:r>
              <w:t>[0.55] to [1.89]</w:t>
            </w:r>
          </w:p>
        </w:tc>
        <w:tc>
          <w:tcPr>
            <w:tcW w:type="dxa" w:w="1337"/>
          </w:tcPr>
          <w:p>
            <w:r>
              <w:t>[p = 0.94]</w:t>
            </w:r>
          </w:p>
        </w:tc>
        <w:tc>
          <w:tcPr>
            <w:tcW w:type="dxa" w:w="1337"/>
          </w:tcPr>
          <w:p>
            <w:r>
              <w:t>[1.20]</w:t>
            </w:r>
          </w:p>
        </w:tc>
        <w:tc>
          <w:tcPr>
            <w:tcW w:type="dxa" w:w="1337"/>
          </w:tcPr>
          <w:p>
            <w:r>
              <w:t>[0.94] to [1.53]</w:t>
            </w:r>
          </w:p>
        </w:tc>
        <w:tc>
          <w:tcPr>
            <w:tcW w:type="dxa" w:w="1337"/>
          </w:tcPr>
          <w:p>
            <w:r>
              <w:t>[p = 0.14]</w:t>
            </w:r>
          </w:p>
        </w:tc>
      </w:tr>
      <w:tr>
        <w:tc>
          <w:tcPr>
            <w:tcW w:type="dxa" w:w="1337"/>
          </w:tcPr>
          <w:p>
            <w:r>
              <w:t>Payer × Ownership Interaction</w:t>
            </w:r>
          </w:p>
        </w:tc>
        <w:tc>
          <w:tcPr>
            <w:tcW w:type="dxa" w:w="1337"/>
          </w:tcPr>
          <w:p>
            <w:r>
              <w:t>[0.28]</w:t>
            </w:r>
          </w:p>
        </w:tc>
        <w:tc>
          <w:tcPr>
            <w:tcW w:type="dxa" w:w="1337"/>
          </w:tcPr>
          <w:p>
            <w:r>
              <w:t>[0.12] to [0.65]</w:t>
            </w:r>
          </w:p>
        </w:tc>
        <w:tc>
          <w:tcPr>
            <w:tcW w:type="dxa" w:w="1337"/>
          </w:tcPr>
          <w:p>
            <w:r>
              <w:t>[p = 0.003]</w:t>
            </w:r>
          </w:p>
        </w:tc>
        <w:tc>
          <w:tcPr>
            <w:tcW w:type="dxa" w:w="1337"/>
          </w:tcPr>
          <w:p>
            <w:r>
              <w:t>[1.62]</w:t>
            </w:r>
          </w:p>
        </w:tc>
        <w:tc>
          <w:tcPr>
            <w:tcW w:type="dxa" w:w="1337"/>
          </w:tcPr>
          <w:p>
            <w:r>
              <w:t>[1.28] to [2.05]</w:t>
            </w:r>
          </w:p>
        </w:tc>
        <w:tc>
          <w:tcPr>
            <w:tcW w:type="dxa" w:w="1337"/>
          </w:tcPr>
          <w:p>
            <w:r>
              <w:t>[p &lt; 0.001]</w:t>
            </w:r>
          </w:p>
        </w:tc>
      </w:tr>
    </w:tbl>
    <w:p/>
    <w:p>
      <w:r>
        <w:t>Note: Models adjusted for clinician gender, credentials, state, and years in practice. Random intercepts included for matched pair and individual clinician.</w:t>
      </w:r>
    </w:p>
    <w:p>
      <w:r>
        <w:t>--</w:t>
      </w:r>
    </w:p>
    <w:p>
      <w:pPr>
        <w:spacing w:before="240" w:after="120"/>
      </w:pPr>
      <w:r>
        <w:rPr>
          <w:b/>
          <w:sz w:val="28"/>
        </w:rPr>
        <w:t>Supplemental Material</w:t>
      </w:r>
    </w:p>
    <w:p>
      <w:pPr>
        <w:spacing w:before="120" w:after="80"/>
      </w:pPr>
      <w:r>
        <w:rPr>
          <w:b/>
          <w:i/>
          <w:sz w:val="24"/>
        </w:rPr>
        <w:t>Supplemental Table 1: Intraclass Correlation Coefficients (ICC) for Wait-Time GLMM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Model Parameter</w:t>
            </w:r>
          </w:p>
        </w:tc>
        <w:tc>
          <w:tcPr>
            <w:tcW w:type="dxa" w:w="2340"/>
          </w:tcPr>
          <w:p>
            <w:r>
              <w:t>Variance Estimate</w:t>
            </w:r>
          </w:p>
        </w:tc>
        <w:tc>
          <w:tcPr>
            <w:tcW w:type="dxa" w:w="2340"/>
          </w:tcPr>
          <w:p>
            <w:r>
              <w:t>Residual Variance</w:t>
            </w:r>
          </w:p>
        </w:tc>
        <w:tc>
          <w:tcPr>
            <w:tcW w:type="dxa" w:w="2340"/>
          </w:tcPr>
          <w:p>
            <w:r>
              <w:t>Intraclass Correlation Coefficient (ICC)</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Clinician Level (NPI)</w:t>
            </w:r>
          </w:p>
        </w:tc>
        <w:tc>
          <w:tcPr>
            <w:tcW w:type="dxa" w:w="2340"/>
          </w:tcPr>
          <w:p>
            <w:r>
              <w:t>[0.082]</w:t>
            </w:r>
          </w:p>
        </w:tc>
        <w:tc>
          <w:tcPr>
            <w:tcW w:type="dxa" w:w="2340"/>
          </w:tcPr>
          <w:p>
            <w:r>
              <w:t>[0.354]</w:t>
            </w:r>
          </w:p>
        </w:tc>
        <w:tc>
          <w:tcPr>
            <w:tcW w:type="dxa" w:w="2340"/>
          </w:tcPr>
          <w:p>
            <w:r>
              <w:t>[18.8]%</w:t>
            </w:r>
          </w:p>
        </w:tc>
      </w:tr>
      <w:tr>
        <w:tc>
          <w:tcPr>
            <w:tcW w:type="dxa" w:w="2340"/>
          </w:tcPr>
          <w:p>
            <w:r>
              <w:t>Matched Pair Level (Matched_Pair_ID)</w:t>
            </w:r>
          </w:p>
        </w:tc>
        <w:tc>
          <w:tcPr>
            <w:tcW w:type="dxa" w:w="2340"/>
          </w:tcPr>
          <w:p>
            <w:r>
              <w:t>[0.054]</w:t>
            </w:r>
          </w:p>
        </w:tc>
        <w:tc>
          <w:tcPr>
            <w:tcW w:type="dxa" w:w="2340"/>
          </w:tcPr>
          <w:p>
            <w:r>
              <w:t>[0.354]</w:t>
            </w:r>
          </w:p>
        </w:tc>
        <w:tc>
          <w:tcPr>
            <w:tcW w:type="dxa" w:w="2340"/>
          </w:tcPr>
          <w:p>
            <w:r>
              <w:t>[12.4]%</w:t>
            </w:r>
          </w:p>
        </w:tc>
      </w:tr>
    </w:tbl>
    <w:p/>
    <w:p>
      <w:r>
        <w:t>Note: The clinician-level ICC indicates that 18.8% of the remaining variance in wait times is attributable to within-physician factors, justifying the use of repeated-measures random intercepts.</w:t>
      </w:r>
    </w:p>
    <w:p>
      <w:r>
        <w:t>--</w:t>
      </w:r>
    </w:p>
    <w:p>
      <w:pPr>
        <w:spacing w:before="240" w:after="120"/>
      </w:pPr>
      <w:r>
        <w:rPr>
          <w:b/>
          <w:sz w:val="28"/>
        </w:rPr>
        <w:t>Figure Legends</w:t>
      </w:r>
    </w:p>
    <w:p>
      <w:pPr>
        <w:spacing w:before="120" w:after="80"/>
      </w:pPr>
      <w:r>
        <w:rPr>
          <w:b/>
          <w:i/>
          <w:sz w:val="24"/>
        </w:rPr>
        <w:t>Figure 1: Appointment Obtainment (Medicaid Acceptance) Rates by Ownership Group</w:t>
      </w:r>
    </w:p>
    <w:p>
      <w:r>
        <w:t>Bar chart illustrating the percentage of successful new-patient appointment offers for commercial BCBS PPO (blue) vs. Medicaid (gray) across independent private practices and private equity-backed clinics (dummy data placeholders).</w:t>
      </w:r>
    </w:p>
    <w:p>
      <w:pPr>
        <w:spacing w:before="120" w:after="80"/>
      </w:pPr>
      <w:r>
        <w:rPr>
          <w:b/>
          <w:i/>
          <w:sz w:val="24"/>
        </w:rPr>
        <w:t>Figure 2: Distribution of GYN Appointment Wait Times (Business Days) by Payer</w:t>
      </w:r>
    </w:p>
    <w:p>
      <w:r>
        <w:t>Density curves showing wait times for commercial BCBS PPO (solid lines) vs. Medicaid (dashed lines) for independent private practices vs. private equity-backed clinics (dummy data placeholders).</w:t>
      </w:r>
    </w:p>
    <w:p>
      <w:pPr>
        <w:spacing w:before="120" w:after="80"/>
      </w:pPr>
      <w:r>
        <w:rPr>
          <w:b/>
          <w:i/>
          <w:sz w:val="24"/>
        </w:rPr>
        <w:t>Figure 3: STROBE Flow Diagram of Clinic Inclusion and Exclusion</w:t>
      </w:r>
    </w:p>
    <w:p>
      <w:r>
        <w:t>Flowchart illustrating the step-by-step inclusion and exclusion pathway for private equity-backed clinics and independent matched controls.</w:t>
      </w:r>
    </w:p>
    <w:p>
      <w:r>
        <w:t>```mermaid</w:t>
      </w:r>
    </w:p>
    <w:p>
      <w:r>
        <w:t>graph TD</w:t>
      </w:r>
    </w:p>
    <w:p>
      <w:r>
        <w:t>A["Initial Scraped PE Roster&lt;br&gt;(n = 1,537)"] --&gt; B["Unique NPI Verified&lt;br&gt;(n = 1,279)"]</w:t>
      </w:r>
    </w:p>
    <w:p>
      <w:r>
        <w:t>A -.-&gt;|"- 258 invalid NPIs / retired"| E1["Excluded"]</w:t>
      </w:r>
    </w:p>
    <w:p>
      <w:r>
        <w:t>B --&gt; C["OB-GYN Generalist Only&lt;br&gt;(n = 1,021)"]</w:t>
      </w:r>
    </w:p>
    <w:p>
      <w:r>
        <w:t>B -.-&gt;|"- 258 subspecialists"| E2["Excluded"]</w:t>
      </w:r>
    </w:p>
    <w:p>
      <w:r>
        <w:t>C --&gt; D["De-clustered: 1 Clinician/Office&lt;br&gt;(n = 544)"]</w:t>
      </w:r>
    </w:p>
    <w:p>
      <w:r>
        <w:t>C -.-&gt;|"- 477 clinicians"| E3["Excluded"]</w:t>
      </w:r>
    </w:p>
    <w:p>
      <w:r>
        <w:t>D --&gt; E["Geographically Matched&lt;br&gt;(n = 544 pairs)"]</w:t>
      </w:r>
    </w:p>
    <w:p>
      <w:r>
        <w:t>E --&gt; F["Fielded Cohort&lt;br&gt;(n = 200 pairs)"]</w:t>
      </w:r>
    </w:p>
    <w:p>
      <w:r>
        <w:t>E -.-&gt;|"- 344 pairs reserved"| E4["Reserve Pool"]</w:t>
      </w:r>
    </w:p>
    <w:p>
      <w:r>
        <w:t>```</w:t>
      </w:r>
    </w:p>
    <w:p>
      <w:r>
        <w:t>--</w:t>
      </w:r>
    </w:p>
    <w:p>
      <w:pPr>
        <w:spacing w:before="240" w:after="120"/>
      </w:pPr>
      <w:r>
        <w:rPr>
          <w:b/>
          <w:sz w:val="28"/>
        </w:rPr>
        <w:t>BibTeX Bibliography</w:t>
      </w:r>
    </w:p>
    <w:p>
      <w:r>
        <w:t>```bibtex</w:t>
      </w:r>
    </w:p>
    <w:p>
      <w:r>
        <w:t>@article{zhu2020private,</w:t>
      </w:r>
    </w:p>
    <w:p>
      <w:r>
        <w:t>title={Private equity acquisitions of ophthalmic practices},</w:t>
      </w:r>
    </w:p>
    <w:p>
      <w:r>
        <w:t>author={Zhu, Jane M and Hua, Laura M and Polsky, Daniel},</w:t>
      </w:r>
    </w:p>
    <w:p>
      <w:r>
        <w:t>journal={JAMA Ophthalmology},</w:t>
      </w:r>
    </w:p>
    <w:p>
      <w:r>
        <w:t>volume={138},</w:t>
      </w:r>
    </w:p>
    <w:p>
      <w:r>
        <w:t>number={10},</w:t>
      </w:r>
    </w:p>
    <w:p>
      <w:r>
        <w:t>pages={1064-1070},</w:t>
      </w:r>
    </w:p>
    <w:p>
      <w:r>
        <w:t>year={2020},</w:t>
      </w:r>
    </w:p>
    <w:p>
      <w:r>
        <w:t>publisher={American Medical Association}</w:t>
      </w:r>
    </w:p>
    <w:p>
      <w:r>
        <w:t>}</w:t>
      </w:r>
    </w:p>
    <w:p>
      <w:r>
        <w:t>@article{bruch2020changes,</w:t>
      </w:r>
    </w:p>
    <w:p>
      <w:r>
        <w:t>title={Changes in hospital income, use, and quality associated with private equity acquisition},</w:t>
      </w:r>
    </w:p>
    <w:p>
      <w:r>
        <w:t>author={Bruch, Joseph D and Gondi, Sameer and Song, Zirui},</w:t>
      </w:r>
    </w:p>
    <w:p>
      <w:r>
        <w:t>journal={JAMA Internal Medicine},</w:t>
      </w:r>
    </w:p>
    <w:p>
      <w:r>
        <w:t>volume={180},</w:t>
      </w:r>
    </w:p>
    <w:p>
      <w:r>
        <w:t>number={11},</w:t>
      </w:r>
    </w:p>
    <w:p>
      <w:r>
        <w:t>pages={1428-1435},</w:t>
      </w:r>
    </w:p>
    <w:p>
      <w:r>
        <w:t>year={2020},</w:t>
      </w:r>
    </w:p>
    <w:p>
      <w:r>
        <w:t>publisher={American Medical Association}</w:t>
      </w:r>
    </w:p>
    <w:p>
      <w:r>
        <w:t>}</w:t>
      </w:r>
    </w:p>
    <w:p>
      <w:r>
        <w:t>@article{acog2019medicaid,</w:t>
      </w:r>
    </w:p>
    <w:p>
      <w:r>
        <w:t>title={ACOG Committee Opinion No. 760: Medicaid Partnership},</w:t>
      </w:r>
    </w:p>
    <w:p>
      <w:r>
        <w:t>author={American College of Obstetricians and Gynecologists},</w:t>
      </w:r>
    </w:p>
    <w:p>
      <w:r>
        <w:t>journal={Obstetrics \&amp; Gynecology},</w:t>
      </w:r>
    </w:p>
    <w:p>
      <w:r>
        <w:t>volume={133},</w:t>
      </w:r>
    </w:p>
    <w:p>
      <w:r>
        <w:t>number={1},</w:t>
      </w:r>
    </w:p>
    <w:p>
      <w:r>
        <w:t>pages={e44-e50},</w:t>
      </w:r>
    </w:p>
    <w:p>
      <w:r>
        <w:t>year={2019}</w:t>
      </w:r>
    </w:p>
    <w:p>
      <w:r>
        <w:t>}</w:t>
      </w:r>
    </w:p>
    <w:p>
      <w:r>
        <w:t>@article{lme4,</w:t>
      </w:r>
    </w:p>
    <w:p>
      <w:r>
        <w:t>title={Fitting Linear Mixed-Effects Models Using lme4},</w:t>
      </w:r>
    </w:p>
    <w:p>
      <w:r>
        <w:t>author={Bates, Douglas and M{\"a}chler, Martin and Bolker, Benjamin and Walker, Steve},</w:t>
      </w:r>
    </w:p>
    <w:p>
      <w:r>
        <w:t>journal={Journal of Statistical Software},</w:t>
      </w:r>
    </w:p>
    <w:p>
      <w:r>
        <w:t>volume={67},</w:t>
      </w:r>
    </w:p>
    <w:p>
      <w:r>
        <w:t>number={1},</w:t>
      </w:r>
    </w:p>
    <w:p>
      <w:r>
        <w:t>pages={1-48},</w:t>
      </w:r>
    </w:p>
    <w:p>
      <w:r>
        <w:t>year={2015},</w:t>
      </w:r>
    </w:p>
    <w:p>
      <w:r>
        <w:t>doi={10.18637/jss.v067.i01}</w:t>
      </w:r>
    </w:p>
    <w:p>
      <w:r>
        <w:t>}</w:t>
      </w:r>
    </w:p>
    <w:p>
      <w:r>
        <w:t>@article{glmmTMB,</w:t>
      </w:r>
    </w:p>
    <w:p>
      <w:r>
        <w:t>title={glmmTMB Balances Speed and Flexibility among Packages for Zero-inflated Generalized Linear Mixed Modeling},</w:t>
      </w:r>
    </w:p>
    <w:p>
      <w:r>
        <w:t>author={Brooks, Mollie E and Kristensen, Kasper and van Benthem, Koen J and Blase, Arni and Berg, Anders and Sigrist, Lukas and Berg, Christian and Bolker, Benjamin M},</w:t>
      </w:r>
    </w:p>
    <w:p>
      <w:r>
        <w:t>journal={The R Journal},</w:t>
      </w:r>
    </w:p>
    <w:p>
      <w:r>
        <w:t>volume={9},</w:t>
      </w:r>
    </w:p>
    <w:p>
      <w:r>
        <w:t>number={2},</w:t>
      </w:r>
    </w:p>
    <w:p>
      <w:r>
        <w:t>pages={378-400},</w:t>
      </w:r>
    </w:p>
    <w:p>
      <w:r>
        <w:t>year={2017},</w:t>
      </w:r>
    </w:p>
    <w:p>
      <w:r>
        <w:t>doi={10.32614/RJ-2017-066}</w:t>
      </w:r>
    </w:p>
    <w:p>
      <w:r>
        <w:t>}</w:t>
      </w:r>
    </w:p>
    <w:p>
      <w:r>
        <w:t>```</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