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jc w:val="center"/>
      </w:pPr>
      <w:r>
        <w:rPr>
          <w:b/>
          <w:sz w:val="36"/>
        </w:rPr>
        <w:t>Access to Generalist Obstetrics and Gynecology Care at Private Equity-Backed vs. Independent Practices: A Mystery Caller Audit Study</w:t>
      </w:r>
    </w:p>
    <w:p>
      <w:r>
        <w:t>Authors:</w:t>
      </w:r>
    </w:p>
    <w:p>
      <w:r>
        <w:t>Tyler Muffly, MD¹; Lizeth [Last Name], [Credentials]²; Taylor Gatson, [Credentials]²</w:t>
      </w:r>
    </w:p>
    <w:p>
      <w:r>
        <w:t>Affiliations:</w:t>
      </w:r>
    </w:p>
    <w:p>
      <w:r>
        <w:t>¹ Department of Obstetrics and Gynecology, Denver Health and Hospital Authority, Denver, CO</w:t>
      </w:r>
    </w:p>
    <w:p>
      <w:r>
        <w:t>² Department of Obstetrics and Gynecology, University of Colorado School of Medicine, Aurora, CO</w:t>
      </w:r>
    </w:p>
    <w:p>
      <w:r>
        <w:t>Corresponding Author:</w:t>
      </w:r>
    </w:p>
    <w:p>
      <w:r>
        <w:t>Tyler Muffly, MD</w:t>
      </w:r>
    </w:p>
    <w:p>
      <w:r>
        <w:t>Denver Health and Hospital Authority</w:t>
      </w:r>
    </w:p>
    <w:p>
      <w:r>
        <w:t>777 Bannock Street, Denver, CO 80204</w:t>
      </w:r>
    </w:p>
    <w:p>
      <w:r>
        <w:t>Email: tyler.muffly@dhha.org</w:t>
      </w:r>
    </w:p>
    <w:p>
      <w:r>
        <w:t>Target Journal: Obstetrics &amp; Gynecology (The Green Journal)</w:t>
      </w:r>
    </w:p>
    <w:p>
      <w:r>
        <w:t>Word Count (Text Only): [XXXX] words</w:t>
      </w:r>
    </w:p>
    <w:p>
      <w:r>
        <w:t>Abstract Word Count: [124] words</w:t>
      </w:r>
    </w:p>
    <w:p>
      <w:r>
        <w:t>Number of Tables: 4</w:t>
      </w:r>
    </w:p>
    <w:p>
      <w:r>
        <w:t>Number of Figures: 2</w:t>
      </w:r>
    </w:p>
    <w:p>
      <w:r>
        <w:t>Funding/Financial Support: None.</w:t>
      </w:r>
    </w:p>
    <w:p>
      <w:r>
        <w:t>Conflict of Interest: The authors have no conflicts of interest to disclose.</w:t>
      </w:r>
    </w:p>
    <w:p>
      <w:r>
        <w:t>IRB Approval: Approved by the Colorado Multiple Institutional Review Board (COMIRB Protocol No. [XXXXX]) with a waiver of provider and patient consent.</w:t>
      </w:r>
    </w:p>
    <w:p>
      <w:r>
        <w:br w:type="page"/>
      </w:r>
    </w:p>
    <w:p>
      <w:r>
        <w:t>Précis</w:t>
      </w:r>
    </w:p>
    <w:p>
      <w:r>
        <w:t>Private equity ownership of generalist OB-GYN practices is associated with a [31.5]% reduction in Medicaid acceptance and a doubling of scheduling wait-time disparities.</w:t>
      </w:r>
    </w:p>
    <w:p>
      <w:r>
        <w:br w:type="page"/>
      </w:r>
    </w:p>
    <w:p>
      <w:pPr>
        <w:spacing w:before="240" w:after="120"/>
      </w:pPr>
      <w:r>
        <w:rPr>
          <w:b/>
          <w:sz w:val="28"/>
        </w:rPr>
        <w:t>Abstract</w:t>
      </w:r>
    </w:p>
    <w:p>
      <w:r>
        <w:t>Objective: To compare scheduling access and wait times for Medicaid versus commercially insured patients at private equity (PE)-backed and independent OB-GYN practices.</w:t>
      </w:r>
    </w:p>
    <w:p>
      <w:r>
        <w:t>Methods: We conducted a mystery-caller audit of [200] matched pairs ([400] clinics) across 27 states. Callers requested new-patient GYN appointments, presenting either Medicaid or commercial PPO insurance. Co-primary outcomes were obtainment rate and wait times.</w:t>
      </w:r>
    </w:p>
    <w:p>
      <w:r>
        <w:t>Results: Commercial insurance acceptance was universal. Medicaid acceptance was significantly lower at PE-backed than independent clinics ([41.0]% vs. [72.5]%, [p &lt; 0.001]). The insurance wait-time gap was significantly wider at PE-backed clinics ([22.3] vs. [11.3] business days, [p &lt; 0.001]).</w:t>
      </w:r>
    </w:p>
    <w:p>
      <w:r>
        <w:t>Conclusion: Private equity ownership is associated with lower Medicaid acceptance and prolonged scheduling wait-time disparities.</w:t>
      </w:r>
    </w:p>
    <w:p>
      <w:pPr>
        <w:spacing w:before="240" w:after="120"/>
      </w:pPr>
      <w:r>
        <w:rPr>
          <w:b/>
          <w:sz w:val="28"/>
        </w:rPr>
        <w:t>Introduction</w:t>
      </w:r>
    </w:p>
    <w:p>
      <w:r>
        <w:t>Over the last decade, corporate consolidation and financialization have transformed the delivery of healthcare in the United States. Private equity (PE) firms—investment partnerships that purchase private companies, restructure them, and aim to sell them for a profit within a short time horizon (typically 3 to 7 years)—have targeted outpatient medical specialties. Obstetrics and gynecology (OB-GYN) has emerged as a primary focus of this investment activity, with hundreds of clinics acquired by PE-backed platforms.</w:t>
      </w:r>
    </w:p>
    <w:p>
      <w:r>
        <w:t>The PE business model relies on achieving high returns on investment. In medical practices, these returns are traditionally pursued by consolidating administrative structures, expanding ancillary services, maximizing clinician productivity, and optimizing the "payer mix" to favor high-reimbursement commercial insurances over lower-reimbursement public programs such as Medicaid. While platform operators argue that consolidation provides capital to improve scheduling infrastructure, critics raise concerns that commercial pressures may compromise access for vulnerable patient populations.</w:t>
      </w:r>
    </w:p>
    <w:p>
      <w:r>
        <w:t>Medicaid covers approximately 20% of all Americans and half of all births in the United States, serving as a cornerstone of reproductive healthcare access. Prior research has established that Medicaid enrollees face significant scheduling barriers and prolonged wait times compared to privately insured patients. However, no study has examined how the ownership structure of OB-GYN clinics—specifically corporate PE ownership versus traditional independent private practice—influences these disparities.</w:t>
      </w:r>
    </w:p>
    <w:p>
      <w:r>
        <w:t>This study sought to address this gap using a mystery-caller audit methodology. We tested two primary hypotheses: (1) PE-backed generalist GYN clinics reject Medicaid enrollees at a higher rate than independent practices, and (2) among practices that do schedule Medicaid appointments, the wait-time disparity between public and private insurance is wider at corporate PE-backed clinics.</w:t>
      </w:r>
    </w:p>
    <w:p>
      <w:pPr>
        <w:spacing w:before="240" w:after="120"/>
      </w:pPr>
      <w:r>
        <w:rPr>
          <w:b/>
          <w:sz w:val="28"/>
        </w:rPr>
        <w:t>Methods</w:t>
      </w:r>
    </w:p>
    <w:p>
      <w:pPr>
        <w:spacing w:before="120" w:after="80"/>
      </w:pPr>
      <w:r>
        <w:rPr>
          <w:b/>
          <w:i/>
          <w:sz w:val="24"/>
        </w:rPr>
        <w:t>Study Design</w:t>
      </w:r>
    </w:p>
    <w:p>
      <w:r>
        <w:t>We conducted a simulated-patient (mystery caller) crossover audit study. Trained callers contacted generalist OB-GYN clinics posing as new patients seeking an appointment. Each clinic was called twice: once presenting with public insurance (Medicaid) and once presenting with commercial insurance (Blue Cross Blue Shield [BCBS] PPO). To minimize temporal and seasonal confounding, all calls were completed within a single week in July 2026. The Colorado Multiple Institutional Review Board (COMIRB) approved this protocol (Protocol No. [XXXXX]) under an institutional waiver of patient and provider consent.</w:t>
      </w:r>
    </w:p>
    <w:p>
      <w:pPr>
        <w:spacing w:before="120" w:after="80"/>
      </w:pPr>
      <w:r>
        <w:rPr>
          <w:b/>
          <w:i/>
          <w:sz w:val="24"/>
        </w:rPr>
        <w:t>Cohort Identification &amp; Matching</w:t>
      </w:r>
    </w:p>
    <w:p>
      <w:r>
        <w:t>We identified PE-backed OB-GYN clinics using the PitchBook.com financial database to track acquisitions by major women's health platforms. The active roster of PE-employed generalist OB-GYNs was scraped from the platforms' consumer directories. To construct a clean counterfactual comparison, control candidates were drawn from the CMS Doctors and Clinicians registry, restricted to independent private practices, and matched 1-to-1 to PE clinicians using a propensity-score matching pipeline.</w:t>
      </w:r>
    </w:p>
    <w:p>
      <w:r>
        <w:t>Clinicians were matched within a strict 10-mile radius in the same state based on provider gender (enforcing an exact match), medical credentials (MD vs. DO), years in practice (matched within a five-year range), and Open Payments program activity as a proxy for industry engagement and practice profile.</w:t>
      </w:r>
    </w:p>
    <w:p>
      <w:r>
        <w:t>To prevent cluster correlation, we randomly selected exactly one physician per physical office location. Out of a matched pool of 544 pairs across 27 U.S. states, we fielded a sample of 200 pairs (400 clinicians total), reserving the remaining 144 pairs as an attrition pool.</w:t>
      </w:r>
    </w:p>
    <w:p>
      <w:pPr>
        <w:spacing w:before="120" w:after="80"/>
      </w:pPr>
      <w:r>
        <w:rPr>
          <w:b/>
          <w:i/>
          <w:sz w:val="24"/>
        </w:rPr>
        <w:t>Call Protocol &amp; Vignette</w:t>
      </w:r>
    </w:p>
    <w:p>
      <w:r>
        <w:t>Mystery callers followed a standardized script for a new-patient appointment for Abnormal Uterine Bleeding (AUB), a common gynecologic complaint requiring evaluation but not presenting as an immediate emergency. The caller presented either as a patient covered by the state's Medicaid program or as a patient covered by a commercial Blue Cross Blue Shield PPO plan.</w:t>
      </w:r>
    </w:p>
    <w:p>
      <w:r>
        <w:t>Callers were randomized to the order of insurance presentation, with a minimum 48-hour spacing interval between calls to the same office to avoid recognition. Schedulers recorded call outcomes in a customized, blinded REDCap database.</w:t>
      </w:r>
    </w:p>
    <w:p>
      <w:r>
        <w:t>To ensure data integrity, all clinician phone numbers were cross-referenced against three independent databases: NPPES, CMS claims billing records, and public platform websites. Out of the 600 checked numbers, 73.3% matched across 2 or more databases and 100% matched at least one registry source.</w:t>
      </w:r>
    </w:p>
    <w:p>
      <w:pPr>
        <w:spacing w:before="120" w:after="80"/>
      </w:pPr>
      <w:r>
        <w:rPr>
          <w:b/>
          <w:i/>
          <w:sz w:val="24"/>
        </w:rPr>
        <w:t>Cohort-Compliant Backup Protocol</w:t>
      </w:r>
    </w:p>
    <w:p>
      <w:r>
        <w:t>To protect the matched-pair structure from call-time attrition (e.g., if a physician had relocated or retired), we pre-identified cohort-compliant backup physicians at the same physical office location (101 PE clinics and 243 control clinics). Callers were instructed to substitute the pre-assigned backup only if the primary was unreachable, recording the deviation in REDCap.</w:t>
      </w:r>
    </w:p>
    <w:p>
      <w:pPr>
        <w:spacing w:before="120" w:after="80"/>
      </w:pPr>
      <w:r>
        <w:rPr>
          <w:b/>
          <w:i/>
          <w:sz w:val="24"/>
        </w:rPr>
        <w:t>Primary and Secondary Outcomes</w:t>
      </w:r>
    </w:p>
    <w:p>
      <w:r>
        <w:t>The study evaluated two co-primary outcomes: the appointment obtainment rate, defined as a binary indicator of whether the caller was successfully offered a scheduling date, and the appointment wait time, measured in business days between the call date and the first available appointment. Secondary outcomes included administrative barriers encountered during scheduling, such as requirements for upfront copayments, primary care referrals, or prior authorizations.</w:t>
      </w:r>
    </w:p>
    <w:p>
      <w:pPr>
        <w:spacing w:before="120" w:after="80"/>
      </w:pPr>
      <w:r>
        <w:rPr>
          <w:b/>
          <w:i/>
          <w:sz w:val="24"/>
        </w:rPr>
        <w:t>Statistical Analysis</w:t>
      </w:r>
    </w:p>
    <w:p>
      <w:r>
        <w:t>We compared appointment obtainment rates between PE-backed and independent clinics using two-sample proportion Z-tests. Wait times were analyzed using a Negative Binomial Generalized Linear Mixed Model (GLMM) using the lme4 and glmmTMB packages in R to account for the nested structure of the data:</w:t>
      </w:r>
    </w:p>
    <w:p>
      <w:r>
        <w:t>Fixed effects included clinic ownership (private equity vs. independent), patient insurance type (Medicaid vs. commercial), and their interaction, while random effects consisted of a matched-pair intercept and an individual clinician intercept to account for correlation within matched pairs and repeated call measures.</w:t>
      </w:r>
    </w:p>
    <w:p>
      <w:pPr>
        <w:spacing w:before="240" w:after="120"/>
      </w:pPr>
      <w:r>
        <w:rPr>
          <w:b/>
          <w:sz w:val="28"/>
        </w:rPr>
        <w:t>Results</w:t>
      </w:r>
    </w:p>
    <w:p>
      <w:pPr>
        <w:spacing w:before="120" w:after="80"/>
      </w:pPr>
      <w:r>
        <w:rPr>
          <w:b/>
          <w:i/>
          <w:sz w:val="24"/>
        </w:rPr>
        <w:t>Baseline Cohort Demographics (Table 1)</w:t>
      </w:r>
    </w:p>
    <w:p>
      <w:r>
        <w:t>Our propensity-score matching pipeline yielded highly balanced baseline characteristics across the [400] fielded clinicians (200 PE-employed, 200 independent controls). Table 1 presents the actual demographic data compiled for the calling campaign.</w:t>
      </w:r>
    </w:p>
    <w:p>
      <w:pPr>
        <w:spacing w:before="120" w:after="80"/>
      </w:pPr>
      <w:r>
        <w:rPr>
          <w:b/>
          <w:i/>
          <w:sz w:val="24"/>
        </w:rPr>
        <w:t>Appointment Obtainment Rates (Medicaid Acceptance) (Table 2)</w:t>
      </w:r>
    </w:p>
    <w:p>
      <w:r>
        <w:t>Among the [800] scheduled calls ([400] to independent clinics, [400] to PE-backed clinics), private commercial BCBS PPO insurance was accepted almost universally, with no significant difference between ownership types: [98.5]% ([197]/[200]) for independent clinics vs. [99.0]% ([198]/[200]) for PE-backed clinics ([p = 0.68]).</w:t>
      </w:r>
    </w:p>
    <w:p>
      <w:r>
        <w:t>However, Medicaid acceptance differed dramatically by ownership. Independent clinics accepted Medicaid at a rate of [72.5]% (145/[200]), whereas PE-backed clinics accepted Medicaid at a rate of only [41.0]% (82/[200]). This represents an absolute reduction in Medicaid acceptance of [-31.5]% (95% CI: [-40.5]% to [-22.5]%, [p &lt; 0.001]) for corporate practices (Table 2).</w:t>
      </w:r>
    </w:p>
    <w:p>
      <w:pPr>
        <w:spacing w:before="120" w:after="80"/>
      </w:pPr>
      <w:r>
        <w:rPr>
          <w:b/>
          <w:i/>
          <w:sz w:val="24"/>
        </w:rPr>
        <w:t>Scheduling Wait Times (Table 3)</w:t>
      </w:r>
    </w:p>
    <w:p>
      <w:r>
        <w:t>Among clinics that successfully scheduled new-patient GYN appointments, wait times were significantly longer for Medicaid patients, and this disparity was amplified in PE-backed offices (Table 3).</w:t>
      </w:r>
    </w:p>
    <w:p>
      <w:pPr>
        <w:pStyle w:val="ListBullet"/>
        <w:spacing w:line="276" w:lineRule="auto" w:after="60"/>
      </w:pPr>
      <w:r>
        <w:t>Independent Practices: Medicaid patients waited an average of [11.3] days longer than commercially insured patients.</w:t>
      </w:r>
    </w:p>
    <w:p>
      <w:pPr>
        <w:pStyle w:val="ListBullet"/>
        <w:spacing w:line="276" w:lineRule="auto" w:after="60"/>
      </w:pPr>
      <w:r>
        <w:t>PE-Backed Practices: Medicaid patients waited an average of [22.3] days longer than commercially insured patients—nearly doubling the wait-time gap.</w:t>
      </w:r>
    </w:p>
    <w:p>
      <w:r>
        <w:t>The Negative Binomial GLMM confirmed that the interaction between private equity ownership and Medicaid coverage was highly significant, indicating a substantial expansion of the wait-time gap in corporate offices (Incidence Rate Ratio [IRR]: [1.62] (95% CI: [1.28] to [2.05]), [p &lt; 0.001]).</w:t>
      </w:r>
    </w:p>
    <w:p>
      <w:pPr>
        <w:spacing w:before="120" w:after="80"/>
      </w:pPr>
      <w:r>
        <w:rPr>
          <w:b/>
          <w:i/>
          <w:sz w:val="24"/>
        </w:rPr>
        <w:t>Mixed-Effects Regression Outcomes (Table 4)</w:t>
      </w:r>
    </w:p>
    <w:p>
      <w:r>
        <w:t>Table 4 presents the odds ratios (OR) for appointment obtainment and incidence rate ratios (IRR) for wait times derived from our regression models.</w:t>
      </w:r>
    </w:p>
    <w:p>
      <w:pPr>
        <w:spacing w:before="240" w:after="120"/>
      </w:pPr>
      <w:r>
        <w:rPr>
          <w:b/>
          <w:sz w:val="28"/>
        </w:rPr>
        <w:t>Discussion</w:t>
      </w:r>
    </w:p>
    <w:p>
      <w:r>
        <w:t>This mystery-caller audit provides the first empirical evidence that corporate, private equity ownership of OB-GYN practices is associated with restricted access to care for public insurance enrollees. Our study reveals a dual-barrier effect: PE-backed clinics are substantially less likely to accept Medicaid patients, and when they do accept them, they subject them to scheduling delays that are twice as long as those found at independent practices.</w:t>
      </w:r>
    </w:p>
    <w:p>
      <w:r>
        <w:t>These findings are consistent with the economic incentives built into the private equity business model. Because PE platforms operate under high debt loads and strict 3-to-7-year turnaround timelines, corporate managers are incentivized to implement aggressive scheduling algorithms and "payer mix optimization" strategies. In practice, this often translates to gatekeeping mechanisms—such as capping the number of Medicaid appointments allowed per month or routing Medicaid scheduling through centralized call centers that enforce additional administrative hurdles—to maximize the throughput of higher-reimbursement commercial patients.</w:t>
      </w:r>
    </w:p>
    <w:p>
      <w:r>
        <w:t>While these strategies optimize corporate revenue, they exacerbate systemic health disparities. Medicaid enrollees seeking care for abnormal uterine bleeding may experience delayed diagnoses for endometrial hyperplasia or uterine malignancies due to scheduling delays, or they may be forced to seek care in emergency departments or hospital-based clinics, which increases overall healthcare system costs.</w:t>
      </w:r>
    </w:p>
    <w:p>
      <w:pPr>
        <w:spacing w:before="120" w:after="80"/>
      </w:pPr>
      <w:r>
        <w:rPr>
          <w:b/>
          <w:i/>
          <w:sz w:val="24"/>
        </w:rPr>
        <w:t>Policy and Clinical Implications</w:t>
      </w:r>
    </w:p>
    <w:p>
      <w:r>
        <w:t>These findings have direct implications for federal and state regulators examining the consolidation of the healthcare market. The Federal Trade Commission (FTC) and state legislatures are increasingly scrutinizing private equity healthcare acquisitions. Our results suggest that market consolidation by investment firms may directly degrade healthcare access for publicly insured populations. Future policy interventions may need to mandate Medicaid access requirements or require transparent reporting of insurance scheduling wait times as a condition for corporate healthcare acquisitions.</w:t>
      </w:r>
    </w:p>
    <w:p>
      <w:pPr>
        <w:spacing w:before="120" w:after="80"/>
      </w:pPr>
      <w:r>
        <w:rPr>
          <w:b/>
          <w:i/>
          <w:sz w:val="24"/>
        </w:rPr>
        <w:t>Limitations</w:t>
      </w:r>
    </w:p>
    <w:p>
      <w:r>
        <w:t>This study has limitations. First, our audit pose was limited to a single clinical vignette (Abnormal Uterine Bleeding) and a single week of calling. Second, while we matched controls closely on geography and physician demographics, unmeasured local market variables could influence scheduling practices. Third, we were only able to audit clinics in the 27 states where PE platforms currently operate, so our findings may not generalize to areas without corporate consolidation.</w:t>
      </w:r>
    </w:p>
    <w:p>
      <w:pPr>
        <w:spacing w:before="240" w:after="120"/>
      </w:pPr>
      <w:r>
        <w:rPr>
          <w:b/>
          <w:sz w:val="28"/>
        </w:rPr>
        <w:t>References</w:t>
      </w:r>
    </w:p>
    <w:p>
      <w:r>
        <w:t>1. Zhu JM, Hua LM, Polsky D. Private Equity Acquisitions of Ophthalmic Practices. JAMA Ophthalmol. 2020;138(10):1064-1070.</w:t>
      </w:r>
    </w:p>
    <w:p>
      <w:r>
        <w:t>2. Bruch JD, Gondi S, Song Z. Changes in Hospital Income, Use, and Quality Associated With Private Equity Acquisition. JAMA Intern Med. 2020;180(11):1428-1435.</w:t>
      </w:r>
    </w:p>
    <w:p>
      <w:r>
        <w:t>3. ACOG Committee Opinion No. 760: Medicaid Partnership. Obstet Gynecol. 2019;133(1):e44-e50.</w:t>
      </w:r>
    </w:p>
    <w:p>
      <w:pPr>
        <w:spacing w:before="240" w:after="120"/>
      </w:pPr>
      <w:r>
        <w:rPr>
          <w:b/>
          <w:sz w:val="28"/>
        </w:rPr>
        <w:t>Tables and Figures</w:t>
      </w:r>
    </w:p>
    <w:p>
      <w:pPr>
        <w:spacing w:before="120" w:after="80"/>
      </w:pPr>
      <w:r>
        <w:rPr>
          <w:b/>
          <w:i/>
          <w:sz w:val="24"/>
        </w:rPr>
        <w:t>Table 1: Baseline Clinician and Practice Characteristics (Fielded Cohort)</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Variable</w:t>
            </w:r>
          </w:p>
        </w:tc>
        <w:tc>
          <w:tcPr>
            <w:tcW w:type="dxa" w:w="2340"/>
          </w:tcPr>
          <w:p>
            <w:r>
              <w:t>Independent Private Practice (N = 200)</w:t>
            </w:r>
          </w:p>
        </w:tc>
        <w:tc>
          <w:tcPr>
            <w:tcW w:type="dxa" w:w="2340"/>
          </w:tcPr>
          <w:p>
            <w:r>
              <w:t>PE-Backed Corporate Practice (N = 200)</w:t>
            </w:r>
          </w:p>
        </w:tc>
        <w:tc>
          <w:tcPr>
            <w:tcW w:type="dxa" w:w="2340"/>
          </w:tcPr>
          <w:p>
            <w:r>
              <w:t>p-value</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Credentials</w:t>
            </w:r>
          </w:p>
        </w:tc>
        <w:tc>
          <w:tcPr>
            <w:tcW w:type="dxa" w:w="2340"/>
          </w:tcPr>
          <w:p>
            <w:r/>
          </w:p>
        </w:tc>
        <w:tc>
          <w:tcPr>
            <w:tcW w:type="dxa" w:w="2340"/>
          </w:tcPr>
          <w:p>
            <w:r/>
          </w:p>
        </w:tc>
        <w:tc>
          <w:tcPr>
            <w:tcW w:type="dxa" w:w="2340"/>
          </w:tcPr>
          <w:p>
            <w:r>
              <w:t>[0.99]</w:t>
            </w:r>
          </w:p>
        </w:tc>
      </w:tr>
      <w:tr>
        <w:tc>
          <w:tcPr>
            <w:tcW w:type="dxa" w:w="2340"/>
          </w:tcPr>
          <w:p>
            <w:r>
              <w:t>- MD</w:t>
            </w:r>
          </w:p>
        </w:tc>
        <w:tc>
          <w:tcPr>
            <w:tcW w:type="dxa" w:w="2340"/>
          </w:tcPr>
          <w:p>
            <w:r>
              <w:t>187 (93.5%)</w:t>
            </w:r>
          </w:p>
        </w:tc>
        <w:tc>
          <w:tcPr>
            <w:tcW w:type="dxa" w:w="2340"/>
          </w:tcPr>
          <w:p>
            <w:r>
              <w:t>183 (91.5%)</w:t>
            </w:r>
          </w:p>
        </w:tc>
        <w:tc>
          <w:tcPr>
            <w:tcW w:type="dxa" w:w="2340"/>
          </w:tcPr>
          <w:p>
            <w:r/>
          </w:p>
        </w:tc>
      </w:tr>
      <w:tr>
        <w:tc>
          <w:tcPr>
            <w:tcW w:type="dxa" w:w="2340"/>
          </w:tcPr>
          <w:p>
            <w:r>
              <w:t>- DO</w:t>
            </w:r>
          </w:p>
        </w:tc>
        <w:tc>
          <w:tcPr>
            <w:tcW w:type="dxa" w:w="2340"/>
          </w:tcPr>
          <w:p>
            <w:r>
              <w:t>13 (6.5%)</w:t>
            </w:r>
          </w:p>
        </w:tc>
        <w:tc>
          <w:tcPr>
            <w:tcW w:type="dxa" w:w="2340"/>
          </w:tcPr>
          <w:p>
            <w:r>
              <w:t>16 (8.0%)</w:t>
            </w:r>
          </w:p>
        </w:tc>
        <w:tc>
          <w:tcPr>
            <w:tcW w:type="dxa" w:w="2340"/>
          </w:tcPr>
          <w:p>
            <w:r/>
          </w:p>
        </w:tc>
      </w:tr>
      <w:tr>
        <w:tc>
          <w:tcPr>
            <w:tcW w:type="dxa" w:w="2340"/>
          </w:tcPr>
          <w:p>
            <w:r>
              <w:t>Gender</w:t>
            </w:r>
          </w:p>
        </w:tc>
        <w:tc>
          <w:tcPr>
            <w:tcW w:type="dxa" w:w="2340"/>
          </w:tcPr>
          <w:p>
            <w:r/>
          </w:p>
        </w:tc>
        <w:tc>
          <w:tcPr>
            <w:tcW w:type="dxa" w:w="2340"/>
          </w:tcPr>
          <w:p>
            <w:r/>
          </w:p>
        </w:tc>
        <w:tc>
          <w:tcPr>
            <w:tcW w:type="dxa" w:w="2340"/>
          </w:tcPr>
          <w:p>
            <w:r>
              <w:t>[0.99]</w:t>
            </w:r>
          </w:p>
        </w:tc>
      </w:tr>
      <w:tr>
        <w:tc>
          <w:tcPr>
            <w:tcW w:type="dxa" w:w="2340"/>
          </w:tcPr>
          <w:p>
            <w:r>
              <w:t>- Female</w:t>
            </w:r>
          </w:p>
        </w:tc>
        <w:tc>
          <w:tcPr>
            <w:tcW w:type="dxa" w:w="2340"/>
          </w:tcPr>
          <w:p>
            <w:r>
              <w:t>121 (60.5%)</w:t>
            </w:r>
          </w:p>
        </w:tc>
        <w:tc>
          <w:tcPr>
            <w:tcW w:type="dxa" w:w="2340"/>
          </w:tcPr>
          <w:p>
            <w:r>
              <w:t>137 (68.5%)</w:t>
            </w:r>
          </w:p>
        </w:tc>
        <w:tc>
          <w:tcPr>
            <w:tcW w:type="dxa" w:w="2340"/>
          </w:tcPr>
          <w:p>
            <w:r/>
          </w:p>
        </w:tc>
      </w:tr>
      <w:tr>
        <w:tc>
          <w:tcPr>
            <w:tcW w:type="dxa" w:w="2340"/>
          </w:tcPr>
          <w:p>
            <w:r>
              <w:t>- Male</w:t>
            </w:r>
          </w:p>
        </w:tc>
        <w:tc>
          <w:tcPr>
            <w:tcW w:type="dxa" w:w="2340"/>
          </w:tcPr>
          <w:p>
            <w:r>
              <w:t>79 (39.5%)</w:t>
            </w:r>
          </w:p>
        </w:tc>
        <w:tc>
          <w:tcPr>
            <w:tcW w:type="dxa" w:w="2340"/>
          </w:tcPr>
          <w:p>
            <w:r>
              <w:t>63 (31.5%)</w:t>
            </w:r>
          </w:p>
        </w:tc>
        <w:tc>
          <w:tcPr>
            <w:tcW w:type="dxa" w:w="2340"/>
          </w:tcPr>
          <w:p>
            <w:r/>
          </w:p>
        </w:tc>
      </w:tr>
      <w:tr>
        <w:tc>
          <w:tcPr>
            <w:tcW w:type="dxa" w:w="2340"/>
          </w:tcPr>
          <w:p>
            <w:r>
              <w:t>Years in Practice (mean ± SD)</w:t>
            </w:r>
          </w:p>
        </w:tc>
        <w:tc>
          <w:tcPr>
            <w:tcW w:type="dxa" w:w="2340"/>
          </w:tcPr>
          <w:p>
            <w:r>
              <w:t>24.6 (±11.5)</w:t>
            </w:r>
          </w:p>
        </w:tc>
        <w:tc>
          <w:tcPr>
            <w:tcW w:type="dxa" w:w="2340"/>
          </w:tcPr>
          <w:p>
            <w:r>
              <w:t>23.0 (±12.3)</w:t>
            </w:r>
          </w:p>
        </w:tc>
        <w:tc>
          <w:tcPr>
            <w:tcW w:type="dxa" w:w="2340"/>
          </w:tcPr>
          <w:p>
            <w:r>
              <w:t>[0.95]</w:t>
            </w:r>
          </w:p>
        </w:tc>
      </w:tr>
      <w:tr>
        <w:tc>
          <w:tcPr>
            <w:tcW w:type="dxa" w:w="2340"/>
          </w:tcPr>
          <w:p>
            <w:r>
              <w:t>Open Payments Years (mean ± SD)</w:t>
            </w:r>
          </w:p>
        </w:tc>
        <w:tc>
          <w:tcPr>
            <w:tcW w:type="dxa" w:w="2340"/>
          </w:tcPr>
          <w:p>
            <w:r>
              <w:t>6.7 (±2.1)</w:t>
            </w:r>
          </w:p>
        </w:tc>
        <w:tc>
          <w:tcPr>
            <w:tcW w:type="dxa" w:w="2340"/>
          </w:tcPr>
          <w:p>
            <w:r>
              <w:t>6.4 (±2.3)</w:t>
            </w:r>
          </w:p>
        </w:tc>
        <w:tc>
          <w:tcPr>
            <w:tcW w:type="dxa" w:w="2340"/>
          </w:tcPr>
          <w:p>
            <w:r>
              <w:t>[0.96]</w:t>
            </w:r>
          </w:p>
        </w:tc>
      </w:tr>
    </w:tbl>
    <w:p/>
    <w:p>
      <w:r>
        <w:t>Note: All matching parameters show high balance between the corporate private equity and independent private practice groups (p &gt; 0.05).</w:t>
      </w:r>
    </w:p>
    <w:p>
      <w:pPr>
        <w:spacing w:before="120" w:after="80"/>
      </w:pPr>
      <w:r>
        <w:rPr>
          <w:b/>
          <w:i/>
          <w:sz w:val="24"/>
        </w:rPr>
        <w:t>Table 2: Appointment Obtainment (Medicaid Acceptance) Rates (Dummy)</w:t>
      </w:r>
    </w:p>
    <w:tbl>
      <w:tblPr>
        <w:tblStyle w:val="LightShading-Accent1"/>
        <w:tblW w:type="auto" w:w="0"/>
        <w:tblLook w:firstColumn="1" w:firstRow="1" w:lastColumn="0" w:lastRow="0" w:noHBand="0" w:noVBand="1" w:val="04A0"/>
      </w:tblPr>
      <w:tblGrid>
        <w:gridCol w:w="1872"/>
        <w:gridCol w:w="1872"/>
        <w:gridCol w:w="1872"/>
        <w:gridCol w:w="1872"/>
        <w:gridCol w:w="1872"/>
      </w:tblGrid>
      <w:tr>
        <w:tc>
          <w:tcPr>
            <w:tcW w:type="dxa" w:w="1872"/>
          </w:tcPr>
          <w:p>
            <w:r>
              <w:t>Payer Type</w:t>
            </w:r>
          </w:p>
        </w:tc>
        <w:tc>
          <w:tcPr>
            <w:tcW w:type="dxa" w:w="1872"/>
          </w:tcPr>
          <w:p>
            <w:r>
              <w:t>Independent Practice (N = [200])</w:t>
            </w:r>
          </w:p>
        </w:tc>
        <w:tc>
          <w:tcPr>
            <w:tcW w:type="dxa" w:w="1872"/>
          </w:tcPr>
          <w:p>
            <w:r>
              <w:t>PE-Backed Practice (N = [200])</w:t>
            </w:r>
          </w:p>
        </w:tc>
        <w:tc>
          <w:tcPr>
            <w:tcW w:type="dxa" w:w="1872"/>
          </w:tcPr>
          <w:p>
            <w:r>
              <w:t>Risk Difference (95% CI)</w:t>
            </w:r>
          </w:p>
        </w:tc>
        <w:tc>
          <w:tcPr>
            <w:tcW w:type="dxa" w:w="1872"/>
          </w:tcPr>
          <w:p>
            <w:r>
              <w:t>p-value</w:t>
            </w:r>
          </w:p>
        </w:tc>
      </w:tr>
      <w:tr>
        <w:tc>
          <w:tcPr>
            <w:tcW w:type="dxa" w:w="1872"/>
          </w:tcPr>
          <w:p>
            <w:r>
              <w:t>:---</w:t>
            </w:r>
          </w:p>
        </w:tc>
        <w:tc>
          <w:tcPr>
            <w:tcW w:type="dxa" w:w="1872"/>
          </w:tcPr>
          <w:p>
            <w:r>
              <w:t>:---:</w:t>
            </w:r>
          </w:p>
        </w:tc>
        <w:tc>
          <w:tcPr>
            <w:tcW w:type="dxa" w:w="1872"/>
          </w:tcPr>
          <w:p>
            <w:r>
              <w:t>:---:</w:t>
            </w:r>
          </w:p>
        </w:tc>
        <w:tc>
          <w:tcPr>
            <w:tcW w:type="dxa" w:w="1872"/>
          </w:tcPr>
          <w:p>
            <w:r>
              <w:t>:---:</w:t>
            </w:r>
          </w:p>
        </w:tc>
        <w:tc>
          <w:tcPr>
            <w:tcW w:type="dxa" w:w="1872"/>
          </w:tcPr>
          <w:p>
            <w:r>
              <w:t>:---:</w:t>
            </w:r>
          </w:p>
        </w:tc>
      </w:tr>
      <w:tr>
        <w:tc>
          <w:tcPr>
            <w:tcW w:type="dxa" w:w="1872"/>
          </w:tcPr>
          <w:p>
            <w:r>
              <w:t>Commercial BCBS PPO</w:t>
            </w:r>
          </w:p>
        </w:tc>
        <w:tc>
          <w:tcPr>
            <w:tcW w:type="dxa" w:w="1872"/>
          </w:tcPr>
          <w:p>
            <w:r>
              <w:t>[98.5]% ([197]/[200])</w:t>
            </w:r>
          </w:p>
        </w:tc>
        <w:tc>
          <w:tcPr>
            <w:tcW w:type="dxa" w:w="1872"/>
          </w:tcPr>
          <w:p>
            <w:r>
              <w:t>[99.0]% ([198]/[200])</w:t>
            </w:r>
          </w:p>
        </w:tc>
        <w:tc>
          <w:tcPr>
            <w:tcW w:type="dxa" w:w="1872"/>
          </w:tcPr>
          <w:p>
            <w:r>
              <w:t>[+0.5]% ([-1.8]% to [+2.8]%)</w:t>
            </w:r>
          </w:p>
        </w:tc>
        <w:tc>
          <w:tcPr>
            <w:tcW w:type="dxa" w:w="1872"/>
          </w:tcPr>
          <w:p>
            <w:r>
              <w:t>[p = 0.68]</w:t>
            </w:r>
          </w:p>
        </w:tc>
      </w:tr>
      <w:tr>
        <w:tc>
          <w:tcPr>
            <w:tcW w:type="dxa" w:w="1872"/>
          </w:tcPr>
          <w:p>
            <w:r>
              <w:t>Medicaid</w:t>
            </w:r>
          </w:p>
        </w:tc>
        <w:tc>
          <w:tcPr>
            <w:tcW w:type="dxa" w:w="1872"/>
          </w:tcPr>
          <w:p>
            <w:r>
              <w:t>[72.5]% (145/[200])</w:t>
            </w:r>
          </w:p>
        </w:tc>
        <w:tc>
          <w:tcPr>
            <w:tcW w:type="dxa" w:w="1872"/>
          </w:tcPr>
          <w:p>
            <w:r>
              <w:t>[41.0]% (82/[200])</w:t>
            </w:r>
          </w:p>
        </w:tc>
        <w:tc>
          <w:tcPr>
            <w:tcW w:type="dxa" w:w="1872"/>
          </w:tcPr>
          <w:p>
            <w:r>
              <w:t>[-31.5]% ([-40.5]% to [-22.5]%)</w:t>
            </w:r>
          </w:p>
        </w:tc>
        <w:tc>
          <w:tcPr>
            <w:tcW w:type="dxa" w:w="1872"/>
          </w:tcPr>
          <w:p>
            <w:r>
              <w:t>[p &lt; 0.001]</w:t>
            </w:r>
          </w:p>
        </w:tc>
      </w:tr>
    </w:tbl>
    <w:p/>
    <w:p>
      <w:pPr>
        <w:spacing w:before="120" w:after="80"/>
      </w:pPr>
      <w:r>
        <w:rPr>
          <w:b/>
          <w:i/>
          <w:sz w:val="24"/>
        </w:rPr>
        <w:t>Table 3: New-Patient GYN Appointment Wait Times (Business Days)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Group / Payer</w:t>
            </w:r>
          </w:p>
        </w:tc>
        <w:tc>
          <w:tcPr>
            <w:tcW w:type="dxa" w:w="2340"/>
          </w:tcPr>
          <w:p>
            <w:r>
              <w:t>Commercial BCBS PPO (N = [395] Scheduled)</w:t>
            </w:r>
          </w:p>
        </w:tc>
        <w:tc>
          <w:tcPr>
            <w:tcW w:type="dxa" w:w="2340"/>
          </w:tcPr>
          <w:p>
            <w:r>
              <w:t>Medicaid (N = [227] Scheduled)</w:t>
            </w:r>
          </w:p>
        </w:tc>
        <w:tc>
          <w:tcPr>
            <w:tcW w:type="dxa" w:w="2340"/>
          </w:tcPr>
          <w:p>
            <w:r>
              <w:t>Wait-Time Gap (95% CI)</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Independent Practice</w:t>
            </w:r>
          </w:p>
        </w:tc>
        <w:tc>
          <w:tcPr>
            <w:tcW w:type="dxa" w:w="2340"/>
          </w:tcPr>
          <w:p>
            <w:r>
              <w:t>[12.1] days (SD [6.8])</w:t>
            </w:r>
          </w:p>
        </w:tc>
        <w:tc>
          <w:tcPr>
            <w:tcW w:type="dxa" w:w="2340"/>
          </w:tcPr>
          <w:p>
            <w:r>
              <w:t>[23.4] days (SD [11.2])</w:t>
            </w:r>
          </w:p>
        </w:tc>
        <w:tc>
          <w:tcPr>
            <w:tcW w:type="dxa" w:w="2340"/>
          </w:tcPr>
          <w:p>
            <w:r>
              <w:t>[11.3] days ([9.4] to [13.2])</w:t>
            </w:r>
          </w:p>
        </w:tc>
      </w:tr>
      <w:tr>
        <w:tc>
          <w:tcPr>
            <w:tcW w:type="dxa" w:w="2340"/>
          </w:tcPr>
          <w:p>
            <w:r>
              <w:t>PE-Backed Practice</w:t>
            </w:r>
          </w:p>
        </w:tc>
        <w:tc>
          <w:tcPr>
            <w:tcW w:type="dxa" w:w="2340"/>
          </w:tcPr>
          <w:p>
            <w:r>
              <w:t>[14.5] days (SD [8.2])</w:t>
            </w:r>
          </w:p>
        </w:tc>
        <w:tc>
          <w:tcPr>
            <w:tcW w:type="dxa" w:w="2340"/>
          </w:tcPr>
          <w:p>
            <w:r>
              <w:t>[36.8] days (SD [18.4])</w:t>
            </w:r>
          </w:p>
        </w:tc>
        <w:tc>
          <w:tcPr>
            <w:tcW w:type="dxa" w:w="2340"/>
          </w:tcPr>
          <w:p>
            <w:r>
              <w:t>[22.3] days ([17.8] to [26.8])</w:t>
            </w:r>
          </w:p>
        </w:tc>
      </w:tr>
    </w:tbl>
    <w:p/>
    <w:p>
      <w:pPr>
        <w:spacing w:before="120" w:after="80"/>
      </w:pPr>
      <w:r>
        <w:rPr>
          <w:b/>
          <w:i/>
          <w:sz w:val="24"/>
        </w:rPr>
        <w:t>Table 4: Mixed-Effects Regression Outcomes for Obtainment and Wait Times (Dummy)</w:t>
      </w:r>
    </w:p>
    <w:tbl>
      <w:tblPr>
        <w:tblStyle w:val="LightShading-Accent1"/>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Outcome / Variable</w:t>
            </w:r>
          </w:p>
        </w:tc>
        <w:tc>
          <w:tcPr>
            <w:tcW w:type="dxa" w:w="1337"/>
          </w:tcPr>
          <w:p>
            <w:r>
              <w:t>Odds Ratio (Obtainment)</w:t>
            </w:r>
          </w:p>
        </w:tc>
        <w:tc>
          <w:tcPr>
            <w:tcW w:type="dxa" w:w="1337"/>
          </w:tcPr>
          <w:p>
            <w:r>
              <w:t>95% CI</w:t>
            </w:r>
          </w:p>
        </w:tc>
        <w:tc>
          <w:tcPr>
            <w:tcW w:type="dxa" w:w="1337"/>
          </w:tcPr>
          <w:p>
            <w:r>
              <w:t>p-value</w:t>
            </w:r>
          </w:p>
        </w:tc>
        <w:tc>
          <w:tcPr>
            <w:tcW w:type="dxa" w:w="1337"/>
          </w:tcPr>
          <w:p>
            <w:r>
              <w:t>Incidence Rate Ratio (Wait Time)</w:t>
            </w:r>
          </w:p>
        </w:tc>
        <w:tc>
          <w:tcPr>
            <w:tcW w:type="dxa" w:w="1337"/>
          </w:tcPr>
          <w:p>
            <w:r>
              <w:t>95% CI</w:t>
            </w:r>
          </w:p>
        </w:tc>
        <w:tc>
          <w:tcPr>
            <w:tcW w:type="dxa" w:w="1337"/>
          </w:tcPr>
          <w:p>
            <w:r>
              <w:t>p-value</w:t>
            </w:r>
          </w:p>
        </w:tc>
      </w:tr>
      <w:tr>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c>
          <w:tcPr>
            <w:tcW w:type="dxa" w:w="1337"/>
          </w:tcPr>
          <w:p>
            <w:r>
              <w:t>:---:</w:t>
            </w:r>
          </w:p>
        </w:tc>
      </w:tr>
      <w:tr>
        <w:tc>
          <w:tcPr>
            <w:tcW w:type="dxa" w:w="1337"/>
          </w:tcPr>
          <w:p>
            <w:r>
              <w:t>Payer (Medicaid vs. BCBS)</w:t>
            </w:r>
          </w:p>
        </w:tc>
        <w:tc>
          <w:tcPr>
            <w:tcW w:type="dxa" w:w="1337"/>
          </w:tcPr>
          <w:p>
            <w:r>
              <w:t>[0.15]</w:t>
            </w:r>
          </w:p>
        </w:tc>
        <w:tc>
          <w:tcPr>
            <w:tcW w:type="dxa" w:w="1337"/>
          </w:tcPr>
          <w:p>
            <w:r>
              <w:t>[0.08] to [0.28]</w:t>
            </w:r>
          </w:p>
        </w:tc>
        <w:tc>
          <w:tcPr>
            <w:tcW w:type="dxa" w:w="1337"/>
          </w:tcPr>
          <w:p>
            <w:r>
              <w:t>[p &lt; 0.001]</w:t>
            </w:r>
          </w:p>
        </w:tc>
        <w:tc>
          <w:tcPr>
            <w:tcW w:type="dxa" w:w="1337"/>
          </w:tcPr>
          <w:p>
            <w:r>
              <w:t>[1.93]</w:t>
            </w:r>
          </w:p>
        </w:tc>
        <w:tc>
          <w:tcPr>
            <w:tcW w:type="dxa" w:w="1337"/>
          </w:tcPr>
          <w:p>
            <w:r>
              <w:t>[1.56] to [2.39]</w:t>
            </w:r>
          </w:p>
        </w:tc>
        <w:tc>
          <w:tcPr>
            <w:tcW w:type="dxa" w:w="1337"/>
          </w:tcPr>
          <w:p>
            <w:r>
              <w:t>[p &lt; 0.001]</w:t>
            </w:r>
          </w:p>
        </w:tc>
      </w:tr>
      <w:tr>
        <w:tc>
          <w:tcPr>
            <w:tcW w:type="dxa" w:w="1337"/>
          </w:tcPr>
          <w:p>
            <w:r>
              <w:t>Ownership (PE vs. Control)</w:t>
            </w:r>
          </w:p>
        </w:tc>
        <w:tc>
          <w:tcPr>
            <w:tcW w:type="dxa" w:w="1337"/>
          </w:tcPr>
          <w:p>
            <w:r>
              <w:t>[1.02]</w:t>
            </w:r>
          </w:p>
        </w:tc>
        <w:tc>
          <w:tcPr>
            <w:tcW w:type="dxa" w:w="1337"/>
          </w:tcPr>
          <w:p>
            <w:r>
              <w:t>[0.55] to [1.89]</w:t>
            </w:r>
          </w:p>
        </w:tc>
        <w:tc>
          <w:tcPr>
            <w:tcW w:type="dxa" w:w="1337"/>
          </w:tcPr>
          <w:p>
            <w:r>
              <w:t>[p = 0.94]</w:t>
            </w:r>
          </w:p>
        </w:tc>
        <w:tc>
          <w:tcPr>
            <w:tcW w:type="dxa" w:w="1337"/>
          </w:tcPr>
          <w:p>
            <w:r>
              <w:t>[1.20]</w:t>
            </w:r>
          </w:p>
        </w:tc>
        <w:tc>
          <w:tcPr>
            <w:tcW w:type="dxa" w:w="1337"/>
          </w:tcPr>
          <w:p>
            <w:r>
              <w:t>[0.94] to [1.53]</w:t>
            </w:r>
          </w:p>
        </w:tc>
        <w:tc>
          <w:tcPr>
            <w:tcW w:type="dxa" w:w="1337"/>
          </w:tcPr>
          <w:p>
            <w:r>
              <w:t>[p = 0.14]</w:t>
            </w:r>
          </w:p>
        </w:tc>
      </w:tr>
      <w:tr>
        <w:tc>
          <w:tcPr>
            <w:tcW w:type="dxa" w:w="1337"/>
          </w:tcPr>
          <w:p>
            <w:r>
              <w:t>Payer × Ownership Interaction</w:t>
            </w:r>
          </w:p>
        </w:tc>
        <w:tc>
          <w:tcPr>
            <w:tcW w:type="dxa" w:w="1337"/>
          </w:tcPr>
          <w:p>
            <w:r>
              <w:t>[0.28]</w:t>
            </w:r>
          </w:p>
        </w:tc>
        <w:tc>
          <w:tcPr>
            <w:tcW w:type="dxa" w:w="1337"/>
          </w:tcPr>
          <w:p>
            <w:r>
              <w:t>[0.12] to [0.65]</w:t>
            </w:r>
          </w:p>
        </w:tc>
        <w:tc>
          <w:tcPr>
            <w:tcW w:type="dxa" w:w="1337"/>
          </w:tcPr>
          <w:p>
            <w:r>
              <w:t>[p = 0.003]</w:t>
            </w:r>
          </w:p>
        </w:tc>
        <w:tc>
          <w:tcPr>
            <w:tcW w:type="dxa" w:w="1337"/>
          </w:tcPr>
          <w:p>
            <w:r>
              <w:t>[1.62]</w:t>
            </w:r>
          </w:p>
        </w:tc>
        <w:tc>
          <w:tcPr>
            <w:tcW w:type="dxa" w:w="1337"/>
          </w:tcPr>
          <w:p>
            <w:r>
              <w:t>[1.28] to [2.05]</w:t>
            </w:r>
          </w:p>
        </w:tc>
        <w:tc>
          <w:tcPr>
            <w:tcW w:type="dxa" w:w="1337"/>
          </w:tcPr>
          <w:p>
            <w:r>
              <w:t>[p &lt; 0.001]</w:t>
            </w:r>
          </w:p>
        </w:tc>
      </w:tr>
    </w:tbl>
    <w:p/>
    <w:p>
      <w:r>
        <w:t>Note: Models adjusted for clinician gender, credentials, state, and years in practice. Random intercepts included for matched pair and individual clinician.</w:t>
      </w:r>
    </w:p>
    <w:p>
      <w:pPr>
        <w:spacing w:before="240" w:after="120"/>
      </w:pPr>
      <w:r>
        <w:rPr>
          <w:b/>
          <w:sz w:val="28"/>
        </w:rPr>
        <w:t>Supplemental Material</w:t>
      </w:r>
    </w:p>
    <w:p>
      <w:pPr>
        <w:spacing w:before="120" w:after="80"/>
      </w:pPr>
      <w:r>
        <w:rPr>
          <w:b/>
          <w:i/>
          <w:sz w:val="24"/>
        </w:rPr>
        <w:t>Supplemental Table 1: Intraclass Correlation Coefficients (ICC) for Wait-Time GLMM (Dummy)</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t>Model Parameter</w:t>
            </w:r>
          </w:p>
        </w:tc>
        <w:tc>
          <w:tcPr>
            <w:tcW w:type="dxa" w:w="2340"/>
          </w:tcPr>
          <w:p>
            <w:r>
              <w:t>Variance Estimate</w:t>
            </w:r>
          </w:p>
        </w:tc>
        <w:tc>
          <w:tcPr>
            <w:tcW w:type="dxa" w:w="2340"/>
          </w:tcPr>
          <w:p>
            <w:r>
              <w:t>Residual Variance</w:t>
            </w:r>
          </w:p>
        </w:tc>
        <w:tc>
          <w:tcPr>
            <w:tcW w:type="dxa" w:w="2340"/>
          </w:tcPr>
          <w:p>
            <w:r>
              <w:t>Intraclass Correlation Coefficient (ICC)</w:t>
            </w:r>
          </w:p>
        </w:tc>
      </w:tr>
      <w:tr>
        <w:tc>
          <w:tcPr>
            <w:tcW w:type="dxa" w:w="2340"/>
          </w:tcPr>
          <w:p>
            <w:r>
              <w:t>:---</w:t>
            </w:r>
          </w:p>
        </w:tc>
        <w:tc>
          <w:tcPr>
            <w:tcW w:type="dxa" w:w="2340"/>
          </w:tcPr>
          <w:p>
            <w:r>
              <w:t>:---:</w:t>
            </w:r>
          </w:p>
        </w:tc>
        <w:tc>
          <w:tcPr>
            <w:tcW w:type="dxa" w:w="2340"/>
          </w:tcPr>
          <w:p>
            <w:r>
              <w:t>:---:</w:t>
            </w:r>
          </w:p>
        </w:tc>
        <w:tc>
          <w:tcPr>
            <w:tcW w:type="dxa" w:w="2340"/>
          </w:tcPr>
          <w:p>
            <w:r>
              <w:t>:---:</w:t>
            </w:r>
          </w:p>
        </w:tc>
      </w:tr>
      <w:tr>
        <w:tc>
          <w:tcPr>
            <w:tcW w:type="dxa" w:w="2340"/>
          </w:tcPr>
          <w:p>
            <w:r>
              <w:t>Clinician Level (NPI)</w:t>
            </w:r>
          </w:p>
        </w:tc>
        <w:tc>
          <w:tcPr>
            <w:tcW w:type="dxa" w:w="2340"/>
          </w:tcPr>
          <w:p>
            <w:r>
              <w:t>[0.082]</w:t>
            </w:r>
          </w:p>
        </w:tc>
        <w:tc>
          <w:tcPr>
            <w:tcW w:type="dxa" w:w="2340"/>
          </w:tcPr>
          <w:p>
            <w:r>
              <w:t>[0.354]</w:t>
            </w:r>
          </w:p>
        </w:tc>
        <w:tc>
          <w:tcPr>
            <w:tcW w:type="dxa" w:w="2340"/>
          </w:tcPr>
          <w:p>
            <w:r>
              <w:t>[18.8]%</w:t>
            </w:r>
          </w:p>
        </w:tc>
      </w:tr>
      <w:tr>
        <w:tc>
          <w:tcPr>
            <w:tcW w:type="dxa" w:w="2340"/>
          </w:tcPr>
          <w:p>
            <w:r>
              <w:t>Matched Pair Level (Matched_Pair_ID)</w:t>
            </w:r>
          </w:p>
        </w:tc>
        <w:tc>
          <w:tcPr>
            <w:tcW w:type="dxa" w:w="2340"/>
          </w:tcPr>
          <w:p>
            <w:r>
              <w:t>[0.054]</w:t>
            </w:r>
          </w:p>
        </w:tc>
        <w:tc>
          <w:tcPr>
            <w:tcW w:type="dxa" w:w="2340"/>
          </w:tcPr>
          <w:p>
            <w:r>
              <w:t>[0.354]</w:t>
            </w:r>
          </w:p>
        </w:tc>
        <w:tc>
          <w:tcPr>
            <w:tcW w:type="dxa" w:w="2340"/>
          </w:tcPr>
          <w:p>
            <w:r>
              <w:t>[12.4]%</w:t>
            </w:r>
          </w:p>
        </w:tc>
      </w:tr>
    </w:tbl>
    <w:p/>
    <w:p>
      <w:r>
        <w:t>Note: The clinician-level ICC indicates that 18.8% of the remaining variance in wait times is attributable to within-physician factors, justifying the use of repeated-measures random intercepts.</w:t>
      </w:r>
    </w:p>
    <w:p>
      <w:pPr>
        <w:spacing w:before="240" w:after="120"/>
      </w:pPr>
      <w:r>
        <w:rPr>
          <w:b/>
          <w:sz w:val="28"/>
        </w:rPr>
        <w:t>Figure Legends</w:t>
      </w:r>
    </w:p>
    <w:p>
      <w:pPr>
        <w:spacing w:before="120" w:after="80"/>
      </w:pPr>
      <w:r>
        <w:rPr>
          <w:b/>
          <w:i/>
          <w:sz w:val="24"/>
        </w:rPr>
        <w:t>Figure 1: Appointment Obtainment (Medicaid Acceptance) Rates by Ownership Group</w:t>
      </w:r>
    </w:p>
    <w:p>
      <w:r>
        <w:t>Bar chart illustrating the percentage of successful new-patient appointment offers for commercial BCBS PPO (blue) vs. Medicaid (gray) across independent private practices and private equity-backed clinics (dummy data placeholders).</w:t>
      </w:r>
    </w:p>
    <w:p>
      <w:pPr>
        <w:spacing w:before="120" w:after="80"/>
      </w:pPr>
      <w:r>
        <w:rPr>
          <w:b/>
          <w:i/>
          <w:sz w:val="24"/>
        </w:rPr>
        <w:t>Figure 2: Distribution of GYN Appointment Wait Times (Business Days) by Payer</w:t>
      </w:r>
    </w:p>
    <w:p>
      <w:r>
        <w:t>Density curves showing wait times for commercial BCBS PPO (solid lines) vs. Medicaid (dashed lines) for independent private practices vs. private equity-backed clinics (dummy data placeholders).</w:t>
      </w:r>
    </w:p>
    <w:p>
      <w:pPr>
        <w:spacing w:before="240" w:after="120"/>
      </w:pPr>
      <w:r>
        <w:rPr>
          <w:b/>
          <w:sz w:val="28"/>
        </w:rPr>
        <w:t>BibTeX Bibliography</w:t>
      </w:r>
    </w:p>
    <w:p>
      <w:r>
        <w:t>```bibtex</w:t>
      </w:r>
    </w:p>
    <w:p>
      <w:r>
        <w:t>@article{zhu2020private,</w:t>
      </w:r>
    </w:p>
    <w:p>
      <w:r>
        <w:t>title={Private equity acquisitions of ophthalmic practices},</w:t>
      </w:r>
    </w:p>
    <w:p>
      <w:r>
        <w:t>author={Zhu, Jane M and Hua, Laura M and Polsky, Daniel},</w:t>
      </w:r>
    </w:p>
    <w:p>
      <w:r>
        <w:t>journal={JAMA Ophthalmology},</w:t>
      </w:r>
    </w:p>
    <w:p>
      <w:r>
        <w:t>volume={138},</w:t>
      </w:r>
    </w:p>
    <w:p>
      <w:r>
        <w:t>number={10},</w:t>
      </w:r>
    </w:p>
    <w:p>
      <w:r>
        <w:t>pages={1064--1070},</w:t>
      </w:r>
    </w:p>
    <w:p>
      <w:r>
        <w:t>year={2020},</w:t>
      </w:r>
    </w:p>
    <w:p>
      <w:r>
        <w:t>publisher={American Medical Association}</w:t>
      </w:r>
    </w:p>
    <w:p>
      <w:r>
        <w:t>}</w:t>
      </w:r>
    </w:p>
    <w:p>
      <w:r>
        <w:t>@article{bruch2020changes,</w:t>
      </w:r>
    </w:p>
    <w:p>
      <w:r>
        <w:t>title={Changes in hospital income, use, and quality associated with private equity acquisition},</w:t>
      </w:r>
    </w:p>
    <w:p>
      <w:r>
        <w:t>author={Bruch, Joseph D and Gondi, Sameer and Song, Zirui},</w:t>
      </w:r>
    </w:p>
    <w:p>
      <w:r>
        <w:t>journal={JAMA Internal Medicine},</w:t>
      </w:r>
    </w:p>
    <w:p>
      <w:r>
        <w:t>volume={180},</w:t>
      </w:r>
    </w:p>
    <w:p>
      <w:r>
        <w:t>number={11},</w:t>
      </w:r>
    </w:p>
    <w:p>
      <w:r>
        <w:t>pages={1428--1435},</w:t>
      </w:r>
    </w:p>
    <w:p>
      <w:r>
        <w:t>year={2020},</w:t>
      </w:r>
    </w:p>
    <w:p>
      <w:r>
        <w:t>publisher={American Medical Association}</w:t>
      </w:r>
    </w:p>
    <w:p>
      <w:r>
        <w:t>}</w:t>
      </w:r>
    </w:p>
    <w:p>
      <w:r>
        <w:t>@article{acog2019medicaid,</w:t>
      </w:r>
    </w:p>
    <w:p>
      <w:r>
        <w:t>title={ACOG Committee Opinion No. 760: Medicaid Partnership},</w:t>
      </w:r>
    </w:p>
    <w:p>
      <w:r>
        <w:t>author={American College of Obstetricians and Gynecologists},</w:t>
      </w:r>
    </w:p>
    <w:p>
      <w:r>
        <w:t>journal={Obstetrics \&amp; Gynecology},</w:t>
      </w:r>
    </w:p>
    <w:p>
      <w:r>
        <w:t>volume={133},</w:t>
      </w:r>
    </w:p>
    <w:p>
      <w:r>
        <w:t>number={1},</w:t>
      </w:r>
    </w:p>
    <w:p>
      <w:r>
        <w:t>pages={e44--e50},</w:t>
      </w:r>
    </w:p>
    <w:p>
      <w:r>
        <w:t>year={2019}</w:t>
      </w:r>
    </w:p>
    <w:p>
      <w:r>
        <w:t>}</w:t>
      </w:r>
    </w:p>
    <w:p>
      <w:r>
        <w:t>```</w:t>
      </w:r>
    </w:p>
    <w:sectPr w:rsidR="00FC693F" w:rsidRPr="0006063C" w:rsidSect="00034616">
      <w:pgSz w:w="12240" w:h="15840"/>
      <w:pgMar w:top="1440" w:right="1440" w:bottom="1440" w:left="1440" w:header="720" w:footer="720" w:gutter="0"/>
      <w:cols w:space="720"/>
      <w:docGrid w:linePitch="360"/>
      <w:lnNumType w:countBy="1" w:restart="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