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[DRAFT. Date, phone, and any disclosure statement to be completed before sending.]</w:t>
      </w:r>
    </w:p>
    <w:p>
      <w:pPr>
        <w:pStyle w:val="BodyText"/>
      </w:pPr>
      <w:r>
        <w:t xml:space="preserve">Tyler Muffly, MD</w:t>
      </w:r>
      <w:r>
        <w:t xml:space="preserve"> </w:t>
      </w:r>
      <w:r>
        <w:t xml:space="preserve">Department of Obstetrics and Gynecology</w:t>
      </w:r>
      <w:r>
        <w:t xml:space="preserve"> </w:t>
      </w:r>
      <w:r>
        <w:t xml:space="preserve">Denver Health Medical Center</w:t>
      </w:r>
      <w:r>
        <w:t xml:space="preserve"> </w:t>
      </w:r>
      <w:r>
        <w:t xml:space="preserve">777 Bannock Street</w:t>
      </w:r>
      <w:r>
        <w:t xml:space="preserve"> </w:t>
      </w:r>
      <w:r>
        <w:t xml:space="preserve">Denver, CO 80204</w:t>
      </w:r>
      <w:r>
        <w:t xml:space="preserve"> </w:t>
      </w:r>
      <w:r>
        <w:t xml:space="preserve">tyler.muffly@dhha.org</w:t>
      </w:r>
    </w:p>
    <w:p>
      <w:pPr>
        <w:pStyle w:val="BodyText"/>
      </w:pPr>
      <w:r>
        <w:t xml:space="preserve">[Date]</w:t>
      </w:r>
    </w:p>
    <w:p>
      <w:pPr>
        <w:pStyle w:val="BodyText"/>
      </w:pPr>
      <w:r>
        <w:t xml:space="preserve">Editor-in-Chief</w:t>
      </w:r>
      <w:r>
        <w:t xml:space="preserve"> </w:t>
      </w:r>
      <w:r>
        <w:rPr>
          <w:i/>
          <w:iCs/>
        </w:rPr>
        <w:t xml:space="preserve">Obstetrics &amp; Gynecology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consider the enclosed manuscript,</w:t>
      </w:r>
      <w:r>
        <w:t xml:space="preserve"> </w:t>
      </w:r>
      <w:r>
        <w:t xml:space="preserve">“Historical Validation of National</w:t>
      </w:r>
      <w:r>
        <w:t xml:space="preserve"> </w:t>
      </w:r>
      <w:r>
        <w:t xml:space="preserve">Urogynecology Workforce Projections: When the Validation Target Does Not Match</w:t>
      </w:r>
      <w:r>
        <w:t xml:space="preserve"> </w:t>
      </w:r>
      <w:r>
        <w:t xml:space="preserve">the Workforce,”</w:t>
      </w:r>
      <w:r>
        <w:t xml:space="preserve"> </w:t>
      </w:r>
      <w:r>
        <w:t xml:space="preserve">for publication as Original Research.</w:t>
      </w:r>
    </w:p>
    <w:p>
      <w:pPr>
        <w:pStyle w:val="BodyText"/>
      </w:pPr>
      <w:r>
        <w:t xml:space="preserve">Whether the United States will have enough urogynecologists to care for an aging</w:t>
      </w:r>
      <w:r>
        <w:t xml:space="preserve"> </w:t>
      </w:r>
      <w:r>
        <w:t xml:space="preserve">female population is an active question for the subspecialty, and projections</w:t>
      </w:r>
      <w:r>
        <w:t xml:space="preserve"> </w:t>
      </w:r>
      <w:r>
        <w:t xml:space="preserve">are increasingly cited in discussions of fellowship training and access to</w:t>
      </w:r>
      <w:r>
        <w:t xml:space="preserve"> </w:t>
      </w:r>
      <w:r>
        <w:t xml:space="preserve">pelvic-floor care. Those projections are rarely tested against what subsequently</w:t>
      </w:r>
      <w:r>
        <w:t xml:space="preserve"> </w:t>
      </w:r>
      <w:r>
        <w:t xml:space="preserve">happened. In a systematic review of 40 health workforce projection studies, only</w:t>
      </w:r>
      <w:r>
        <w:t xml:space="preserve"> </w:t>
      </w:r>
      <w:r>
        <w:t xml:space="preserve">8 compared their predictions with historical data and only 4 conducted external</w:t>
      </w:r>
      <w:r>
        <w:t xml:space="preserve"> </w:t>
      </w:r>
      <w:r>
        <w:t xml:space="preserve">validation.</w:t>
      </w:r>
    </w:p>
    <w:p>
      <w:pPr>
        <w:pStyle w:val="BodyText"/>
      </w:pPr>
      <w:r>
        <w:t xml:space="preserve">We built a national microsimulation of the urogynecology and reconstructive</w:t>
      </w:r>
      <w:r>
        <w:t xml:space="preserve"> </w:t>
      </w:r>
      <w:r>
        <w:t xml:space="preserve">pelvic surgery workforce and asked whether it reproduces the observed number of</w:t>
      </w:r>
      <w:r>
        <w:t xml:space="preserve"> </w:t>
      </w:r>
      <w:r>
        <w:t xml:space="preserve">board-certified urogynecologists when forecasting from historical data alone. It</w:t>
      </w:r>
      <w:r>
        <w:t xml:space="preserve"> </w:t>
      </w:r>
      <w:r>
        <w:t xml:space="preserve">does not, and the reason is the point of the paper. Fifty-nine percent of the</w:t>
      </w:r>
      <w:r>
        <w:t xml:space="preserve"> </w:t>
      </w:r>
      <w:r>
        <w:t xml:space="preserve">99-provider discrepancy arose not from assumptions about how urogynecologists</w:t>
      </w:r>
      <w:r>
        <w:t xml:space="preserve"> </w:t>
      </w:r>
      <w:r>
        <w:t xml:space="preserve">retire or how many enter the field, but because the model counted clinically</w:t>
      </w:r>
      <w:r>
        <w:t xml:space="preserve"> </w:t>
      </w:r>
      <w:r>
        <w:t xml:space="preserve">active physicians while the national series used to check it counts cumulative</w:t>
      </w:r>
      <w:r>
        <w:t xml:space="preserve"> </w:t>
      </w:r>
      <w:r>
        <w:t xml:space="preserve">certifications, from which no one is ever removed. The two quantities are both</w:t>
      </w:r>
      <w:r>
        <w:t xml:space="preserve"> </w:t>
      </w:r>
      <w:r>
        <w:t xml:space="preserve">defensible and are not the same.</w:t>
      </w:r>
    </w:p>
    <w:p>
      <w:pPr>
        <w:pStyle w:val="BodyText"/>
      </w:pPr>
      <w:r>
        <w:t xml:space="preserve">We think this will interest your readers for three reasons. First, it is</w:t>
      </w:r>
      <w:r>
        <w:t xml:space="preserve"> </w:t>
      </w:r>
      <w:r>
        <w:t xml:space="preserve">directly relevant to how the subspecialty should read the workforce projections</w:t>
      </w:r>
      <w:r>
        <w:t xml:space="preserve"> </w:t>
      </w:r>
      <w:r>
        <w:t xml:space="preserve">now circulating: a model can represent physician behavior faithfully and still</w:t>
      </w:r>
      <w:r>
        <w:t xml:space="preserve"> </w:t>
      </w:r>
      <w:r>
        <w:t xml:space="preserve">produce a misleading number for fellowship planning. Second, the conventional</w:t>
      </w:r>
      <w:r>
        <w:t xml:space="preserve"> </w:t>
      </w:r>
      <w:r>
        <w:t xml:space="preserve">way of judging such a model, whether its interval contains the observed value,</w:t>
      </w:r>
      <w:r>
        <w:t xml:space="preserve"> </w:t>
      </w:r>
      <w:r>
        <w:t xml:space="preserve">ranked highest the forecast that a proper scoring rule ranked last: one whose</w:t>
      </w:r>
      <w:r>
        <w:t xml:space="preserve"> </w:t>
      </w:r>
      <w:r>
        <w:t xml:space="preserve">interval was 1,466 providers wide with a lower bound below zero. Third, apparent accuracy proved to depend heavily on</w:t>
      </w:r>
      <w:r>
        <w:t xml:space="preserve"> </w:t>
      </w:r>
      <w:r>
        <w:t xml:space="preserve">validation design: the identical model appeared 2.7 times closer to the observed</w:t>
      </w:r>
      <w:r>
        <w:t xml:space="preserve"> </w:t>
      </w:r>
      <w:r>
        <w:t xml:space="preserve">series when the validation admitted information unavailable at the forecast</w:t>
      </w:r>
      <w:r>
        <w:t xml:space="preserve"> </w:t>
      </w:r>
      <w:r>
        <w:t xml:space="preserve">origin.</w:t>
      </w:r>
    </w:p>
    <w:p>
      <w:pPr>
        <w:pStyle w:val="BodyText"/>
      </w:pPr>
      <w:r>
        <w:t xml:space="preserve">We are explicit about what the study cannot claim. There is no gold-standard</w:t>
      </w:r>
      <w:r>
        <w:t xml:space="preserve"> </w:t>
      </w:r>
      <w:r>
        <w:t xml:space="preserve">external measure of the clinically active urogynecology workforce; the only</w:t>
      </w:r>
      <w:r>
        <w:t xml:space="preserve"> </w:t>
      </w:r>
      <w:r>
        <w:t xml:space="preserve">national series is cumulative certification, so all results are agreement</w:t>
      </w:r>
      <w:r>
        <w:t xml:space="preserve"> </w:t>
      </w:r>
      <w:r>
        <w:t xml:space="preserve">against an imperfect benchmark. We report this as a demonstration of what</w:t>
      </w:r>
      <w:r>
        <w:t xml:space="preserve"> </w:t>
      </w:r>
      <w:r>
        <w:t xml:space="preserve">happens when such a benchmark is treated as truth, not as a validated forecast.</w:t>
      </w:r>
      <w:r>
        <w:t xml:space="preserve"> </w:t>
      </w:r>
      <w:r>
        <w:t xml:space="preserve">The repeated-target evidence rests on four rolling origins and is diagnostic</w:t>
      </w:r>
      <w:r>
        <w:t xml:space="preserve"> </w:t>
      </w:r>
      <w:r>
        <w:t xml:space="preserve">rather than a precise estimate of long-run interval calibration.</w:t>
      </w:r>
    </w:p>
    <w:p>
      <w:pPr>
        <w:pStyle w:val="BodyText"/>
      </w:pPr>
      <w:r>
        <w:t xml:space="preserve">The manuscript is 2,141 words of main text with a 294-word structured abstract,</w:t>
      </w:r>
      <w:r>
        <w:t xml:space="preserve"> </w:t>
      </w:r>
      <w:r>
        <w:t xml:space="preserve">two tables, no figures, and one supplemental digital content file. It has not</w:t>
      </w:r>
      <w:r>
        <w:t xml:space="preserve"> </w:t>
      </w:r>
      <w:r>
        <w:t xml:space="preserve">been published elsewhere and is not under consideration by another journal. All</w:t>
      </w:r>
      <w:r>
        <w:t xml:space="preserve"> </w:t>
      </w:r>
      <w:r>
        <w:t xml:space="preserve">analyses are reproducible from committed code and artifacts. Every model</w:t>
      </w:r>
      <w:r>
        <w:t xml:space="preserve"> </w:t>
      </w:r>
      <w:r>
        <w:t xml:space="preserve">parameter in the historical forecast was audited for availability at the 2020</w:t>
      </w:r>
      <w:r>
        <w:t xml:space="preserve"> </w:t>
      </w:r>
      <w:r>
        <w:t xml:space="preserve">origin; the one parameter that postdated it was removed from the primary</w:t>
      </w:r>
      <w:r>
        <w:t xml:space="preserve"> </w:t>
      </w:r>
      <w:r>
        <w:t xml:space="preserve">analysis and is reported only as a sensitivity analysis.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Tyler Muffly, MD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2026-08-09T04:41:49Z</dcterms:created>
  <dcterms:modified xsi:type="dcterms:W3CDTF">2026-08-09T04:41:49Z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