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bc842d22f49376d153ffce45b5ef0bed20940fa"/>
    <w:p>
      <w:pPr>
        <w:pStyle w:val="Heading1"/>
      </w:pPr>
      <w:r>
        <w:t xml:space="preserve">Supplement: Historical Validation of National Urogynecology Workforce Projections</w:t>
      </w:r>
    </w:p>
    <w:p>
      <w:pPr>
        <w:pStyle w:val="FirstParagraph"/>
      </w:pPr>
      <w:r>
        <w:t xml:space="preserve">Supporting material for the manuscript in</w:t>
      </w:r>
      <w:r>
        <w:t xml:space="preserve"> </w:t>
      </w:r>
      <w:r>
        <w:rPr>
          <w:rStyle w:val="VerbatimChar"/>
        </w:rPr>
        <w:t xml:space="preserve">VALIDATION_PAPER.md</w:t>
      </w:r>
      <w:r>
        <w:t xml:space="preserve">. Every figure</w:t>
      </w:r>
      <w:r>
        <w:t xml:space="preserve"> </w:t>
      </w:r>
      <w:r>
        <w:t xml:space="preserve">here was regenerated from current code; the three starred artifacts in Appendix</w:t>
      </w:r>
      <w:r>
        <w:t xml:space="preserve"> </w:t>
      </w:r>
      <w:r>
        <w:t xml:space="preserve">S6 were re-run and compared byte-for-byte against their committed versions.</w:t>
      </w:r>
    </w:p>
    <w:p>
      <w:r>
        <w:pict>
          <v:rect style="width:0;height:1.5pt" o:hralign="center" o:hrstd="t" o:hr="t"/>
        </w:pict>
      </w:r>
    </w:p>
    <w:bookmarkStart w:id="9" w:name="Xa8d280dcf9959228a03b1746d1a35608cffeff7"/>
    <w:p>
      <w:pPr>
        <w:pStyle w:val="Heading2"/>
      </w:pPr>
      <w:r>
        <w:t xml:space="preserve">S1. Validation designs and what each establishes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Design</w:t>
            </w:r>
          </w:p>
        </w:tc>
        <w:tc>
          <w:tcPr/>
          <w:p>
            <w:pPr>
              <w:pStyle w:val="Compact"/>
            </w:pPr>
            <w:r>
              <w:t xml:space="preserve">Targets</w:t>
            </w:r>
          </w:p>
        </w:tc>
        <w:tc>
          <w:tcPr/>
          <w:p>
            <w:pPr>
              <w:pStyle w:val="Compact"/>
            </w:pPr>
            <w:r>
              <w:t xml:space="preserve">Establishes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Ten-arm back-test, cutoff 2020</w:t>
            </w:r>
          </w:p>
        </w:tc>
        <w:tc>
          <w:tcPr/>
          <w:p>
            <w:pPr>
              <w:pStyle w:val="Compact"/>
            </w:pPr>
            <w:r>
              <w:t xml:space="preserve">one (2023)</w:t>
            </w:r>
          </w:p>
        </w:tc>
        <w:tc>
          <w:tcPr/>
          <w:p>
            <w:pPr>
              <w:pStyle w:val="Compact"/>
            </w:pPr>
            <w:r>
              <w:t xml:space="preserve">point difference, direction, interval 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Rolling origin, origins 2017 to 2020</w:t>
            </w:r>
          </w:p>
        </w:tc>
        <w:tc>
          <w:tcPr/>
          <w:p>
            <w:pPr>
              <w:pStyle w:val="Compact"/>
            </w:pPr>
            <w:r>
              <w:t xml:space="preserve">four</w:t>
            </w:r>
          </w:p>
        </w:tc>
        <w:tc>
          <w:tcPr/>
          <w:p>
            <w:pPr>
              <w:pStyle w:val="Compact"/>
            </w:pPr>
            <w:r>
              <w:t xml:space="preserve">interval calibration</w:t>
            </w:r>
          </w:p>
        </w:tc>
      </w:tr>
    </w:tbl>
    <w:p>
      <w:pPr>
        <w:pStyle w:val="BodyText"/>
      </w:pPr>
      <w:r>
        <w:t xml:space="preserve">The ten arms are alternative specifications, not independent forecast occasions.</w:t>
      </w:r>
      <w:r>
        <w:t xml:space="preserve"> </w:t>
      </w:r>
      <w:r>
        <w:t xml:space="preserve">Two of ten produced an interval containing the observed value: a containment</w:t>
      </w:r>
      <w:r>
        <w:t xml:space="preserve"> </w:t>
      </w:r>
      <w:r>
        <w:t xml:space="preserve">count, not a 20% coverage rate. Coverage is a repeated-sampling property and</w:t>
      </w:r>
      <w:r>
        <w:t xml:space="preserve"> </w:t>
      </w:r>
      <w:r>
        <w:t xml:space="preserve">there is one realized value in the sample. Restricting to the five</w:t>
      </w:r>
      <w:r>
        <w:t xml:space="preserve"> </w:t>
      </w:r>
      <w:r>
        <w:t xml:space="preserve">definition-matched arms and reporting 2 of 5 carries the identical defect,</w:t>
      </w:r>
      <w:r>
        <w:t xml:space="preserve"> </w:t>
      </w:r>
      <w:r>
        <w:t xml:space="preserve">because the denominator is not the problem.</w:t>
      </w:r>
    </w:p>
    <w:p>
      <w:pPr>
        <w:pStyle w:val="BodyText"/>
      </w:pPr>
      <w:r>
        <w:t xml:space="preserve">This distinction is enforced in code.</w:t>
      </w:r>
      <w:r>
        <w:t xml:space="preserve"> </w:t>
      </w:r>
      <w:r>
        <w:rPr>
          <w:rStyle w:val="VerbatimChar"/>
        </w:rPr>
        <w:t xml:space="preserve">backtest_status()</w:t>
      </w:r>
      <w:r>
        <w:t xml:space="preserve"> </w:t>
      </w:r>
      <w:r>
        <w:t xml:space="preserve">exposes</w:t>
      </w:r>
      <w:r>
        <w:t xml:space="preserve"> </w:t>
      </w:r>
      <w:r>
        <w:rPr>
          <w:rStyle w:val="VerbatimChar"/>
        </w:rPr>
        <w:t xml:space="preserve">coverage_is_estimable = FALSE</w:t>
      </w:r>
      <w:r>
        <w:t xml:space="preserve"> </w:t>
      </w:r>
      <w:r>
        <w:t xml:space="preserve">for the single-target design, and</w:t>
      </w:r>
      <w:r>
        <w:t xml:space="preserve"> </w:t>
      </w:r>
      <w:r>
        <w:rPr>
          <w:rStyle w:val="VerbatimChar"/>
        </w:rPr>
        <w:t xml:space="preserve">assert_no_coverage_rate_claim()</w:t>
      </w:r>
      <w:r>
        <w:t xml:space="preserve"> </w:t>
      </w:r>
      <w:r>
        <w:t xml:space="preserve">refuses coverage-rate phrasing in</w:t>
      </w:r>
      <w:r>
        <w:t xml:space="preserve"> </w:t>
      </w:r>
      <w:r>
        <w:t xml:space="preserve">manuscript-facing text while permitting negated statements such as</w:t>
      </w:r>
      <w:r>
        <w:t xml:space="preserve"> </w:t>
      </w:r>
      <w:r>
        <w:t xml:space="preserve">“coverage is</w:t>
      </w:r>
      <w:r>
        <w:t xml:space="preserve"> </w:t>
      </w:r>
      <w:r>
        <w:t xml:space="preserve">not estimable from a single target”</w:t>
      </w:r>
      <w:r>
        <w:t xml:space="preserve">.</w:t>
      </w:r>
      <w:r>
        <w:t xml:space="preserve"> </w:t>
      </w:r>
      <w:r>
        <w:rPr>
          <w:rStyle w:val="VerbatimChar"/>
        </w:rPr>
        <w:t xml:space="preserve">interval_label()</w:t>
      </w:r>
      <w:r>
        <w:t xml:space="preserve"> </w:t>
      </w:r>
      <w:r>
        <w:t xml:space="preserve">likewise refuses</w:t>
      </w:r>
      <w:r>
        <w:t xml:space="preserve"> </w:t>
      </w:r>
      <w:r>
        <w:t xml:space="preserve">forecast-interval language while the back-test fails, reporting Monte Carlo</w:t>
      </w:r>
      <w:r>
        <w:t xml:space="preserve"> </w:t>
      </w:r>
      <w:r>
        <w:t xml:space="preserve">ranges instead.</w:t>
      </w:r>
    </w:p>
    <w:bookmarkEnd w:id="9"/>
    <w:bookmarkStart w:id="10" w:name="s2.-all-ten-configurations"/>
    <w:p>
      <w:pPr>
        <w:pStyle w:val="Heading2"/>
      </w:pPr>
      <w:r>
        <w:t xml:space="preserve">S2. All ten configurations</w:t>
      </w:r>
    </w:p>
    <w:p>
      <w:pPr>
        <w:pStyle w:val="FirstParagraph"/>
      </w:pPr>
      <w:r>
        <w:t xml:space="preserve">Primary specification: the permanent under-50 career-change process is omitted</w:t>
      </w:r>
      <w:r>
        <w:t xml:space="preserve"> </w:t>
      </w:r>
      <w:r>
        <w:t xml:space="preserve">because its only estimate postdates the 2020 origin (Appendix S9).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13"/>
        <w:gridCol w:w="913"/>
        <w:gridCol w:w="1218"/>
        <w:gridCol w:w="1218"/>
        <w:gridCol w:w="1218"/>
        <w:gridCol w:w="1218"/>
        <w:gridCol w:w="12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Arm</w:t>
            </w:r>
          </w:p>
        </w:tc>
        <w:tc>
          <w:tcPr/>
          <w:p>
            <w:pPr>
              <w:pStyle w:val="Compact"/>
            </w:pPr>
            <w:r>
              <w:t xml:space="preserve">Cohort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Entrants/yr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Attrition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 difference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Contained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Width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−7.58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129.1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−3.14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145.0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32.67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−12.63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143.0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32.67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−8.27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129.0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synthetic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−11.18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142.1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synthetic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−3.18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138.0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synthetic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32.67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−16.23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synthetic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32.67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−8.27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49.73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−8.81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49.73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−4.36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34.0</w:t>
            </w:r>
          </w:p>
        </w:tc>
      </w:tr>
    </w:tbl>
    <w:p>
      <w:pPr>
        <w:pStyle w:val="BodyText"/>
      </w:pPr>
      <w:r>
        <w:t xml:space="preserve">Arms 1 to 4 are the prespecified specifications. Arm 5 was added after the</w:t>
      </w:r>
      <w:r>
        <w:t xml:space="preserve"> </w:t>
      </w:r>
      <w:r>
        <w:t xml:space="preserve">original four and is scored alongside them, not in place of them.</w:t>
      </w:r>
    </w:p>
    <w:p>
      <w:pPr>
        <w:pStyle w:val="BodyText"/>
      </w:pPr>
      <w:r>
        <w:t xml:space="preserve">Both arms containing the observation are definition-matched. Every paired arm</w:t>
      </w:r>
      <w:r>
        <w:t xml:space="preserve"> </w:t>
      </w:r>
      <w:r>
        <w:t xml:space="preserve">improves by four to eight percentage points when the simulated quantity is made</w:t>
      </w:r>
      <w:r>
        <w:t xml:space="preserve"> </w:t>
      </w:r>
      <w:r>
        <w:t xml:space="preserve">comparable to what the target counts.</w:t>
      </w:r>
    </w:p>
    <w:p>
      <w:pPr>
        <w:pStyle w:val="BodyText"/>
      </w:pPr>
      <w:r>
        <w:t xml:space="preserve">“Definition-matched”</w:t>
      </w:r>
      <w:r>
        <w:t xml:space="preserve"> </w:t>
      </w:r>
      <w:r>
        <w:t xml:space="preserve">means attrition was suspended</w:t>
      </w:r>
      <w:r>
        <w:t xml:space="preserve"> </w:t>
      </w:r>
      <w:r>
        <w:rPr>
          <w:b/>
          <w:bCs/>
        </w:rPr>
        <w:t xml:space="preserve">for the comparison only</w:t>
      </w:r>
      <w:r>
        <w:t xml:space="preserve">.</w:t>
      </w:r>
      <w:r>
        <w:t xml:space="preserve"> </w:t>
      </w:r>
      <w:r>
        <w:t xml:space="preserve">It does not mean the projection is better without retirement. Retirement is</w:t>
      </w:r>
      <w:r>
        <w:t xml:space="preserve"> </w:t>
      </w:r>
      <w:r>
        <w:t xml:space="preserve">retained in the production projection, which uses empirical URPS hazards,</w:t>
      </w:r>
      <w:r>
        <w:t xml:space="preserve"> </w:t>
      </w:r>
      <w:r>
        <w:t xml:space="preserve">because practicing capacity rather than cumulative certification is the quantity</w:t>
      </w:r>
      <w:r>
        <w:t xml:space="preserve"> </w:t>
      </w:r>
      <w:r>
        <w:t xml:space="preserve">workforce planning requires. These arms isolate how much of the discrepancy the</w:t>
      </w:r>
      <w:r>
        <w:t xml:space="preserve"> </w:t>
      </w:r>
      <w:r>
        <w:t xml:space="preserve">definitional gap explains; they are not a recommended configuration.</w:t>
      </w:r>
    </w:p>
    <w:bookmarkEnd w:id="10"/>
    <w:bookmarkStart w:id="11" w:name="s3.-rolling-origin-detail"/>
    <w:p>
      <w:pPr>
        <w:pStyle w:val="Heading2"/>
      </w:pPr>
      <w:r>
        <w:t xml:space="preserve">S3. Rolling-origin detail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Origin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Observed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Predicted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Abs % difference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Contained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Width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997.9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3,184.8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1,180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1,094.4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1,172.2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1,234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1,169.2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818.1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1,203.6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687.1</w:t>
            </w:r>
          </w:p>
        </w:tc>
      </w:tr>
    </w:tbl>
    <w:p>
      <w:pPr>
        <w:pStyle w:val="BodyText"/>
      </w:pPr>
      <w:r>
        <w:t xml:space="preserve">Widths fall monotonically as the usable training record lengthens. Accumulating</w:t>
      </w:r>
      <w:r>
        <w:t xml:space="preserve"> </w:t>
      </w:r>
      <w:r>
        <w:t xml:space="preserve">history is a plausible explanation; this is an observed pattern, not a</w:t>
      </w:r>
      <w:r>
        <w:t xml:space="preserve"> </w:t>
      </w:r>
      <w:r>
        <w:t xml:space="preserve">mathematical property.</w:t>
      </w:r>
    </w:p>
    <w:p>
      <w:pPr>
        <w:pStyle w:val="BodyText"/>
      </w:pPr>
      <w:r>
        <w:t xml:space="preserve">The 2017 origin is limited twice over. Only two prior errors are available, so</w:t>
      </w:r>
      <w:r>
        <w:t xml:space="preserve"> </w:t>
      </w:r>
      <w:r>
        <w:rPr>
          <w:rStyle w:val="VerbatimChar"/>
        </w:rPr>
        <w:t xml:space="preserve">df = 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t(0.975) = 12.71</w:t>
      </w:r>
      <w:r>
        <w:t xml:space="preserve">, and both training windows fall in the</w:t>
      </w:r>
      <w:r>
        <w:t xml:space="preserve"> </w:t>
      </w:r>
      <w:r>
        <w:t xml:space="preserve">pandemic backlog regime. The resulting lower bound is −594.5, deliberately not</w:t>
      </w:r>
      <w:r>
        <w:t xml:space="preserve"> </w:t>
      </w:r>
      <w:r>
        <w:t xml:space="preserve">truncated at zero, because truncating it would conceal the mechanism.</w:t>
      </w:r>
    </w:p>
    <w:bookmarkEnd w:id="11"/>
    <w:bookmarkStart w:id="12" w:name="s4.-leakage-sensitivity"/>
    <w:p>
      <w:pPr>
        <w:pStyle w:val="Heading2"/>
      </w:pPr>
      <w:r>
        <w:t xml:space="preserve">S4. Leakage sensitivity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667"/>
        <w:gridCol w:w="1667"/>
        <w:gridCol w:w="166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Design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Eligible origins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Contained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abs difference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width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Leave-one-out (leaky)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411.7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Rolling origin (honest)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4/4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1,465.6</w:t>
            </w:r>
          </w:p>
        </w:tc>
      </w:tr>
    </w:tbl>
    <w:p>
      <w:pPr>
        <w:pStyle w:val="BodyText"/>
      </w:pPr>
      <w:r>
        <w:t xml:space="preserve">Leave-one-out admits training windows whose outcomes were not observable at the</w:t>
      </w:r>
      <w:r>
        <w:t xml:space="preserve"> </w:t>
      </w:r>
      <w:r>
        <w:t xml:space="preserve">origin. For the 2013 origin, all seven training points lie in its future.</w:t>
      </w:r>
      <w:r>
        <w:t xml:space="preserve"> </w:t>
      </w:r>
      <w:r>
        <w:t xml:space="preserve">Neither figure is a property of the forecasting method; the difference is a</w:t>
      </w:r>
      <w:r>
        <w:t xml:space="preserve"> </w:t>
      </w:r>
      <w:r>
        <w:t xml:space="preserve">property of the validation design.</w:t>
      </w:r>
    </w:p>
    <w:bookmarkEnd w:id="12"/>
    <w:bookmarkStart w:id="13" w:name="Xe6e840ec46b46f1dceff24d78003bfd4047bcb3"/>
    <w:p>
      <w:pPr>
        <w:pStyle w:val="Heading2"/>
      </w:pPr>
      <w:r>
        <w:t xml:space="preserve">S5. Window dependence and entrant definition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Cutoff to target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Certification predictor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NRMP predictor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2016 to 2019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+17.63%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+1.29%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2017 to 2020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+6.64%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+3.84%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2018 to 2021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−2.54%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+0.45%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2019 to 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−1.94%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+0.19%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2020 to 2023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−8.35%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−4.43%</w:t>
            </w:r>
          </w:p>
        </w:tc>
      </w:tr>
    </w:tbl>
    <w:p>
      <w:pPr>
        <w:pStyle w:val="BodyText"/>
      </w:pPr>
      <w:r>
        <w:t xml:space="preserve">The model moves from substantial over-prediction to under-prediction purely as a</w:t>
      </w:r>
      <w:r>
        <w:t xml:space="preserve"> </w:t>
      </w:r>
      <w:r>
        <w:t xml:space="preserve">function of the historical window chosen. The NRMP-based predictor is closer in</w:t>
      </w:r>
      <w:r>
        <w:t xml:space="preserve"> </w:t>
      </w:r>
      <w:r>
        <w:t xml:space="preserve">every window despite the certification-based one drawing on the same series the</w:t>
      </w:r>
      <w:r>
        <w:t xml:space="preserve"> </w:t>
      </w:r>
      <w:r>
        <w:t xml:space="preserve">target is taken from, a second instance of definitional choice driving apparent</w:t>
      </w:r>
      <w:r>
        <w:t xml:space="preserve"> </w:t>
      </w:r>
      <w:r>
        <w:t xml:space="preserve">performance.</w:t>
      </w:r>
    </w:p>
    <w:p>
      <w:pPr>
        <w:pStyle w:val="BodyText"/>
      </w:pPr>
      <w:r>
        <w:t xml:space="preserve">PROVENANCE NOTE. The NRMP column differs from earlier drafts of this table. That</w:t>
      </w:r>
      <w:r>
        <w:t xml:space="preserve"> </w:t>
      </w:r>
      <w:r>
        <w:t xml:space="preserve">change has nothing to do with the career-change correction in Appendix S9. The</w:t>
      </w:r>
      <w:r>
        <w:t xml:space="preserve"> </w:t>
      </w:r>
      <w:r>
        <w:t xml:space="preserve">NRMP entrant series was extended backwards from 2017-2020 to 2010-2020, and this</w:t>
      </w:r>
      <w:r>
        <w:t xml:space="preserve"> </w:t>
      </w:r>
      <w:r>
        <w:t xml:space="preserve">table had not been regenerated since. The predictor is a mean over all reports</w:t>
      </w:r>
      <w:r>
        <w:t xml:space="preserve"> </w:t>
      </w:r>
      <w:r>
        <w:t xml:space="preserve">published by the cutoff, so eleven years spanning the establishment ramp (30</w:t>
      </w:r>
      <w:r>
        <w:t xml:space="preserve"> </w:t>
      </w:r>
      <w:r>
        <w:t xml:space="preserve">positions filled in 2010, against a plateau near 57 from 2015) give a lower rate</w:t>
      </w:r>
      <w:r>
        <w:t xml:space="preserve"> </w:t>
      </w:r>
      <w:r>
        <w:t xml:space="preserve">than four years of the plateau alone: 49.73/yr rather than 58.0/yr at the 2020</w:t>
      </w:r>
      <w:r>
        <w:t xml:space="preserve"> </w:t>
      </w:r>
      <w:r>
        <w:t xml:space="preserve">cutoff. The certification column is unchanged, and rolling-origin and</w:t>
      </w:r>
      <w:r>
        <w:t xml:space="preserve"> </w:t>
      </w:r>
      <w:r>
        <w:t xml:space="preserve">leave-one-out results are unaffected because those artifacts were already</w:t>
      </w:r>
      <w:r>
        <w:t xml:space="preserve"> </w:t>
      </w:r>
      <w:r>
        <w:t xml:space="preserve">regenerated against the extended series.</w:t>
      </w:r>
    </w:p>
    <w:p>
      <w:pPr>
        <w:pStyle w:val="BodyText"/>
      </w:pPr>
      <w:r>
        <w:t xml:space="preserve">More pre-cutoff evidence made this predictor’s 2020 window worse, from −2.53% to</w:t>
      </w:r>
      <w:r>
        <w:t xml:space="preserve"> </w:t>
      </w:r>
      <w:r>
        <w:t xml:space="preserve">−4.43%, and made the four earlier windows better. Restricting the series to the</w:t>
      </w:r>
      <w:r>
        <w:t xml:space="preserve"> </w:t>
      </w:r>
      <w:r>
        <w:t xml:space="preserve">2015 plateau would score better and would be a window chosen with the answer in</w:t>
      </w:r>
      <w:r>
        <w:t xml:space="preserve"> </w:t>
      </w:r>
      <w:r>
        <w:t xml:space="preserve">hand.</w:t>
      </w:r>
    </w:p>
    <w:bookmarkEnd w:id="13"/>
    <w:bookmarkStart w:id="14" w:name="s6.-entrant-model-ablation"/>
    <w:p>
      <w:pPr>
        <w:pStyle w:val="Heading2"/>
      </w:pPr>
      <w:r>
        <w:t xml:space="preserve">S6. Entrant-model ablation</w:t>
      </w:r>
    </w:p>
    <w:p>
      <w:pPr>
        <w:pStyle w:val="FirstParagraph"/>
      </w:pPr>
      <w:r>
        <w:t xml:space="preserve">Each row adds one mechanism to the row above.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Specification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 difference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Width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S0 frozen: process plus NRMP sampling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−2.53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 plus extended NRMP series, 2015 to 2020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−2.53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 plus fellowship non-completion (ACGME)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−2.83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 plus appointment-to-certification lag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−2.76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S4 plus matched-to-certified conversion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−4.82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S5 plus baseline-stock completeness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−4.86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</w:t>
            </w:r>
          </w:p>
        </w:tc>
      </w:tr>
    </w:tbl>
    <w:p>
      <w:pPr>
        <w:pStyle w:val="BodyText"/>
      </w:pPr>
      <w:r>
        <w:t xml:space="preserve">No specification contains the observation. Point accuracy degrades monotonically</w:t>
      </w:r>
      <w:r>
        <w:t xml:space="preserve"> </w:t>
      </w:r>
      <w:r>
        <w:t xml:space="preserve">as realism is added, and S0’s width of 8 providers on a count of 1,273 is</w:t>
      </w:r>
      <w:r>
        <w:t xml:space="preserve"> </w:t>
      </w:r>
      <w:r>
        <w:t xml:space="preserve">overconfidence rather than precision.</w:t>
      </w:r>
    </w:p>
    <w:bookmarkEnd w:id="14"/>
    <w:bookmarkStart w:id="15" w:name="s7.-provenance"/>
    <w:p>
      <w:pPr>
        <w:pStyle w:val="Heading2"/>
      </w:pPr>
      <w:r>
        <w:t xml:space="preserve">S7. Provenance</w:t>
      </w:r>
    </w:p>
    <w:p>
      <w:pPr>
        <w:pStyle w:val="FirstParagraph"/>
      </w:pPr>
      <w:r>
        <w:t xml:space="preserve">Columns reported as</w:t>
      </w:r>
      <w:r>
        <w:t xml:space="preserve"> </w:t>
      </w:r>
      <w:r>
        <w:t xml:space="preserve">“% difference”</w:t>
      </w:r>
      <w:r>
        <w:t xml:space="preserve"> </w:t>
      </w:r>
      <w:r>
        <w:t xml:space="preserve">correspond to the</w:t>
      </w:r>
      <w:r>
        <w:t xml:space="preserve"> </w:t>
      </w:r>
      <w:r>
        <w:rPr>
          <w:rStyle w:val="VerbatimChar"/>
        </w:rPr>
        <w:t xml:space="preserve">percent_error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abs_pct_error</w:t>
      </w:r>
      <w:r>
        <w:t xml:space="preserve"> </w:t>
      </w:r>
      <w:r>
        <w:t xml:space="preserve">fields in the artifacts; the label differs because the</w:t>
      </w:r>
      <w:r>
        <w:t xml:space="preserve"> </w:t>
      </w:r>
      <w:r>
        <w:t xml:space="preserve">certification series is an imperfect benchmark rather than a criterion standard.</w:t>
      </w:r>
      <w:r>
        <w:t xml:space="preserve"> </w:t>
      </w:r>
      <w:r>
        <w:t xml:space="preserve">Starred artifacts were re-run and compared byte-for-byte against their committed</w:t>
      </w:r>
      <w:r>
        <w:t xml:space="preserve"> </w:t>
      </w:r>
      <w:r>
        <w:t xml:space="preserve">versions.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Claim</w:t>
            </w:r>
          </w:p>
        </w:tc>
        <w:tc>
          <w:tcPr/>
          <w:p>
            <w:pPr>
              <w:pStyle w:val="Compact"/>
            </w:pPr>
            <w:r>
              <w:t xml:space="preserve">Artifact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 1,306; ten arms; per-arm difference, containment, width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artifacts/backtest_2020_to_2023_summary.csv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 availability audit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R/validation-parameter_provenance.R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career-change sensitivity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artifacts/diagnostics/career_change_sensitivity.csv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68% / 32% decomposition; +28.7 and +13.7 per year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artifacts/diagnostics/entrant_regime_bias_decomposition.csv</w:t>
            </w:r>
            <w:r>
              <w:t xml:space="preserve"> </w:t>
            </w:r>
            <w:r>
              <w:t xml:space="preserve">*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interval score, width, MAPE by forecast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artifacts/diagnostics/interval_honesty_scorecard.csv</w:t>
            </w:r>
            <w:r>
              <w:t xml:space="preserve"> </w:t>
            </w:r>
            <w:r>
              <w:t xml:space="preserve">*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leaky versus honest validation comparison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artifacts/diagnostics/validation_comparison_summary.csv</w:t>
            </w:r>
            <w:r>
              <w:t xml:space="preserve"> </w:t>
            </w:r>
            <w:r>
              <w:t xml:space="preserve">*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rolling-origin per-origin widths and bounds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artifacts/diagnostics/validation_rolling_origin.csv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leave-one-out origins and future-training counts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artifacts/diagnostics/validation_loo.csv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multi-window direction table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artifacts/diagnostics/backtest_multi_window.csv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entrant-model ablation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artifacts/diagnostics/arm5_ablation_table.csv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artifacts/figures/interval_calibration.{png,pdf}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containment versus coverage rule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R/validation-coverage_language.R</w:t>
            </w:r>
          </w:p>
        </w:tc>
      </w:tr>
    </w:tbl>
    <w:p>
      <w:pPr>
        <w:pStyle w:val="BodyText"/>
      </w:pPr>
      <w:r>
        <w:t xml:space="preserve">Run configuration: 1,000 Monte Carlo iterations per arm, cutoff 2020, target</w:t>
      </w:r>
      <w:r>
        <w:t xml:space="preserve"> </w:t>
      </w:r>
      <w:r>
        <w:t xml:space="preserve">2023, URPS contract v3.0.0, certifications through 2020 only, permanent under-50</w:t>
      </w:r>
      <w:r>
        <w:t xml:space="preserve"> </w:t>
      </w:r>
      <w:r>
        <w:t xml:space="preserve">career-change process omitted (Appendix S9).</w:t>
      </w:r>
    </w:p>
    <w:bookmarkEnd w:id="15"/>
    <w:bookmarkStart w:id="16" w:name="s8.-baseline-cohort-construction"/>
    <w:p>
      <w:pPr>
        <w:pStyle w:val="Heading2"/>
      </w:pPr>
      <w:r>
        <w:t xml:space="preserve">S8. Baseline cohort construction</w:t>
      </w:r>
    </w:p>
    <w:p>
      <w:pPr>
        <w:pStyle w:val="FirstParagraph"/>
      </w:pPr>
      <w:r>
        <w:t xml:space="preserve">The derived cohort reconstructs individual physicians from the observed count of</w:t>
      </w:r>
      <w:r>
        <w:t xml:space="preserve"> </w:t>
      </w:r>
      <w:r>
        <w:t xml:space="preserve">certifications in each certification year through the cutoff, so the resulting</w:t>
      </w:r>
      <w:r>
        <w:t xml:space="preserve"> </w:t>
      </w:r>
      <w:r>
        <w:t xml:space="preserve">age structure inherits the actual shape of the certification record. Age at</w:t>
      </w:r>
      <w:r>
        <w:t xml:space="preserve"> </w:t>
      </w:r>
      <w:r>
        <w:t xml:space="preserve">certification is drawn from one of two distributions: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Cohort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  <w:tc>
          <w:tcPr/>
          <w:p>
            <w:pPr>
              <w:pStyle w:val="Compact"/>
            </w:pPr>
            <w:r>
              <w:t xml:space="preserve">Age at certification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Backlog</w:t>
            </w:r>
          </w:p>
        </w:tc>
        <w:tc>
          <w:tcPr/>
          <w:p>
            <w:pPr>
              <w:pStyle w:val="Compact"/>
            </w:pPr>
            <w:r>
              <w:t xml:space="preserve">certification year &lt;= 2013, the first URPS certification year</w:t>
            </w:r>
          </w:p>
        </w:tc>
        <w:tc>
          <w:tcPr/>
          <w:p>
            <w:pPr>
              <w:pStyle w:val="Compact"/>
            </w:pPr>
            <w:r>
              <w:t xml:space="preserve">Normal(45, 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Fellowship</w:t>
            </w:r>
          </w:p>
        </w:tc>
        <w:tc>
          <w:tcPr/>
          <w:p>
            <w:pPr>
              <w:pStyle w:val="Compact"/>
            </w:pPr>
            <w:r>
              <w:t xml:space="preserve">certification year &gt; 2013</w:t>
            </w:r>
          </w:p>
        </w:tc>
        <w:tc>
          <w:tcPr/>
          <w:p>
            <w:pPr>
              <w:pStyle w:val="Compact"/>
            </w:pPr>
            <w:r>
              <w:t xml:space="preserve">Normal(34, 2.5)</w:t>
            </w:r>
          </w:p>
        </w:tc>
      </w:tr>
    </w:tbl>
    <w:p>
      <w:pPr>
        <w:pStyle w:val="BodyText"/>
      </w:pPr>
      <w:r>
        <w:t xml:space="preserve">The split exists because the first certification year admitted established</w:t>
      </w:r>
      <w:r>
        <w:t xml:space="preserve"> </w:t>
      </w:r>
      <w:r>
        <w:t xml:space="preserve">practitioners through a practice pathway rather than fellowship graduates, so</w:t>
      </w:r>
      <w:r>
        <w:t xml:space="preserve"> </w:t>
      </w:r>
      <w:r>
        <w:t xml:space="preserve">treating them as 34-year-old entrants would understate the age of roughly the</w:t>
      </w:r>
      <w:r>
        <w:t xml:space="preserve"> </w:t>
      </w:r>
      <w:r>
        <w:t xml:space="preserve">first third of the workforce and delay their modeled retirements by a decade.</w:t>
      </w:r>
      <w:r>
        <w:t xml:space="preserve"> </w:t>
      </w:r>
      <w:r>
        <w:t xml:space="preserve">Current age is the drawn age at certification plus elapsed years, clamped to</w:t>
      </w:r>
      <w:r>
        <w:t xml:space="preserve"> </w:t>
      </w:r>
      <w:r>
        <w:t xml:space="preserve">[34, 89]. Sex is assigned with a 0.55 female share.</w:t>
      </w:r>
    </w:p>
    <w:p>
      <w:pPr>
        <w:pStyle w:val="BodyText"/>
      </w:pPr>
      <w:r>
        <w:t xml:space="preserve">The synthetic cohort draws every physician’s age from a single Normal(52, 9)</w:t>
      </w:r>
      <w:r>
        <w:t xml:space="preserve"> </w:t>
      </w:r>
      <w:r>
        <w:t xml:space="preserve">distribution and matches only the aggregate headcount. It carries no</w:t>
      </w:r>
      <w:r>
        <w:t xml:space="preserve"> </w:t>
      </w:r>
      <w:r>
        <w:t xml:space="preserve">certification-year structure, so it cannot represent the backlog at all.</w:t>
      </w:r>
    </w:p>
    <w:p>
      <w:pPr>
        <w:pStyle w:val="BodyText"/>
      </w:pPr>
      <w:r>
        <w:t xml:space="preserve">NRMP entrant series are filtered by report publication date rather than</w:t>
      </w:r>
      <w:r>
        <w:t xml:space="preserve"> </w:t>
      </w:r>
      <w:r>
        <w:t xml:space="preserve">appointment year (</w:t>
      </w:r>
      <w:r>
        <w:rPr>
          <w:rStyle w:val="VerbatimChar"/>
        </w:rPr>
        <w:t xml:space="preserve">available_by = cutoff_year</w:t>
      </w:r>
      <w:r>
        <w:t xml:space="preserve">), so no match report published</w:t>
      </w:r>
      <w:r>
        <w:t xml:space="preserve"> </w:t>
      </w:r>
      <w:r>
        <w:t xml:space="preserve">after the cutoff can enter the fit. NRMP counts fellows at appointment while the</w:t>
      </w:r>
      <w:r>
        <w:t xml:space="preserve"> </w:t>
      </w:r>
      <w:r>
        <w:t xml:space="preserve">certification series counts them several years later at certification; the two</w:t>
      </w:r>
      <w:r>
        <w:t xml:space="preserve"> </w:t>
      </w:r>
      <w:r>
        <w:t xml:space="preserve">are offset in time by construction.</w:t>
      </w:r>
    </w:p>
    <w:bookmarkEnd w:id="16"/>
    <w:bookmarkStart w:id="17" w:name="X555ea6f5e9aee1a986701d135b4dca461864b05"/>
    <w:p>
      <w:pPr>
        <w:pStyle w:val="Heading2"/>
      </w:pPr>
      <w:r>
        <w:t xml:space="preserve">S9. Parameter provenance and the 2020 cutoff</w:t>
      </w:r>
    </w:p>
    <w:p>
      <w:pPr>
        <w:pStyle w:val="FirstParagraph"/>
      </w:pPr>
      <w:r>
        <w:t xml:space="preserve">A forecast origin binds parameters, not only data. Every parameter reaching the</w:t>
      </w:r>
      <w:r>
        <w:t xml:space="preserve"> </w:t>
      </w:r>
      <w:r>
        <w:t xml:space="preserve">back-test was audited against the 2020 cutoff.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397"/>
        <w:gridCol w:w="1397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Basis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Available by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 primary analysis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Retirement hazard by age</w:t>
            </w:r>
          </w:p>
        </w:tc>
        <w:tc>
          <w:tcPr/>
          <w:p>
            <w:pPr>
              <w:pStyle w:val="Compact"/>
            </w:pPr>
            <w:r>
              <w:t xml:space="preserve">published</w:t>
            </w:r>
          </w:p>
        </w:tc>
        <w:tc>
          <w:tcPr/>
          <w:p>
            <w:pPr>
              <w:pStyle w:val="Compact"/>
            </w:pPr>
            <w:r>
              <w:t xml:space="preserve">HWSM Exhibit 17 (Florida physician survey 2012-2013), doc v5.19.20, May 2020; FutureDocs 2017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Retirement sex multiplier</w:t>
            </w:r>
          </w:p>
        </w:tc>
        <w:tc>
          <w:tcPr/>
          <w:p>
            <w:pPr>
              <w:pStyle w:val="Compact"/>
            </w:pPr>
            <w:r>
              <w:t xml:space="preserve">published</w:t>
            </w:r>
          </w:p>
        </w:tc>
        <w:tc>
          <w:tcPr/>
          <w:p>
            <w:pPr>
              <w:pStyle w:val="Compact"/>
            </w:pPr>
            <w:r>
              <w:t xml:space="preserve">HWSM Exhibit 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Terminal age (90)</w:t>
            </w:r>
          </w:p>
        </w:tc>
        <w:tc>
          <w:tcPr/>
          <w:p>
            <w:pPr>
              <w:pStyle w:val="Compact"/>
            </w:pPr>
            <w:r>
              <w:t xml:space="preserve">published</w:t>
            </w:r>
          </w:p>
        </w:tc>
        <w:tc>
          <w:tcPr/>
          <w:p>
            <w:pPr>
              <w:pStyle w:val="Compact"/>
            </w:pPr>
            <w:r>
              <w:t xml:space="preserve">HWSM: 90 for physicians and dentists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Career change under 50 (1.42%/yr)</w:t>
            </w:r>
          </w:p>
        </w:tc>
        <w:tc>
          <w:tcPr/>
          <w:p>
            <w:pPr>
              <w:pStyle w:val="Compact"/>
            </w:pPr>
            <w:r>
              <w:t xml:space="preserve">published</w:t>
            </w:r>
          </w:p>
        </w:tc>
        <w:tc>
          <w:tcPr/>
          <w:p>
            <w:pPr>
              <w:pStyle w:val="Compact"/>
            </w:pPr>
            <w:r>
              <w:t xml:space="preserve">Zarek et al,</w:t>
            </w:r>
            <w:r>
              <w:t xml:space="preserve"> </w:t>
            </w:r>
            <w:r>
              <w:rPr>
                <w:i/>
                <w:iCs/>
              </w:rPr>
              <w:t xml:space="preserve">Phys Ther</w:t>
            </w:r>
            <w:r>
              <w:t xml:space="preserve"> </w:t>
            </w:r>
            <w:r>
              <w:t xml:space="preserve">2025;105:pzaf014 (CPS ASEC, Wolf and Lockard method)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 at entry (34)</w:t>
            </w:r>
          </w:p>
        </w:tc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cliff</w:t>
            </w:r>
            <w:r>
              <w:t xml:space="preserve"> </w:t>
            </w:r>
            <w:r>
              <w:rPr>
                <w:rStyle w:val="VerbatimChar"/>
              </w:rPr>
              <w:t xml:space="preserve">WC_ENTRY_AGE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Backlog age at certification</w:t>
            </w:r>
          </w:p>
        </w:tc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practice-pathway cohort certified &lt;= 2013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Female share (0.55)</w:t>
            </w:r>
          </w:p>
        </w:tc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cohort construction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The career-change hazard is the one parameter that fails the audit. It was in the</w:t>
      </w:r>
      <w:r>
        <w:t xml:space="preserve"> </w:t>
      </w:r>
      <w:r>
        <w:t xml:space="preserve">back-test until this audit, and the existing leakage guard did not catch it: that</w:t>
      </w:r>
      <w:r>
        <w:t xml:space="preserve"> </w:t>
      </w:r>
      <w:r>
        <w:t xml:space="preserve">guard audits contract series</w:t>
      </w:r>
      <w:r>
        <w:t xml:space="preserve"> </w:t>
      </w:r>
      <w:r>
        <w:rPr>
          <w:b/>
          <w:bCs/>
        </w:rPr>
        <w:t xml:space="preserve">reads</w:t>
      </w:r>
      <w:r>
        <w:t xml:space="preserve">, and a hard-coded parameter never</w:t>
      </w:r>
      <w:r>
        <w:t xml:space="preserve"> </w:t>
      </w:r>
      <w:r>
        <w:t xml:space="preserve">performs one.</w:t>
      </w:r>
      <w:r>
        <w:t xml:space="preserve"> </w:t>
      </w:r>
      <w:r>
        <w:rPr>
          <w:rStyle w:val="VerbatimChar"/>
        </w:rPr>
        <w:t xml:space="preserve">assert_backtest_parameters_precede_cutoff()</w:t>
      </w:r>
      <w:r>
        <w:t xml:space="preserve"> </w:t>
      </w:r>
      <w:r>
        <w:t xml:space="preserve">now runs alongside</w:t>
      </w:r>
      <w:r>
        <w:t xml:space="preserve"> </w:t>
      </w:r>
      <w:r>
        <w:rPr>
          <w:rStyle w:val="VerbatimChar"/>
        </w:rPr>
        <w:t xml:space="preserve">assert_no_leakage()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run_backtest()</w:t>
      </w:r>
      <w:r>
        <w:t xml:space="preserve"> </w:t>
      </w:r>
      <w:r>
        <w:t xml:space="preserve">and fails closed on any published</w:t>
      </w:r>
      <w:r>
        <w:t xml:space="preserve"> </w:t>
      </w:r>
      <w:r>
        <w:t xml:space="preserve">parameter in the primary path whose source postdates the cutoff.</w:t>
      </w:r>
    </w:p>
    <w:p>
      <w:pPr>
        <w:pStyle w:val="BodyText"/>
      </w:pPr>
      <w:r>
        <w:t xml:space="preserve">Omitting the parameter is not a claim that the hazard is zero. HWSM represents</w:t>
      </w:r>
      <w:r>
        <w:t xml:space="preserve"> </w:t>
      </w:r>
      <w:r>
        <w:t xml:space="preserve">under-50 exit as temporary labour-force participation with re-entry, a different</w:t>
      </w:r>
      <w:r>
        <w:t xml:space="preserve"> </w:t>
      </w:r>
      <w:r>
        <w:t xml:space="preserve">process this model does not implement, so no 2020-vintage value was available to</w:t>
      </w:r>
      <w:r>
        <w:t xml:space="preserve"> </w:t>
      </w:r>
      <w:r>
        <w:t xml:space="preserve">substitute for a permanent separation hazard. Re-estimating one from pre-2020 CPS</w:t>
      </w:r>
      <w:r>
        <w:t xml:space="preserve"> </w:t>
      </w:r>
      <w:r>
        <w:t xml:space="preserve">ASEC data would be a legitimate future refinement.</w:t>
      </w:r>
    </w:p>
    <w:p>
      <w:pPr>
        <w:pStyle w:val="BodyText"/>
      </w:pPr>
      <w:r>
        <w:t xml:space="preserve">Two clarifications on scope. The validation outcome is headcount, computed</w:t>
      </w:r>
      <w:r>
        <w:t xml:space="preserve"> </w:t>
      </w:r>
      <w:r>
        <w:t xml:space="preserve">independently of the FTE columns, so the post-2020 FTE parameters in the same</w:t>
      </w:r>
      <w:r>
        <w:t xml:space="preserve"> </w:t>
      </w:r>
      <w:r>
        <w:t xml:space="preserve">source (Dall 2021, 37.2 patient-care hours/week; Zarek 2025, 40 hours/week) do</w:t>
      </w:r>
      <w:r>
        <w:t xml:space="preserve"> </w:t>
      </w:r>
      <w:r>
        <w:t xml:space="preserve">not enter this comparison. Separately,</w:t>
      </w:r>
      <w:r>
        <w:t xml:space="preserve"> </w:t>
      </w:r>
      <w:r>
        <w:rPr>
          <w:rStyle w:val="VerbatimChar"/>
        </w:rPr>
        <w:t xml:space="preserve">backtest_entrant_estimate()</w:t>
      </w:r>
      <w:r>
        <w:t xml:space="preserve"> </w:t>
      </w:r>
      <w:r>
        <w:t xml:space="preserve">reports</w:t>
      </w:r>
      <w:r>
        <w:t xml:space="preserve"> </w:t>
      </w:r>
      <w:r>
        <w:t xml:space="preserve">“modelled departures”</w:t>
      </w:r>
      <w:r>
        <w:t xml:space="preserve"> </w:t>
      </w:r>
      <w:r>
        <w:t xml:space="preserve">using the 1.42% constant; that figure is documented as</w:t>
      </w:r>
      <w:r>
        <w:t xml:space="preserve"> </w:t>
      </w:r>
      <w:r>
        <w:t xml:space="preserve">recorded for reporting only, does not enter the entrant estimate or the parameter</w:t>
      </w:r>
      <w:r>
        <w:t xml:space="preserve"> </w:t>
      </w:r>
      <w:r>
        <w:t xml:space="preserve">draw, and was verified inert (every no-attrition arm is bit-identical whether the</w:t>
      </w:r>
      <w:r>
        <w:t xml:space="preserve"> </w:t>
      </w:r>
      <w:r>
        <w:t xml:space="preserve">hazard is applied or not).</w:t>
      </w:r>
    </w:p>
    <w:bookmarkEnd w:id="17"/>
    <w:bookmarkStart w:id="18" w:name="X9c0ab68051c28c8b1e158c3f5b26b7a087a6fb1"/>
    <w:p>
      <w:pPr>
        <w:pStyle w:val="Heading2"/>
      </w:pPr>
      <w:r>
        <w:t xml:space="preserve">S10. Sensitivity: applying the post-cutoff career-change hazard</w:t>
      </w:r>
    </w:p>
    <w:p>
      <w:pPr>
        <w:pStyle w:val="FirstParagraph"/>
      </w:pPr>
      <w:r>
        <w:t xml:space="preserve">The primary analysis omits the permanent under-50 career-change process. This</w:t>
      </w:r>
      <w:r>
        <w:t xml:space="preserve"> </w:t>
      </w:r>
      <w:r>
        <w:t xml:space="preserve">appendix applies the 2025 estimate of 1.42%/yr to show what it would have done.</w:t>
      </w:r>
      <w:r>
        <w:t xml:space="preserve"> </w:t>
      </w:r>
      <w:r>
        <w:t xml:space="preserve">It is reported as a sensitivity analysis and not as the primary result, because</w:t>
      </w:r>
      <w:r>
        <w:t xml:space="preserve"> </w:t>
      </w:r>
      <w:r>
        <w:t xml:space="preserve">leakage is a property of the primary analysis: showing the effect is modest does</w:t>
      </w:r>
      <w:r>
        <w:t xml:space="preserve"> </w:t>
      </w:r>
      <w:r>
        <w:t xml:space="preserve">not make a post-cutoff parameter admissible in a forecast claiming a 2020 origin.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Attrition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 difference, primary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 difference, 1.42% applied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derived, 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−7.58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−9.72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derived, 32.67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−12.63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−14.97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synthetic, 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−11.18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−12.63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synthetic, 32.67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−16.23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−17.61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derived, 49.73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−8.81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−11.03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no-attrition arms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unchanged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unchanged</w:t>
            </w:r>
          </w:p>
        </w:tc>
      </w:tr>
    </w:tbl>
    <w:p>
      <w:pPr>
        <w:pStyle w:val="BodyText"/>
      </w:pPr>
      <w:r>
        <w:t xml:space="preserve">Every no-attrition arm is identical under both specifications, because both exit</w:t>
      </w:r>
      <w:r>
        <w:t xml:space="preserve"> </w:t>
      </w:r>
      <w:r>
        <w:t xml:space="preserve">hazards are already zero there. That is what makes the contrast interpretable:</w:t>
      </w:r>
      <w:r>
        <w:t xml:space="preserve"> </w:t>
      </w:r>
      <w:r>
        <w:t xml:space="preserve">the difference is attributable to the career-change process alone.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Primary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1.42% applied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Arm 1 projected 2023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1,207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1,179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 discrepancy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Definitional component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 (59%)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 (68%)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Entrant-regime component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 (41%)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 (32%)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2/10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2/10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Interval score, attrition applied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1,086.4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1,732.0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Interval score, definition-matched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137.0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137.0</w:t>
            </w:r>
          </w:p>
        </w:tc>
      </w:tr>
    </w:tbl>
    <w:p>
      <w:pPr>
        <w:pStyle w:val="BodyText"/>
      </w:pPr>
      <w:r>
        <w:t xml:space="preserve">Direction, ranking, and every qualitative conclusion are unchanged. Two</w:t>
      </w:r>
      <w:r>
        <w:t xml:space="preserve"> </w:t>
      </w:r>
      <w:r>
        <w:t xml:space="preserve">quantities move: the definitional share of the discrepancy (59% versus 68%) and</w:t>
      </w:r>
      <w:r>
        <w:t xml:space="preserve"> </w:t>
      </w:r>
      <w:r>
        <w:t xml:space="preserve">the interval score of the mismatch forecast, which under the post-cutoff</w:t>
      </w:r>
      <w:r>
        <w:t xml:space="preserve"> </w:t>
      </w:r>
      <w:r>
        <w:t xml:space="preserve">specification is worse than the wide rolling-origin forecast rather than better.</w:t>
      </w:r>
      <w:r>
        <w:t xml:space="preserve"> </w:t>
      </w:r>
      <w:r>
        <w:t xml:space="preserve">Rolling-origin, leave-one-out, and window analyses are unaffected in both</w:t>
      </w:r>
      <w:r>
        <w:t xml:space="preserve"> </w:t>
      </w:r>
      <w:r>
        <w:t xml:space="preserve">specifications because they do not call the career microsimulation.</w:t>
      </w:r>
    </w:p>
    <w:bookmarkEnd w:id="18"/>
    <w:bookmarkStart w:id="19" w:name="s11.-what-the-evidence-does-not-support"/>
    <w:p>
      <w:pPr>
        <w:pStyle w:val="Heading2"/>
      </w:pPr>
      <w:r>
        <w:t xml:space="preserve">S11. What the evidence does not support</w:t>
      </w:r>
    </w:p>
    <w:p>
      <w:pPr>
        <w:pStyle w:val="Compact"/>
        <w:numPr>
          <w:ilvl w:val="0"/>
          <w:numId w:val="1001"/>
        </w:numPr>
      </w:pPr>
      <w:r>
        <w:t xml:space="preserve">Not a validated forecast. No configuration is offered as calibrated.</w:t>
      </w:r>
    </w:p>
    <w:p>
      <w:pPr>
        <w:pStyle w:val="Compact"/>
        <w:numPr>
          <w:ilvl w:val="0"/>
          <w:numId w:val="1001"/>
        </w:numPr>
      </w:pPr>
      <w:r>
        <w:t xml:space="preserve">Not a claim that behavioral parameters are well specified. They account for</w:t>
      </w:r>
      <w:r>
        <w:t xml:space="preserve"> </w:t>
      </w:r>
      <w:r>
        <w:t xml:space="preserve">essentially none of this discrepancy, which is not evidence they are right.</w:t>
      </w:r>
    </w:p>
    <w:p>
      <w:pPr>
        <w:pStyle w:val="Compact"/>
        <w:numPr>
          <w:ilvl w:val="0"/>
          <w:numId w:val="1001"/>
        </w:numPr>
      </w:pPr>
      <w:r>
        <w:t xml:space="preserve">Not the entrant-regime correction as a validated result. It was identified</w:t>
      </w:r>
      <w:r>
        <w:t xml:space="preserve"> </w:t>
      </w:r>
      <w:r>
        <w:t xml:space="preserve">from the errors it would be scored against, which is model selection on the</w:t>
      </w:r>
      <w:r>
        <w:t xml:space="preserve"> </w:t>
      </w:r>
      <w:r>
        <w:t xml:space="preserve">test set, and is preregistered with a frozen functional form for prospective</w:t>
      </w:r>
      <w:r>
        <w:t xml:space="preserve"> </w:t>
      </w:r>
      <w:r>
        <w:t xml:space="preserve">rolling-origin evaluation.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2026-08-09T03:19:58Z</dcterms:created>
  <dcterms:modified xsi:type="dcterms:W3CDTF">2026-08-09T03:19:58Z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