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e9153a4f9a578e472cc9230d549806451c12857"/>
    <w:p>
      <w:pPr>
        <w:pStyle w:val="Heading1"/>
      </w:pPr>
      <w:r>
        <w:t xml:space="preserve">Historical Validation of National Urogynecology Workforce Projections: When the Validation Target Does Not Match the Workforce</w:t>
      </w:r>
    </w:p>
    <w:p>
      <w:pPr>
        <w:pStyle w:val="FirstParagraph"/>
      </w:pPr>
      <w:r>
        <w:rPr>
          <w:b/>
          <w:bCs/>
        </w:rPr>
        <w:t xml:space="preserve">Submission draft for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Obstetrics &amp; Gynecology</w:t>
      </w:r>
      <w:r>
        <w:rPr>
          <w:b/>
          <w:bCs/>
        </w:rPr>
        <w:t xml:space="preserve">. Second choice: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Urogynecology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Supporting detail is in</w:t>
      </w:r>
      <w:r>
        <w:t xml:space="preserve"> </w:t>
      </w:r>
      <w:r>
        <w:rPr>
          <w:rStyle w:val="VerbatimChar"/>
        </w:rPr>
        <w:t xml:space="preserve">VALIDATION_SUPPLEMENT.md</w:t>
      </w:r>
      <w:r>
        <w:t xml:space="preserve">. Underlying diagnostics remain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BACKTEST_2020_TO_2023.md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RESULTS_INTERVAL_CALIBRATION.md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VALIDATION_RESULTS.md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BACKTEST_CALIBRATION_AUDIT.md</w:t>
      </w:r>
      <w:r>
        <w:t xml:space="preserve">.</w:t>
      </w:r>
    </w:p>
    <w:bookmarkStart w:id="9" w:name="precis"/>
    <w:p>
      <w:pPr>
        <w:pStyle w:val="Heading2"/>
      </w:pPr>
      <w:r>
        <w:t xml:space="preserve">Precis</w:t>
      </w:r>
    </w:p>
    <w:p>
      <w:pPr>
        <w:pStyle w:val="FirstParagraph"/>
      </w:pPr>
      <w:r>
        <w:t xml:space="preserve">National urogynecology workforce projections were more sensitive to how the</w:t>
      </w:r>
      <w:r>
        <w:t xml:space="preserve"> </w:t>
      </w:r>
      <w:r>
        <w:t xml:space="preserve">workforce was counted than to assumptions about physician behavior, and</w:t>
      </w:r>
      <w:r>
        <w:t xml:space="preserve"> </w:t>
      </w:r>
      <w:r>
        <w:t xml:space="preserve">conventional validation could not detect the difference.</w:t>
      </w:r>
    </w:p>
    <w:p>
      <w:r>
        <w:pict>
          <v:rect style="width:0;height:1.5pt" o:hralign="center" o:hrstd="t" o:hr="t"/>
        </w:pic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To evaluate agreement between historical projections of the</w:t>
      </w:r>
      <w:r>
        <w:t xml:space="preserve"> </w:t>
      </w:r>
      <w:r>
        <w:t xml:space="preserve">clinically active urogynecology and reconstructive pelvic surgery (URPS)</w:t>
      </w:r>
      <w:r>
        <w:t xml:space="preserve"> </w:t>
      </w:r>
      <w:r>
        <w:t xml:space="preserve">workforce and subsequently observed national certification counts, and to</w:t>
      </w:r>
      <w:r>
        <w:t xml:space="preserve"> </w:t>
      </w:r>
      <w:r>
        <w:t xml:space="preserve">determine how definitional differences between the two affect apparent</w:t>
      </w:r>
      <w:r>
        <w:t xml:space="preserve"> </w:t>
      </w:r>
      <w:r>
        <w:t xml:space="preserve">forecast performance.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We built a national stochastic microsimulation of the URPS</w:t>
      </w:r>
      <w:r>
        <w:t xml:space="preserve"> </w:t>
      </w:r>
      <w:r>
        <w:t xml:space="preserve">workforce, forecast physician headcount from information available through 2020,</w:t>
      </w:r>
      <w:r>
        <w:t xml:space="preserve"> </w:t>
      </w:r>
      <w:r>
        <w:t xml:space="preserve">and compared it with the observed 2023 board-certified count</w:t>
      </w:r>
      <w:r>
        <w:t xml:space="preserve"> </w:t>
      </w:r>
      <w:r>
        <w:t xml:space="preserve">(n = 1,306). Four specifications were prespecified and a fifth using</w:t>
      </w:r>
      <w:r>
        <w:t xml:space="preserve"> </w:t>
      </w:r>
      <w:r>
        <w:t xml:space="preserve">residency-match data added subsequently, each run with and without attrition</w:t>
      </w:r>
      <w:r>
        <w:t xml:space="preserve"> </w:t>
      </w:r>
      <w:r>
        <w:t xml:space="preserve">(10 configurations). A career-change hazard published after</w:t>
      </w:r>
      <w:r>
        <w:t xml:space="preserve"> </w:t>
      </w:r>
      <w:r>
        <w:t xml:space="preserve">the forecast origin was omitted. Agreement was summarized by percentage</w:t>
      </w:r>
      <w:r>
        <w:t xml:space="preserve"> </w:t>
      </w:r>
      <w:r>
        <w:t xml:space="preserve">difference, containment, and interval score. Temporal validation</w:t>
      </w:r>
      <w:r>
        <w:t xml:space="preserve"> </w:t>
      </w:r>
      <w:r>
        <w:t xml:space="preserve">used rolling origins from 2017 to 2020, admitting only training windows whose</w:t>
      </w:r>
      <w:r>
        <w:t xml:space="preserve"> </w:t>
      </w:r>
      <w:r>
        <w:t xml:space="preserve">outcomes were observable at the origin, and compared with leave-one-out</w:t>
      </w:r>
      <w:r>
        <w:t xml:space="preserve"> </w:t>
      </w:r>
      <w:r>
        <w:t xml:space="preserve">validation, which does not. Secondary analyses examined five cutoff-target windows and two</w:t>
      </w:r>
      <w:r>
        <w:t xml:space="preserve"> </w:t>
      </w:r>
      <w:r>
        <w:t xml:space="preserve">entrant definitions.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 projected workforce differed from the observed 2023</w:t>
      </w:r>
      <w:r>
        <w:t xml:space="preserve"> </w:t>
      </w:r>
      <w:r>
        <w:t xml:space="preserve">count by 99 providers (−7.6%). Fifty-nine percent of this</w:t>
      </w:r>
      <w:r>
        <w:t xml:space="preserve"> </w:t>
      </w:r>
      <w:r>
        <w:t xml:space="preserve">discrepancy was attributable to definitional mismatch: the model removed</w:t>
      </w:r>
      <w:r>
        <w:t xml:space="preserve"> </w:t>
      </w:r>
      <w:r>
        <w:t xml:space="preserve">physicians as they retired, whereas the certification series removes no one.</w:t>
      </w:r>
      <w:r>
        <w:t xml:space="preserve"> </w:t>
      </w:r>
      <w:r>
        <w:t xml:space="preserve">Forty-one percent reflected faster-than-assumed entry; assumptions about</w:t>
      </w:r>
      <w:r>
        <w:t xml:space="preserve"> </w:t>
      </w:r>
      <w:r>
        <w:t xml:space="preserve">physician behavior accounted for essentially none. The forecast with the highest</w:t>
      </w:r>
      <w:r>
        <w:t xml:space="preserve"> </w:t>
      </w:r>
      <w:r>
        <w:t xml:space="preserve">containment had the worst interval score: it contained the observation at all</w:t>
      </w:r>
      <w:r>
        <w:t xml:space="preserve"> </w:t>
      </w:r>
      <w:r>
        <w:t xml:space="preserve">four rolling origins but averaged 1,466 providers in width, with one lower bound</w:t>
      </w:r>
      <w:r>
        <w:t xml:space="preserve"> </w:t>
      </w:r>
      <w:r>
        <w:t xml:space="preserve">of −594.5; the definition-matched forecast was 15 times sharper (interval score</w:t>
      </w:r>
      <w:r>
        <w:t xml:space="preserve"> </w:t>
      </w:r>
      <w:r>
        <w:t xml:space="preserve">137 versus 1,466).</w:t>
      </w:r>
      <w:r>
        <w:t xml:space="preserve"> </w:t>
      </w:r>
      <w:r>
        <w:t xml:space="preserve">Leave-one-out validation made the same model appear 2.7 times closer with 3.6</w:t>
      </w:r>
      <w:r>
        <w:t xml:space="preserve"> </w:t>
      </w:r>
      <w:r>
        <w:t xml:space="preserve">times tighter intervals.</w:t>
      </w:r>
    </w:p>
    <w:p>
      <w:pPr>
        <w:pStyle w:val="BodyText"/>
      </w:pPr>
      <w:r>
        <w:rPr>
          <w:b/>
          <w:bCs/>
        </w:rPr>
        <w:t xml:space="preserve">CONCLUSION:</w:t>
      </w:r>
      <w:r>
        <w:t xml:space="preserve"> </w:t>
      </w:r>
      <w:r>
        <w:t xml:space="preserve">Historical validation can make an appropriate model</w:t>
      </w:r>
      <w:r>
        <w:t xml:space="preserve"> </w:t>
      </w:r>
      <w:r>
        <w:t xml:space="preserve">appear inaccurate when the validation target measures a different construct.</w:t>
      </w:r>
      <w:r>
        <w:t xml:space="preserve"> </w:t>
      </w:r>
      <w:r>
        <w:t xml:space="preserve">Workforce projections should define the clinical quantity before model</w:t>
      </w:r>
      <w:r>
        <w:t xml:space="preserve"> </w:t>
      </w:r>
      <w:r>
        <w:t xml:space="preserve">construction and, where possible, be validated against data measuring active</w:t>
      </w:r>
      <w:r>
        <w:t xml:space="preserve"> </w:t>
      </w:r>
      <w:r>
        <w:t xml:space="preserve">practice rather than cumulative certification.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Whether the United States will have enough urogynecologists to meet the needs of</w:t>
      </w:r>
      <w:r>
        <w:t xml:space="preserve"> </w:t>
      </w:r>
      <w:r>
        <w:t xml:space="preserve">an aging female population is an important question for the subspecialty.</w:t>
      </w:r>
      <w:r>
        <w:t xml:space="preserve"> </w:t>
      </w:r>
      <w:r>
        <w:t xml:space="preserve">Symptomatic pelvic floor disorders affect approximately one in four adult U.S.</w:t>
      </w:r>
      <w:r>
        <w:t xml:space="preserve"> </w:t>
      </w:r>
      <w:r>
        <w:t xml:space="preserve">women, and prevalence rises steeply with age.[1] Workforce projections may</w:t>
      </w:r>
      <w:r>
        <w:t xml:space="preserve"> </w:t>
      </w:r>
      <w:r>
        <w:t xml:space="preserve">influence fellowship training, geographic access to pelvic-floor care, and</w:t>
      </w:r>
      <w:r>
        <w:t xml:space="preserve"> </w:t>
      </w:r>
      <w:r>
        <w:t xml:space="preserve">planning for future clinical capacity. Yet these projections are rarely tested</w:t>
      </w:r>
      <w:r>
        <w:t xml:space="preserve"> </w:t>
      </w:r>
      <w:r>
        <w:t xml:space="preserve">against what subsequently occurs.</w:t>
      </w:r>
    </w:p>
    <w:p>
      <w:pPr>
        <w:pStyle w:val="BodyText"/>
      </w:pPr>
      <w:r>
        <w:t xml:space="preserve">The gap is not particular to urogynecology. A systematic review of 40 health</w:t>
      </w:r>
      <w:r>
        <w:t xml:space="preserve"> </w:t>
      </w:r>
      <w:r>
        <w:t xml:space="preserve">workforce projection studies found that 8 (20%) compared predictions with</w:t>
      </w:r>
      <w:r>
        <w:t xml:space="preserve"> </w:t>
      </w:r>
      <w:r>
        <w:t xml:space="preserve">historical data and only 4 conducted external validation, identifying model</w:t>
      </w:r>
      <w:r>
        <w:t xml:space="preserve"> </w:t>
      </w:r>
      <w:r>
        <w:t xml:space="preserve">validity and transparent reporting as the field’s principal weaknesses.[2] Where</w:t>
      </w:r>
      <w:r>
        <w:t xml:space="preserve"> </w:t>
      </w:r>
      <w:r>
        <w:t xml:space="preserve">validation has been done, it has compared projected totals against observed</w:t>
      </w:r>
      <w:r>
        <w:t xml:space="preserve"> </w:t>
      </w:r>
      <w:r>
        <w:t xml:space="preserve">totals. A historical comparison of Dutch</w:t>
      </w:r>
      <w:r>
        <w:t xml:space="preserve"> </w:t>
      </w:r>
      <w:r>
        <w:t xml:space="preserve">general-practitioner projections for target years 1998 to 2011 reported mean</w:t>
      </w:r>
      <w:r>
        <w:t xml:space="preserve"> </w:t>
      </w:r>
      <w:r>
        <w:t xml:space="preserve">absolute percentage errors of 1.9% to 14.9% and attributed the error to bias</w:t>
      </w:r>
      <w:r>
        <w:t xml:space="preserve"> </w:t>
      </w:r>
      <w:r>
        <w:t xml:space="preserve">rather than variance.[3]</w:t>
      </w:r>
    </w:p>
    <w:p>
      <w:pPr>
        <w:pStyle w:val="BodyText"/>
      </w:pPr>
      <w:r>
        <w:t xml:space="preserve">Such comparisons do not ask whether the quantity the model simulates is the same</w:t>
      </w:r>
      <w:r>
        <w:t xml:space="preserve"> </w:t>
      </w:r>
      <w:r>
        <w:t xml:space="preserve">quantity used to check it. A workforce model simulates a stock of practicing</w:t>
      </w:r>
      <w:r>
        <w:t xml:space="preserve"> </w:t>
      </w:r>
      <w:r>
        <w:t xml:space="preserve">physicians. It is typically validated against a registry, such as board</w:t>
      </w:r>
      <w:r>
        <w:t xml:space="preserve"> </w:t>
      </w:r>
      <w:r>
        <w:t xml:space="preserve">certifications or licenses, assembled for a different purpose. If the model</w:t>
      </w:r>
      <w:r>
        <w:t xml:space="preserve"> </w:t>
      </w:r>
      <w:r>
        <w:t xml:space="preserve">removes physicians who retire and the registry never does, the two series measure</w:t>
      </w:r>
      <w:r>
        <w:t xml:space="preserve"> </w:t>
      </w:r>
      <w:r>
        <w:t xml:space="preserve">different things, and the resulting discrepancy will look like a flawed</w:t>
      </w:r>
      <w:r>
        <w:t xml:space="preserve"> </w:t>
      </w:r>
      <w:r>
        <w:t xml:space="preserve">retirement assumption to anyone examining only the residual.</w:t>
      </w:r>
    </w:p>
    <w:p>
      <w:pPr>
        <w:pStyle w:val="BodyText"/>
      </w:pPr>
      <w:r>
        <w:t xml:space="preserve">We built a national microsimulation of the urogynecology and reconstructive</w:t>
      </w:r>
      <w:r>
        <w:t xml:space="preserve"> </w:t>
      </w:r>
      <w:r>
        <w:t xml:space="preserve">pelvic surgery (URPS) workforce and asked whether it reproduces the observed</w:t>
      </w:r>
      <w:r>
        <w:t xml:space="preserve"> </w:t>
      </w:r>
      <w:r>
        <w:t xml:space="preserve">number of board-certified urogynecologists when the forecast is made from</w:t>
      </w:r>
      <w:r>
        <w:t xml:space="preserve"> </w:t>
      </w:r>
      <w:r>
        <w:t xml:space="preserve">historical data alone. It does not, and the reasons matter more than the</w:t>
      </w:r>
      <w:r>
        <w:t xml:space="preserve"> </w:t>
      </w:r>
      <w:r>
        <w:t xml:space="preserve">difference itself. Our objective was to determine how much of the disagreement</w:t>
      </w:r>
      <w:r>
        <w:t xml:space="preserve"> </w:t>
      </w:r>
      <w:r>
        <w:t xml:space="preserve">is attributable to the definitions of the projected and observed workforces</w:t>
      </w:r>
      <w:r>
        <w:t xml:space="preserve"> </w:t>
      </w:r>
      <w:r>
        <w:t xml:space="preserve">rather than to assumptions about physician behavior, and whether conventional</w:t>
      </w:r>
      <w:r>
        <w:t xml:space="preserve"> </w:t>
      </w:r>
      <w:r>
        <w:t xml:space="preserve">validation summaries distinguish the two.</w:t>
      </w:r>
    </w:p>
    <w:p>
      <w:r>
        <w:pict>
          <v:rect style="width:0;height:1.5pt" o:hralign="center" o:hrstd="t" o:hr="t"/>
        </w:pict>
      </w:r>
    </w:p>
    <w:bookmarkEnd w:id="11"/>
    <w:bookmarkStart w:id="19" w:name="materials-and-methods"/>
    <w:p>
      <w:pPr>
        <w:pStyle w:val="Heading2"/>
      </w:pPr>
      <w:r>
        <w:t xml:space="preserve">Materials and Methods</w:t>
      </w:r>
    </w:p>
    <w:bookmarkStart w:id="12" w:name="validation-design-and-outcome"/>
    <w:p>
      <w:pPr>
        <w:pStyle w:val="Heading3"/>
      </w:pPr>
      <w:r>
        <w:t xml:space="preserve">Validation design and outcome</w:t>
      </w:r>
    </w:p>
    <w:p>
      <w:pPr>
        <w:pStyle w:val="FirstParagraph"/>
      </w:pPr>
      <w:r>
        <w:t xml:space="preserve">We conducted a historical validation in which forecasts were generated using</w:t>
      </w:r>
      <w:r>
        <w:t xml:space="preserve"> </w:t>
      </w:r>
      <w:r>
        <w:t xml:space="preserve">only information available at a 2020 cutoff and were then compared with what was</w:t>
      </w:r>
      <w:r>
        <w:t xml:space="preserve"> </w:t>
      </w:r>
      <w:r>
        <w:t xml:space="preserve">subsequently observed. No model parameter was retuned after the observed value</w:t>
      </w:r>
      <w:r>
        <w:t xml:space="preserve"> </w:t>
      </w:r>
      <w:r>
        <w:t xml:space="preserve">was examined. The validation outcome throughout is physician headcount rather</w:t>
      </w:r>
      <w:r>
        <w:t xml:space="preserve"> </w:t>
      </w:r>
      <w:r>
        <w:t xml:space="preserve">than clinical full-time equivalents.</w:t>
      </w:r>
    </w:p>
    <w:bookmarkEnd w:id="12"/>
    <w:bookmarkStart w:id="13" w:name="benchmark-and-estimand"/>
    <w:p>
      <w:pPr>
        <w:pStyle w:val="Heading3"/>
      </w:pPr>
      <w:r>
        <w:t xml:space="preserve">Benchmark and estimand</w:t>
      </w:r>
    </w:p>
    <w:p>
      <w:pPr>
        <w:pStyle w:val="FirstParagraph"/>
      </w:pPr>
      <w:r>
        <w:t xml:space="preserve">The comparison series was the national count of board-certified URPS physicians</w:t>
      </w:r>
      <w:r>
        <w:t xml:space="preserve"> </w:t>
      </w:r>
      <w:r>
        <w:t xml:space="preserve">in 2023 (n = 1,306), comprising physicians certified through the American Board</w:t>
      </w:r>
      <w:r>
        <w:t xml:space="preserve"> </w:t>
      </w:r>
      <w:r>
        <w:t xml:space="preserve">of Obstetrics and Gynecology or the American Board of Urology and keyed on</w:t>
      </w:r>
      <w:r>
        <w:t xml:space="preserve"> </w:t>
      </w:r>
      <w:r>
        <w:t xml:space="preserve">subspecialty certification year. Automated checks verified geography, board</w:t>
      </w:r>
      <w:r>
        <w:t xml:space="preserve"> </w:t>
      </w:r>
      <w:r>
        <w:t xml:space="preserve">pathway, measure, and certification-year basis before any comparison, failing</w:t>
      </w:r>
      <w:r>
        <w:t xml:space="preserve"> </w:t>
      </w:r>
      <w:r>
        <w:t xml:space="preserve">rather than warning on mismatch.</w:t>
      </w:r>
    </w:p>
    <w:p>
      <w:pPr>
        <w:pStyle w:val="BodyText"/>
      </w:pPr>
      <w:r>
        <w:t xml:space="preserve">This series is a cumulative certification count: the number retired is zero in</w:t>
      </w:r>
      <w:r>
        <w:t xml:space="preserve"> </w:t>
      </w:r>
      <w:r>
        <w:t xml:space="preserve">every year and the active count equals the ever-certified count. The workforce</w:t>
      </w:r>
      <w:r>
        <w:t xml:space="preserve"> </w:t>
      </w:r>
      <w:r>
        <w:t xml:space="preserve">model estimates a different quantity, the clinically active workforce, from</w:t>
      </w:r>
      <w:r>
        <w:t xml:space="preserve"> </w:t>
      </w:r>
      <w:r>
        <w:t xml:space="preserve">which physicians exit. Because the certification benchmark does not decrement</w:t>
      </w:r>
      <w:r>
        <w:t xml:space="preserve"> </w:t>
      </w:r>
      <w:r>
        <w:t xml:space="preserve">physicians after retirement, paired no-attrition configurations were used to</w:t>
      </w:r>
      <w:r>
        <w:t xml:space="preserve"> </w:t>
      </w:r>
      <w:r>
        <w:t xml:space="preserve">quantify the contribution of this definitional mismatch.</w:t>
      </w:r>
    </w:p>
    <w:bookmarkEnd w:id="13"/>
    <w:bookmarkStart w:id="14" w:name="model-configurations"/>
    <w:p>
      <w:pPr>
        <w:pStyle w:val="Heading3"/>
      </w:pPr>
      <w:r>
        <w:t xml:space="preserve">Model configurations</w:t>
      </w:r>
    </w:p>
    <w:p>
      <w:pPr>
        <w:pStyle w:val="FirstParagraph"/>
      </w:pPr>
      <w:r>
        <w:t xml:space="preserve">Four model specifications were prespecified before the 2023 result was examined,</w:t>
      </w:r>
      <w:r>
        <w:t xml:space="preserve"> </w:t>
      </w:r>
      <w:r>
        <w:t xml:space="preserve">varying baseline cohort construction and workforce entry. A fifth specification</w:t>
      </w:r>
      <w:r>
        <w:t xml:space="preserve"> </w:t>
      </w:r>
      <w:r>
        <w:t xml:space="preserve">using residency-match data was added subsequently and evaluated alongside the</w:t>
      </w:r>
      <w:r>
        <w:t xml:space="preserve"> </w:t>
      </w:r>
      <w:r>
        <w:t xml:space="preserve">original four rather than in place of them. Each specification was run with and</w:t>
      </w:r>
      <w:r>
        <w:t xml:space="preserve"> </w:t>
      </w:r>
      <w:r>
        <w:t xml:space="preserve">without attrition, yielding 10 configurations.</w:t>
      </w:r>
    </w:p>
    <w:p>
      <w:pPr>
        <w:pStyle w:val="BodyText"/>
      </w:pPr>
      <w:r>
        <w:rPr>
          <w:i/>
          <w:iCs/>
        </w:rPr>
        <w:t xml:space="preserve">Baseline cohort.</w:t>
      </w:r>
      <w:r>
        <w:t xml:space="preserve"> </w:t>
      </w:r>
      <w:r>
        <w:t xml:space="preserve">The derived cohort reconstructed individual physicians from</w:t>
      </w:r>
      <w:r>
        <w:t xml:space="preserve"> </w:t>
      </w:r>
      <w:r>
        <w:t xml:space="preserve">the observed certification counts for each certification year, preserving</w:t>
      </w:r>
      <w:r>
        <w:t xml:space="preserve"> </w:t>
      </w:r>
      <w:r>
        <w:t xml:space="preserve">certification-year structure, with separate age-at-certification distributions</w:t>
      </w:r>
      <w:r>
        <w:t xml:space="preserve"> </w:t>
      </w:r>
      <w:r>
        <w:t xml:space="preserve">for the backlog of established practitioners certified in or before the first</w:t>
      </w:r>
      <w:r>
        <w:t xml:space="preserve"> </w:t>
      </w:r>
      <w:r>
        <w:t xml:space="preserve">URPS certification year and for subsequent fellowship-trained cohorts. The</w:t>
      </w:r>
      <w:r>
        <w:t xml:space="preserve"> </w:t>
      </w:r>
      <w:r>
        <w:t xml:space="preserve">synthetic cohort matched only the aggregate headcount, drawing ages from a</w:t>
      </w:r>
      <w:r>
        <w:t xml:space="preserve"> </w:t>
      </w:r>
      <w:r>
        <w:t xml:space="preserve">single distribution without certification-year structure. Distributional</w:t>
      </w:r>
      <w:r>
        <w:t xml:space="preserve"> </w:t>
      </w:r>
      <w:r>
        <w:t xml:space="preserve">parameters are given in the Supplement.</w:t>
      </w:r>
    </w:p>
    <w:p>
      <w:pPr>
        <w:pStyle w:val="BodyText"/>
      </w:pPr>
      <w:r>
        <w:rPr>
          <w:i/>
          <w:iCs/>
        </w:rPr>
        <w:t xml:space="preserve">Workforce entry.</w:t>
      </w:r>
      <w:r>
        <w:t xml:space="preserve"> </w:t>
      </w:r>
      <w:r>
        <w:t xml:space="preserve">Three approaches were evaluated: the model’s shipped</w:t>
      </w:r>
      <w:r>
        <w:t xml:space="preserve"> </w:t>
      </w:r>
      <w:r>
        <w:t xml:space="preserve">assumption of 55 entrants per year; a rate estimated from pre-cutoff</w:t>
      </w:r>
      <w:r>
        <w:t xml:space="preserve"> </w:t>
      </w:r>
      <w:r>
        <w:t xml:space="preserve">certification data alone (32.67 per year); and a rate derived from National</w:t>
      </w:r>
      <w:r>
        <w:t xml:space="preserve"> </w:t>
      </w:r>
      <w:r>
        <w:t xml:space="preserve">Resident Matching Program fellowship match reports published on or before the</w:t>
      </w:r>
      <w:r>
        <w:t xml:space="preserve"> </w:t>
      </w:r>
      <w:r>
        <w:t xml:space="preserve">cutoff (49.73 per year).</w:t>
      </w:r>
    </w:p>
    <w:p>
      <w:pPr>
        <w:pStyle w:val="BodyText"/>
      </w:pPr>
      <w:r>
        <w:rPr>
          <w:i/>
          <w:iCs/>
        </w:rPr>
        <w:t xml:space="preserve">Workforce exit.</w:t>
      </w:r>
      <w:r>
        <w:t xml:space="preserve"> </w:t>
      </w:r>
      <w:r>
        <w:t xml:space="preserve">In the primary analysis, physicians left the clinically active</w:t>
      </w:r>
      <w:r>
        <w:t xml:space="preserve"> </w:t>
      </w:r>
      <w:r>
        <w:t xml:space="preserve">workforce through the age-specific retirement process available at the forecast</w:t>
      </w:r>
      <w:r>
        <w:t xml:space="preserve"> </w:t>
      </w:r>
      <w:r>
        <w:t xml:space="preserve">origin. Exits were absorbing. The model also implements a permanent 1.42% annual</w:t>
      </w:r>
      <w:r>
        <w:t xml:space="preserve"> </w:t>
      </w:r>
      <w:r>
        <w:t xml:space="preserve">career-change hazard for physicians under age 50, but that estimate was first</w:t>
      </w:r>
      <w:r>
        <w:t xml:space="preserve"> </w:t>
      </w:r>
      <w:r>
        <w:t xml:space="preserve">published in 2025 and was therefore omitted from the historical forecast. Its</w:t>
      </w:r>
      <w:r>
        <w:t xml:space="preserve"> </w:t>
      </w:r>
      <w:r>
        <w:t xml:space="preserve">omission reflects the absence of a contemporaneous estimate for that</w:t>
      </w:r>
      <w:r>
        <w:t xml:space="preserve"> </w:t>
      </w:r>
      <w:r>
        <w:t xml:space="preserve">parameterization rather than an assumption that no physician under 50 left the</w:t>
      </w:r>
      <w:r>
        <w:t xml:space="preserve"> </w:t>
      </w:r>
      <w:r>
        <w:t xml:space="preserve">specialty. The production model retains the career-change process, and the</w:t>
      </w:r>
      <w:r>
        <w:t xml:space="preserve"> </w:t>
      </w:r>
      <w:r>
        <w:t xml:space="preserve">Supplement reports a sensitivity analysis applying it.</w:t>
      </w:r>
    </w:p>
    <w:p>
      <w:pPr>
        <w:pStyle w:val="BodyText"/>
      </w:pPr>
      <w:r>
        <w:t xml:space="preserve">Corresponding no-attrition configurations set the retirement hazards to zero, so</w:t>
      </w:r>
      <w:r>
        <w:t xml:space="preserve"> </w:t>
      </w:r>
      <w:r>
        <w:t xml:space="preserve">that the identical simulation engine produced both comparisons. These</w:t>
      </w:r>
      <w:r>
        <w:t xml:space="preserve"> </w:t>
      </w:r>
      <w:r>
        <w:t xml:space="preserve">configurations were used only to align the modeled quantity with the cumulative</w:t>
      </w:r>
      <w:r>
        <w:t xml:space="preserve"> </w:t>
      </w:r>
      <w:r>
        <w:t xml:space="preserve">certification benchmark. They are diagnostic comparisons, not alternative</w:t>
      </w:r>
      <w:r>
        <w:t xml:space="preserve"> </w:t>
      </w:r>
      <w:r>
        <w:t xml:space="preserve">estimates of the clinically active workforce.</w:t>
      </w:r>
    </w:p>
    <w:bookmarkEnd w:id="14"/>
    <w:bookmarkStart w:id="15" w:name="simulation-and-uncertainty"/>
    <w:p>
      <w:pPr>
        <w:pStyle w:val="Heading3"/>
      </w:pPr>
      <w:r>
        <w:t xml:space="preserve">Simulation and uncertainty</w:t>
      </w:r>
    </w:p>
    <w:p>
      <w:pPr>
        <w:pStyle w:val="FirstParagraph"/>
      </w:pPr>
      <w:r>
        <w:t xml:space="preserve">Each configuration was simulated for 1,000 Monte Carlo iterations. The median</w:t>
      </w:r>
      <w:r>
        <w:t xml:space="preserve"> </w:t>
      </w:r>
      <w:r>
        <w:t xml:space="preserve">simulated headcount was the point projection, and the 2.5th and 97.5th</w:t>
      </w:r>
      <w:r>
        <w:t xml:space="preserve"> </w:t>
      </w:r>
      <w:r>
        <w:t xml:space="preserve">percentiles defined the 95% Monte Carlo interval.</w:t>
      </w:r>
    </w:p>
    <w:p>
      <w:pPr>
        <w:pStyle w:val="BodyText"/>
      </w:pPr>
      <w:r>
        <w:t xml:space="preserve">Entrant-rate uncertainty was estimated from pre-cutoff observations only and</w:t>
      </w:r>
      <w:r>
        <w:t xml:space="preserve"> </w:t>
      </w:r>
      <w:r>
        <w:t xml:space="preserve">propagated by redrawing the entrant rate within each Monte Carlo iteration. Each</w:t>
      </w:r>
      <w:r>
        <w:t xml:space="preserve"> </w:t>
      </w:r>
      <w:r>
        <w:t xml:space="preserve">entrant-rate distribution was centered on its corresponding prespecified entrant</w:t>
      </w:r>
      <w:r>
        <w:t xml:space="preserve"> </w:t>
      </w:r>
      <w:r>
        <w:t xml:space="preserve">assumption, preserving the contrasts among configurations. Retirement was</w:t>
      </w:r>
      <w:r>
        <w:t xml:space="preserve"> </w:t>
      </w:r>
      <w:r>
        <w:t xml:space="preserve">applied stochastically to individual physicians, but the retirement-hazard</w:t>
      </w:r>
      <w:r>
        <w:t xml:space="preserve"> </w:t>
      </w:r>
      <w:r>
        <w:t xml:space="preserve">coefficients were held fixed because sampling uncertainty for those parameters</w:t>
      </w:r>
      <w:r>
        <w:t xml:space="preserve"> </w:t>
      </w:r>
      <w:r>
        <w:t xml:space="preserve">was not available from their source data.</w:t>
      </w:r>
    </w:p>
    <w:bookmarkEnd w:id="15"/>
    <w:bookmarkStart w:id="16" w:name="measures-of-agreement"/>
    <w:p>
      <w:pPr>
        <w:pStyle w:val="Heading3"/>
      </w:pPr>
      <w:r>
        <w:t xml:space="preserve">Measures of agreement</w:t>
      </w:r>
    </w:p>
    <w:p>
      <w:pPr>
        <w:pStyle w:val="FirstParagraph"/>
      </w:pPr>
      <w:r>
        <w:t xml:space="preserve">Agreement was evaluated three ways. Percentage difference was calculated as</w:t>
      </w:r>
      <w:r>
        <w:t xml:space="preserve"> </w:t>
      </w:r>
      <w:r>
        <w:t xml:space="preserve">100 x (projected median − observed count) / observed count. Containment recorded</w:t>
      </w:r>
      <w:r>
        <w:t xml:space="preserve"> </w:t>
      </w:r>
      <w:r>
        <w:t xml:space="preserve">whether the observed value fell within the 95% Monte Carlo interval. The</w:t>
      </w:r>
      <w:r>
        <w:t xml:space="preserve"> </w:t>
      </w:r>
      <w:r>
        <w:t xml:space="preserve">interval score, a proper scoring rule,[4] penalizes both interval width and</w:t>
      </w:r>
      <w:r>
        <w:t xml:space="preserve"> </w:t>
      </w:r>
      <w:r>
        <w:t xml:space="preserve">observations falling outside the interval, so that improved containment obtained</w:t>
      </w:r>
      <w:r>
        <w:t xml:space="preserve"> </w:t>
      </w:r>
      <w:r>
        <w:t xml:space="preserve">through wider intervals incurs an explicit loss of sharpness.</w:t>
      </w:r>
    </w:p>
    <w:p>
      <w:pPr>
        <w:pStyle w:val="BodyText"/>
      </w:pPr>
      <w:r>
        <w:t xml:space="preserve">The ten configurations were alternative specifications evaluated against the</w:t>
      </w:r>
      <w:r>
        <w:t xml:space="preserve"> </w:t>
      </w:r>
      <w:r>
        <w:t xml:space="preserve">same single 2023 observation and therefore did not constitute ten independent</w:t>
      </w:r>
      <w:r>
        <w:t xml:space="preserve"> </w:t>
      </w:r>
      <w:r>
        <w:t xml:space="preserve">forecast occasions. The number of intervals containing the observed count is</w:t>
      </w:r>
      <w:r>
        <w:t xml:space="preserve"> </w:t>
      </w:r>
      <w:r>
        <w:t xml:space="preserve">reported as a containment count rather than as an empirical coverage rate.</w:t>
      </w:r>
    </w:p>
    <w:bookmarkEnd w:id="16"/>
    <w:bookmarkStart w:id="17" w:name="temporal-and-sensitivity-analyses"/>
    <w:p>
      <w:pPr>
        <w:pStyle w:val="Heading3"/>
      </w:pPr>
      <w:r>
        <w:t xml:space="preserve">Temporal and sensitivity analyses</w:t>
      </w:r>
    </w:p>
    <w:p>
      <w:pPr>
        <w:pStyle w:val="FirstParagraph"/>
      </w:pPr>
      <w:r>
        <w:t xml:space="preserve">To evaluate performance across repeated out-of-time forecast occasions, we</w:t>
      </w:r>
      <w:r>
        <w:t xml:space="preserve"> </w:t>
      </w:r>
      <w:r>
        <w:t xml:space="preserve">performed rolling-origin validation using origins from 2017 through 2020, each</w:t>
      </w:r>
      <w:r>
        <w:t xml:space="preserve"> </w:t>
      </w:r>
      <w:r>
        <w:t xml:space="preserve">with a three-year target horizon, producing four comparisons. At each origin,</w:t>
      </w:r>
      <w:r>
        <w:t xml:space="preserve"> </w:t>
      </w:r>
      <w:r>
        <w:t xml:space="preserve">model fitting was restricted to observations whose outcomes would have been</w:t>
      </w:r>
      <w:r>
        <w:t xml:space="preserve"> </w:t>
      </w:r>
      <w:r>
        <w:t xml:space="preserve">observable at that time.</w:t>
      </w:r>
    </w:p>
    <w:p>
      <w:pPr>
        <w:pStyle w:val="BodyText"/>
      </w:pPr>
      <w:r>
        <w:t xml:space="preserve">We contrasted this with leave-one-out validation, which permits training</w:t>
      </w:r>
      <w:r>
        <w:t xml:space="preserve"> </w:t>
      </w:r>
      <w:r>
        <w:t xml:space="preserve">observations whose outcomes occur after the forecast origin, to quantify the</w:t>
      </w:r>
      <w:r>
        <w:t xml:space="preserve"> </w:t>
      </w:r>
      <w:r>
        <w:t xml:space="preserve">effect of future-information leakage on apparent agreement and interval width.</w:t>
      </w:r>
      <w:r>
        <w:t xml:space="preserve"> </w:t>
      </w:r>
      <w:r>
        <w:t xml:space="preserve">Additional sensitivity analyses evaluated five historical cutoff-target windows,</w:t>
      </w:r>
      <w:r>
        <w:t xml:space="preserve"> </w:t>
      </w:r>
      <w:r>
        <w:t xml:space="preserve">the alternative certification-based and match-based definitions of workforce</w:t>
      </w:r>
      <w:r>
        <w:t xml:space="preserve"> </w:t>
      </w:r>
      <w:r>
        <w:t xml:space="preserve">entry, and the effect of applying the post-cutoff career-change hazard.</w:t>
      </w:r>
    </w:p>
    <w:p>
      <w:pPr>
        <w:pStyle w:val="BodyText"/>
      </w:pPr>
      <w:r>
        <w:t xml:space="preserve">Model structure, parameter sources and their availability dates, complete</w:t>
      </w:r>
      <w:r>
        <w:t xml:space="preserve"> </w:t>
      </w:r>
      <w:r>
        <w:t xml:space="preserve">configuration results, and reproducibility procedures are provided in the</w:t>
      </w:r>
      <w:r>
        <w:t xml:space="preserve"> </w:t>
      </w:r>
      <w:r>
        <w:t xml:space="preserve">Supplement.</w:t>
      </w:r>
    </w:p>
    <w:bookmarkEnd w:id="17"/>
    <w:bookmarkStart w:id="18" w:name="institutional-review"/>
    <w:p>
      <w:pPr>
        <w:pStyle w:val="Heading3"/>
      </w:pPr>
      <w:r>
        <w:t xml:space="preserve">Institutional review</w:t>
      </w:r>
    </w:p>
    <w:p>
      <w:pPr>
        <w:pStyle w:val="FirstParagraph"/>
      </w:pPr>
      <w:r>
        <w:t xml:space="preserve">[Insert institutional determination regarding whether this analysis of</w:t>
      </w:r>
      <w:r>
        <w:t xml:space="preserve"> </w:t>
      </w:r>
      <w:r>
        <w:t xml:space="preserve">aggregate certification counts and physician roster data constituted</w:t>
      </w:r>
      <w:r>
        <w:t xml:space="preserve"> </w:t>
      </w:r>
      <w:r>
        <w:t xml:space="preserve">human-subjects research, including protocol or determination number if</w:t>
      </w:r>
      <w:r>
        <w:t xml:space="preserve"> </w:t>
      </w:r>
      <w:r>
        <w:t xml:space="preserve">applicable.]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rPr>
          <w:b/>
          <w:bCs/>
        </w:rPr>
        <w:t xml:space="preserve">Agreement with the observed count.</w:t>
      </w:r>
      <w:r>
        <w:t xml:space="preserve"> </w:t>
      </w:r>
      <w:r>
        <w:t xml:space="preserve">Across the ten configurations the median</w:t>
      </w:r>
      <w:r>
        <w:t xml:space="preserve"> </w:t>
      </w:r>
      <w:r>
        <w:t xml:space="preserve">difference from the observed 2023 certification count was −8.3%, ranging from</w:t>
      </w:r>
      <w:r>
        <w:t xml:space="preserve"> </w:t>
      </w:r>
      <w:r>
        <w:t xml:space="preserve">−3.14% to −16.23%. All configurations fell below the target. Two contained the</w:t>
      </w:r>
      <w:r>
        <w:t xml:space="preserve"> </w:t>
      </w:r>
      <w:r>
        <w:t xml:space="preserve">observed value, and in both, attrition had been suspended so that the simulated</w:t>
      </w:r>
      <w:r>
        <w:t xml:space="preserve"> </w:t>
      </w:r>
      <w:r>
        <w:t xml:space="preserve">quantity matched what the certification series counts.</w:t>
      </w:r>
    </w:p>
    <w:p>
      <w:pPr>
        <w:pStyle w:val="BodyText"/>
      </w:pPr>
      <w:r>
        <w:rPr>
          <w:b/>
          <w:bCs/>
        </w:rPr>
        <w:t xml:space="preserve">The discrepancy is dominated by definitional mismatch.</w:t>
      </w:r>
      <w:r>
        <w:t xml:space="preserve"> </w:t>
      </w:r>
      <w:r>
        <w:t xml:space="preserve">The shipped</w:t>
      </w:r>
      <w:r>
        <w:t xml:space="preserve"> </w:t>
      </w:r>
      <w:r>
        <w:t xml:space="preserve">configuration differed from the observed count by 99 providers (−7.6%). Table 1</w:t>
      </w:r>
      <w:r>
        <w:t xml:space="preserve"> </w:t>
      </w:r>
      <w:r>
        <w:t xml:space="preserve">decomposes that difference. Fifty-nine percent came from applying retirement to a</w:t>
      </w:r>
      <w:r>
        <w:t xml:space="preserve"> </w:t>
      </w:r>
      <w:r>
        <w:t xml:space="preserve">cumulative certification count, a series in which the number retired is zero in</w:t>
      </w:r>
      <w:r>
        <w:t xml:space="preserve"> </w:t>
      </w:r>
      <w:r>
        <w:t xml:space="preserve">every year and the active count equals the ever-certified count. A further 41%</w:t>
      </w:r>
      <w:r>
        <w:t xml:space="preserve"> </w:t>
      </w:r>
      <w:r>
        <w:t xml:space="preserve">reflected faster-than-assumed entry, with realized net entry of approximately 69</w:t>
      </w:r>
      <w:r>
        <w:t xml:space="preserve"> </w:t>
      </w:r>
      <w:r>
        <w:t xml:space="preserve">per year against pre-cutoff assumptions of 32.67 to 55. Assumptions about</w:t>
      </w:r>
      <w:r>
        <w:t xml:space="preserve"> </w:t>
      </w:r>
      <w:r>
        <w:t xml:space="preserve">physician behavior accounted for essentially none of the difference. Aligning</w:t>
      </w:r>
      <w:r>
        <w:t xml:space="preserve"> </w:t>
      </w:r>
      <w:r>
        <w:t xml:space="preserve">definitions moved every paired configuration by four to eight percentage points.</w:t>
      </w:r>
      <w:r>
        <w:t xml:space="preserve"> </w:t>
      </w:r>
      <w:r>
        <w:t xml:space="preserve">Applying the post-cutoff career-change hazard, reported in the Supplement as a</w:t>
      </w:r>
      <w:r>
        <w:t xml:space="preserve"> </w:t>
      </w:r>
      <w:r>
        <w:t xml:space="preserve">sensitivity analysis, widened the total discrepancy to 127 providers and raised</w:t>
      </w:r>
      <w:r>
        <w:t xml:space="preserve"> </w:t>
      </w:r>
      <w:r>
        <w:t xml:space="preserve">the definitional share to 68% without altering any conclusion.</w:t>
      </w:r>
    </w:p>
    <w:p>
      <w:pPr>
        <w:pStyle w:val="BodyText"/>
      </w:pPr>
      <w:r>
        <w:rPr>
          <w:b/>
          <w:bCs/>
        </w:rPr>
        <w:t xml:space="preserve">Table 1. Decomposition of the 99-provider discrepancy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 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Shipped forecast (retirement applied, 55 entrants/yr)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Align definitions (attrition suspended on a cumulative count)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+19.3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 entrant-regime residual (realized entry exceeded assumption)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Containment and interval score disagree.</w:t>
      </w:r>
      <w:r>
        <w:t xml:space="preserve"> </w:t>
      </w:r>
      <w:r>
        <w:t xml:space="preserve">Table 2 shows the three candidate</w:t>
      </w:r>
      <w:r>
        <w:t xml:space="preserve"> </w:t>
      </w:r>
      <w:r>
        <w:t xml:space="preserve">forecasts scored over 2021 to 2023. The forecast with the highest containment had</w:t>
      </w:r>
      <w:r>
        <w:t xml:space="preserve"> </w:t>
      </w:r>
      <w:r>
        <w:t xml:space="preserve">the worst interval score, and the forecast with the best interval score did not</w:t>
      </w:r>
      <w:r>
        <w:t xml:space="preserve"> </w:t>
      </w:r>
      <w:r>
        <w:t xml:space="preserve">have the highest containment. The rolling-origin forecast contained the</w:t>
      </w:r>
      <w:r>
        <w:t xml:space="preserve"> </w:t>
      </w:r>
      <w:r>
        <w:t xml:space="preserve">observation at all four origins while carrying a mean interval width of 1,466</w:t>
      </w:r>
      <w:r>
        <w:t xml:space="preserve"> </w:t>
      </w:r>
      <w:r>
        <w:t xml:space="preserve">providers, including one lower bound of −594.5, an impossible value for a</w:t>
      </w:r>
      <w:r>
        <w:t xml:space="preserve"> </w:t>
      </w:r>
      <w:r>
        <w:t xml:space="preserve">cumulative count. The definition-matched forecast was approximately 15 times</w:t>
      </w:r>
      <w:r>
        <w:t xml:space="preserve"> </w:t>
      </w:r>
      <w:r>
        <w:t xml:space="preserve">sharper and scored an order of magnitude better despite lower containment.</w:t>
      </w:r>
    </w:p>
    <w:p>
      <w:pPr>
        <w:pStyle w:val="BodyText"/>
      </w:pPr>
      <w:r>
        <w:rPr>
          <w:b/>
          <w:bCs/>
        </w:rPr>
        <w:t xml:space="preserve">Table 2. Containment versus interval score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Contained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width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Interval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origin (wide)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4/4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1,465.6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Sharp, attrition applied (definition mismatch)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1,086.4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Sharp, attrition suspended (definition matched)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2/3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137.0</w:t>
            </w:r>
          </w:p>
        </w:tc>
      </w:tr>
    </w:tbl>
    <w:p>
      <w:pPr>
        <w:pStyle w:val="BodyText"/>
      </w:pPr>
      <w:r>
        <w:rPr>
          <w:b/>
          <w:bCs/>
        </w:rPr>
        <w:t xml:space="preserve">Temporal validation.</w:t>
      </w:r>
      <w:r>
        <w:t xml:space="preserve"> </w:t>
      </w:r>
      <w:r>
        <w:t xml:space="preserve">All four rolling origins contained the observation, and</w:t>
      </w:r>
      <w:r>
        <w:t xml:space="preserve"> </w:t>
      </w:r>
      <w:r>
        <w:t xml:space="preserve">interval widths narrowed as the usable training record lengthened, from 3,185 at</w:t>
      </w:r>
      <w:r>
        <w:t xml:space="preserve"> </w:t>
      </w:r>
      <w:r>
        <w:t xml:space="preserve">the 2017 origin to 687 at the 2020 origin. The earliest origin contained the</w:t>
      </w:r>
      <w:r>
        <w:t xml:space="preserve"> </w:t>
      </w:r>
      <w:r>
        <w:t xml:space="preserve">observation only because its interval spanned −594.5 to +2,590, reflecting two</w:t>
      </w:r>
      <w:r>
        <w:t xml:space="preserve"> </w:t>
      </w:r>
      <w:r>
        <w:t xml:space="preserve">prior errors and a t multiplier of 12.71 on one degree of freedom. Containment</w:t>
      </w:r>
      <w:r>
        <w:t xml:space="preserve"> </w:t>
      </w:r>
      <w:r>
        <w:t xml:space="preserve">was achieved by width rather than by accuracy.</w:t>
      </w:r>
    </w:p>
    <w:p>
      <w:pPr>
        <w:pStyle w:val="BodyText"/>
      </w:pPr>
      <w:r>
        <w:rPr>
          <w:b/>
          <w:bCs/>
        </w:rPr>
        <w:t xml:space="preserve">Validation design.</w:t>
      </w:r>
      <w:r>
        <w:t xml:space="preserve"> </w:t>
      </w:r>
      <w:r>
        <w:t xml:space="preserve">The identical model and data appeared 2.7 times closer to</w:t>
      </w:r>
      <w:r>
        <w:t xml:space="preserve"> </w:t>
      </w:r>
      <w:r>
        <w:t xml:space="preserve">the observed series, with 3.6 times tighter intervals, under leave-one-out</w:t>
      </w:r>
      <w:r>
        <w:t xml:space="preserve"> </w:t>
      </w:r>
      <w:r>
        <w:t xml:space="preserve">validation than under rolling origin (median absolute difference 2.83% versus</w:t>
      </w:r>
      <w:r>
        <w:t xml:space="preserve"> </w:t>
      </w:r>
      <w:r>
        <w:t xml:space="preserve">7.55%; mean width 412 versus 1,466). Leave-one-out admits training windows whose</w:t>
      </w:r>
      <w:r>
        <w:t xml:space="preserve"> </w:t>
      </w:r>
      <w:r>
        <w:t xml:space="preserve">outcomes were not observable at the forecast origin; for the earliest origin, all</w:t>
      </w:r>
      <w:r>
        <w:t xml:space="preserve"> </w:t>
      </w:r>
      <w:r>
        <w:t xml:space="preserve">seven training points lay in its future.</w:t>
      </w:r>
    </w:p>
    <w:p>
      <w:pPr>
        <w:pStyle w:val="BodyText"/>
      </w:pPr>
      <w:r>
        <w:rPr>
          <w:b/>
          <w:bCs/>
        </w:rPr>
        <w:t xml:space="preserve">Window dependence.</w:t>
      </w:r>
      <w:r>
        <w:t xml:space="preserve"> </w:t>
      </w:r>
      <w:r>
        <w:t xml:space="preserve">Across five cutoff-target windows the direction of the</w:t>
      </w:r>
      <w:r>
        <w:t xml:space="preserve"> </w:t>
      </w:r>
      <w:r>
        <w:t xml:space="preserve">difference reversed, from +17.6% above the observed count for the 2016 to 2019</w:t>
      </w:r>
      <w:r>
        <w:t xml:space="preserve"> </w:t>
      </w:r>
      <w:r>
        <w:t xml:space="preserve">window to −8.4% below it for 2020 to 2023. The two entrant definitions also</w:t>
      </w:r>
      <w:r>
        <w:t xml:space="preserve"> </w:t>
      </w:r>
      <w:r>
        <w:t xml:space="preserve">diverged, with the residency-match-based predictor closer to the observed series</w:t>
      </w:r>
      <w:r>
        <w:t xml:space="preserve"> </w:t>
      </w:r>
      <w:r>
        <w:t xml:space="preserve">in every window (absolute difference 0.2% to 4.4%) than the certification-based</w:t>
      </w:r>
      <w:r>
        <w:t xml:space="preserve"> </w:t>
      </w:r>
      <w:r>
        <w:t xml:space="preserve">one (1.9% to 17.6%).</w:t>
      </w:r>
    </w:p>
    <w:p>
      <w:r>
        <w:pict>
          <v:rect style="width:0;height:1.5pt" o:hralign="center" o:hrstd="t" o:hr="t"/>
        </w:pict>
      </w:r>
    </w:p>
    <w:bookmarkEnd w:id="20"/>
    <w:bookmarkStart w:id="22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principal finding was not that the workforce model should retain physicians</w:t>
      </w:r>
      <w:r>
        <w:t xml:space="preserve"> </w:t>
      </w:r>
      <w:r>
        <w:t xml:space="preserve">indefinitely to reproduce cumulative certification counts. The production model</w:t>
      </w:r>
      <w:r>
        <w:t xml:space="preserve"> </w:t>
      </w:r>
      <w:r>
        <w:t xml:space="preserve">appropriately removes physicians from the clinically active workforce using</w:t>
      </w:r>
      <w:r>
        <w:t xml:space="preserve"> </w:t>
      </w:r>
      <w:r>
        <w:t xml:space="preserve">empirical URPS retirement hazards because clinical capacity, rather than</w:t>
      </w:r>
      <w:r>
        <w:t xml:space="preserve"> </w:t>
      </w:r>
      <w:r>
        <w:t xml:space="preserve">accumulated credentials, is the quantity relevant to workforce planning.</w:t>
      </w:r>
      <w:r>
        <w:t xml:space="preserve"> </w:t>
      </w:r>
      <w:r>
        <w:t xml:space="preserve">Instead, most of the discrepancy between the projected active workforce and the</w:t>
      </w:r>
      <w:r>
        <w:t xml:space="preserve"> </w:t>
      </w:r>
      <w:r>
        <w:t xml:space="preserve">published 2023 certification count arose because the two quantities were not</w:t>
      </w:r>
      <w:r>
        <w:t xml:space="preserve"> </w:t>
      </w:r>
      <w:r>
        <w:t xml:space="preserve">operationally equivalent. Suspending attrition improved agreement with the</w:t>
      </w:r>
      <w:r>
        <w:t xml:space="preserve"> </w:t>
      </w:r>
      <w:r>
        <w:t xml:space="preserve">cumulative certification series while making the simulated workforce less</w:t>
      </w:r>
      <w:r>
        <w:t xml:space="preserve"> </w:t>
      </w:r>
      <w:r>
        <w:t xml:space="preserve">representative of clinical capacity. Historical validation can therefore make an</w:t>
      </w:r>
      <w:r>
        <w:t xml:space="preserve"> </w:t>
      </w:r>
      <w:r>
        <w:t xml:space="preserve">appropriate workforce model appear inaccurate when the validation target measures</w:t>
      </w:r>
      <w:r>
        <w:t xml:space="preserve"> </w:t>
      </w:r>
      <w:r>
        <w:t xml:space="preserve">a different construct.</w:t>
      </w:r>
    </w:p>
    <w:p>
      <w:pPr>
        <w:pStyle w:val="BodyText"/>
      </w:pPr>
      <w:r>
        <w:t xml:space="preserve">This inverts the usual order of suspicion. When a workforce projection misses,</w:t>
      </w:r>
      <w:r>
        <w:t xml:space="preserve"> </w:t>
      </w:r>
      <w:r>
        <w:t xml:space="preserve">attention turns to whether physicians are retiring earlier than modeled or</w:t>
      </w:r>
      <w:r>
        <w:t xml:space="preserve"> </w:t>
      </w:r>
      <w:r>
        <w:t xml:space="preserve">whether fellowship output is keeping pace. Here the dominant problem was upstream</w:t>
      </w:r>
      <w:r>
        <w:t xml:space="preserve"> </w:t>
      </w:r>
      <w:r>
        <w:t xml:space="preserve">of both, in the correspondence between what was projected and what was counted. A</w:t>
      </w:r>
      <w:r>
        <w:t xml:space="preserve"> </w:t>
      </w:r>
      <w:r>
        <w:t xml:space="preserve">model can represent the behavior of urogynecologists faithfully and still produce</w:t>
      </w:r>
      <w:r>
        <w:t xml:space="preserve"> </w:t>
      </w:r>
      <w:r>
        <w:t xml:space="preserve">a misleading number for fellowship planning.</w:t>
      </w:r>
    </w:p>
    <w:p>
      <w:pPr>
        <w:pStyle w:val="BodyText"/>
      </w:pPr>
      <w:r>
        <w:t xml:space="preserve">Conventional validation would have selected the worst forecast. Containment of</w:t>
      </w:r>
      <w:r>
        <w:t xml:space="preserve"> </w:t>
      </w:r>
      <w:r>
        <w:t xml:space="preserve">the observed value, the summary most workforce studies report, ranked highest</w:t>
      </w:r>
      <w:r>
        <w:t xml:space="preserve"> </w:t>
      </w:r>
      <w:r>
        <w:t xml:space="preserve">the forecast that the interval score ranked last. A sufficiently wide interval</w:t>
      </w:r>
      <w:r>
        <w:t xml:space="preserve"> </w:t>
      </w:r>
      <w:r>
        <w:t xml:space="preserve">contains almost anything, and reporting containment alone rewards exactly that;</w:t>
      </w:r>
      <w:r>
        <w:t xml:space="preserve"> </w:t>
      </w:r>
      <w:r>
        <w:t xml:space="preserve">proper scores were developed for forecast evaluation precisely because coverage</w:t>
      </w:r>
      <w:r>
        <w:t xml:space="preserve"> </w:t>
      </w:r>
      <w:r>
        <w:t xml:space="preserve">can be bought with width.[5] Apparent agreement also depends on how validation</w:t>
      </w:r>
      <w:r>
        <w:t xml:space="preserve"> </w:t>
      </w:r>
      <w:r>
        <w:t xml:space="preserve">is designed: admitting information unavailable at the forecast origin improved</w:t>
      </w:r>
      <w:r>
        <w:t xml:space="preserve"> </w:t>
      </w:r>
      <w:r>
        <w:t xml:space="preserve">apparent accuracy 2.7-fold without changing the model, and the direction of the</w:t>
      </w:r>
      <w:r>
        <w:t xml:space="preserve"> </w:t>
      </w:r>
      <w:r>
        <w:t xml:space="preserve">difference reversed with the choice of historical window. Any single cutoff-target</w:t>
      </w:r>
      <w:r>
        <w:t xml:space="preserve"> </w:t>
      </w:r>
      <w:r>
        <w:t xml:space="preserve">comparison would have supported a confident conclusion about the direction of</w:t>
      </w:r>
      <w:r>
        <w:t xml:space="preserve"> </w:t>
      </w:r>
      <w:r>
        <w:t xml:space="preserve">bias, and the opposite conclusion was equally available.</w:t>
      </w:r>
    </w:p>
    <w:p>
      <w:pPr>
        <w:pStyle w:val="BodyText"/>
      </w:pPr>
      <w:r>
        <w:t xml:space="preserve">Three practical consequences follow for urogynecology workforce planning. First,</w:t>
      </w:r>
      <w:r>
        <w:t xml:space="preserve"> </w:t>
      </w:r>
      <w:r>
        <w:t xml:space="preserve">a projection should state what it counts, whether practicing physicians,</w:t>
      </w:r>
      <w:r>
        <w:t xml:space="preserve"> </w:t>
      </w:r>
      <w:r>
        <w:t xml:space="preserve">board-certified physicians, ever-certified physicians, or clinical full-time</w:t>
      </w:r>
      <w:r>
        <w:t xml:space="preserve"> </w:t>
      </w:r>
      <w:r>
        <w:t xml:space="preserve">equivalents, and the validation series should count the same thing. Second, a</w:t>
      </w:r>
      <w:r>
        <w:t xml:space="preserve"> </w:t>
      </w:r>
      <w:r>
        <w:t xml:space="preserve">projection checked against a single historical target should not be described as</w:t>
      </w:r>
      <w:r>
        <w:t xml:space="preserve"> </w:t>
      </w:r>
      <w:r>
        <w:t xml:space="preserve">validated. Third, narrow intervals are not evidence of accuracy; one</w:t>
      </w:r>
      <w:r>
        <w:t xml:space="preserve"> </w:t>
      </w:r>
      <w:r>
        <w:t xml:space="preserve">specification in our supplementary analysis produced an interval 8 providers wide</w:t>
      </w:r>
      <w:r>
        <w:t xml:space="preserve"> </w:t>
      </w:r>
      <w:r>
        <w:t xml:space="preserve">on a count of 1,273 and did not contain the observation.</w:t>
      </w:r>
    </w:p>
    <w:p>
      <w:pPr>
        <w:pStyle w:val="BodyText"/>
      </w:pPr>
      <w:r>
        <w:t xml:space="preserve">The specific mismatch here reflects how one board publishes counts, but the class</w:t>
      </w:r>
      <w:r>
        <w:t xml:space="preserve"> </w:t>
      </w:r>
      <w:r>
        <w:t xml:space="preserve">of error is not specific to urogynecology. Workforce models simulate stocks of</w:t>
      </w:r>
      <w:r>
        <w:t xml:space="preserve"> </w:t>
      </w:r>
      <w:r>
        <w:t xml:space="preserve">practicing physicians and are validated against registries assembled for</w:t>
      </w:r>
      <w:r>
        <w:t xml:space="preserve"> </w:t>
      </w:r>
      <w:r>
        <w:t xml:space="preserve">administrative purposes. Certification series are typically cumulative and rarely</w:t>
      </w:r>
      <w:r>
        <w:t xml:space="preserve"> </w:t>
      </w:r>
      <w:r>
        <w:t xml:space="preserve">decremented, license files reflect renewal rather than practice, and national</w:t>
      </w:r>
      <w:r>
        <w:t xml:space="preserve"> </w:t>
      </w:r>
      <w:r>
        <w:t xml:space="preserve">provider identifiers persist after retirement. A model that simulates exit,</w:t>
      </w:r>
      <w:r>
        <w:t xml:space="preserve"> </w:t>
      </w:r>
      <w:r>
        <w:t xml:space="preserve">scored against a series that never removes anyone, is structurally guaranteed to</w:t>
      </w:r>
      <w:r>
        <w:t xml:space="preserve"> </w:t>
      </w:r>
      <w:r>
        <w:t xml:space="preserve">under-predict. Because validation is uncommon in this literature,[2] an error</w:t>
      </w:r>
      <w:r>
        <w:t xml:space="preserve"> </w:t>
      </w:r>
      <w:r>
        <w:t xml:space="preserve">class that surfaces only during validation will be under-detected, and the</w:t>
      </w:r>
      <w:r>
        <w:t xml:space="preserve"> </w:t>
      </w:r>
      <w:r>
        <w:t xml:space="preserve">validation that does occur compares totals: the Dutch general-practitioner</w:t>
      </w:r>
      <w:r>
        <w:t xml:space="preserve"> </w:t>
      </w:r>
      <w:r>
        <w:t xml:space="preserve">comparison attributed its error to bias rather than variance[3] without examining</w:t>
      </w:r>
      <w:r>
        <w:t xml:space="preserve"> </w:t>
      </w:r>
      <w:r>
        <w:t xml:space="preserve">whether the projected and observed quantities were equivalent, which is the</w:t>
      </w:r>
      <w:r>
        <w:t xml:space="preserve"> </w:t>
      </w:r>
      <w:r>
        <w:t xml:space="preserve">signature a definitional mismatch produces.</w:t>
      </w:r>
    </w:p>
    <w:bookmarkStart w:id="21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There is no gold-standard external validation of the active workforce in this</w:t>
      </w:r>
      <w:r>
        <w:t xml:space="preserve"> </w:t>
      </w:r>
      <w:r>
        <w:t xml:space="preserve">study, and none is claimed. The only national series available for URPS is</w:t>
      </w:r>
      <w:r>
        <w:t xml:space="preserve"> </w:t>
      </w:r>
      <w:r>
        <w:t xml:space="preserve">cumulative certification, which counts credentials rather than practicing</w:t>
      </w:r>
      <w:r>
        <w:t xml:space="preserve"> </w:t>
      </w:r>
      <w:r>
        <w:t xml:space="preserve">physicians. Everything reported here is agreement against an imperfect benchmark.</w:t>
      </w:r>
      <w:r>
        <w:t xml:space="preserve"> </w:t>
      </w:r>
      <w:r>
        <w:t xml:space="preserve">That does not make the exercise uninformative; it demonstrates what happens when</w:t>
      </w:r>
      <w:r>
        <w:t xml:space="preserve"> </w:t>
      </w:r>
      <w:r>
        <w:t xml:space="preserve">an imperfect benchmark is treated as truth. A licensure or billing-activity</w:t>
      </w:r>
      <w:r>
        <w:t xml:space="preserve"> </w:t>
      </w:r>
      <w:r>
        <w:t xml:space="preserve">series would measure clinical practice more closely, and neither is currently</w:t>
      </w:r>
      <w:r>
        <w:t xml:space="preserve"> </w:t>
      </w:r>
      <w:r>
        <w:t xml:space="preserve">linked to this model.</w:t>
      </w:r>
    </w:p>
    <w:p>
      <w:pPr>
        <w:pStyle w:val="BodyText"/>
      </w:pPr>
      <w:r>
        <w:t xml:space="preserve">These are diagnostic findings rather than precise estimates of long-run operating</w:t>
      </w:r>
      <w:r>
        <w:t xml:space="preserve"> </w:t>
      </w:r>
      <w:r>
        <w:t xml:space="preserve">characteristics. The repeated-target evidence rests on four rolling origins,</w:t>
      </w:r>
      <w:r>
        <w:t xml:space="preserve"> </w:t>
      </w:r>
      <w:r>
        <w:t xml:space="preserve">which cannot estimate interval calibration with useful precision, and we do not</w:t>
      </w:r>
      <w:r>
        <w:t xml:space="preserve"> </w:t>
      </w:r>
      <w:r>
        <w:t xml:space="preserve">present the 4 of 4 containment result as evidence of calibration. The</w:t>
      </w:r>
      <w:r>
        <w:t xml:space="preserve"> </w:t>
      </w:r>
      <w:r>
        <w:t xml:space="preserve">single-target exercise cannot estimate coverage at all: ten configurations scored</w:t>
      </w:r>
      <w:r>
        <w:t xml:space="preserve"> </w:t>
      </w:r>
      <w:r>
        <w:t xml:space="preserve">against one realized value are alternative specifications, not independent</w:t>
      </w:r>
      <w:r>
        <w:t xml:space="preserve"> </w:t>
      </w:r>
      <w:r>
        <w:t xml:space="preserve">forecast occasions. The findings are qualitative by design, comprising a reversal</w:t>
      </w:r>
      <w:r>
        <w:t xml:space="preserve"> </w:t>
      </w:r>
      <w:r>
        <w:t xml:space="preserve">in ranking, a sign change, and a 2.7-fold gap, and none should be quoted as a</w:t>
      </w:r>
      <w:r>
        <w:t xml:space="preserve"> </w:t>
      </w:r>
      <w:r>
        <w:t xml:space="preserve">calibrated magnitude. The study covers one subspecialty, one country, and one</w:t>
      </w:r>
      <w:r>
        <w:t xml:space="preserve"> </w:t>
      </w:r>
      <w:r>
        <w:t xml:space="preserve">certification series. Finally, the entrant-regime correction was identified from</w:t>
      </w:r>
      <w:r>
        <w:t xml:space="preserve"> </w:t>
      </w:r>
      <w:r>
        <w:t xml:space="preserve">the errors it would be scored against and is preregistered for prospective</w:t>
      </w:r>
      <w:r>
        <w:t xml:space="preserve"> </w:t>
      </w:r>
      <w:r>
        <w:t xml:space="preserve">evaluation rather than reported as validated.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Nygaard I, Barber MD, Burgio KL, et al. Prevalence of symptomatic pelvic</w:t>
      </w:r>
      <w:r>
        <w:t xml:space="preserve"> </w:t>
      </w:r>
      <w:r>
        <w:t xml:space="preserve">floor disorders in US women.</w:t>
      </w:r>
      <w:r>
        <w:t xml:space="preserve"> </w:t>
      </w:r>
      <w:r>
        <w:rPr>
          <w:i/>
          <w:iCs/>
        </w:rPr>
        <w:t xml:space="preserve">JAMA</w:t>
      </w:r>
      <w:r>
        <w:t xml:space="preserve">. 2008;300:1311-1316.</w:t>
      </w:r>
    </w:p>
    <w:p>
      <w:pPr>
        <w:pStyle w:val="Compact"/>
        <w:numPr>
          <w:ilvl w:val="0"/>
          <w:numId w:val="1001"/>
        </w:numPr>
      </w:pPr>
      <w:r>
        <w:t xml:space="preserve">Lee JT, Crettenden I, Tran M, et al. Methods for health workforce projection</w:t>
      </w:r>
      <w:r>
        <w:t xml:space="preserve"> </w:t>
      </w:r>
      <w:r>
        <w:t xml:space="preserve">model: systematic review and recommended good practice reporting guideline.</w:t>
      </w:r>
      <w:r>
        <w:t xml:space="preserve"> </w:t>
      </w:r>
      <w:r>
        <w:rPr>
          <w:i/>
          <w:iCs/>
        </w:rPr>
        <w:t xml:space="preserve">Hum Resour Health</w:t>
      </w:r>
      <w:r>
        <w:t xml:space="preserve">. 2024;22:25.</w:t>
      </w:r>
    </w:p>
    <w:p>
      <w:pPr>
        <w:pStyle w:val="Compact"/>
        <w:numPr>
          <w:ilvl w:val="0"/>
          <w:numId w:val="1001"/>
        </w:numPr>
      </w:pPr>
      <w:r>
        <w:t xml:space="preserve">Van Greuningen M, Batenburg RS, Van der Velden LFJ. The accuracy of general</w:t>
      </w:r>
      <w:r>
        <w:t xml:space="preserve"> </w:t>
      </w:r>
      <w:r>
        <w:t xml:space="preserve">practitioner workforce projections.</w:t>
      </w:r>
      <w:r>
        <w:t xml:space="preserve"> </w:t>
      </w:r>
      <w:r>
        <w:rPr>
          <w:i/>
          <w:iCs/>
        </w:rPr>
        <w:t xml:space="preserve">Hum Resour Health</w:t>
      </w:r>
      <w:r>
        <w:t xml:space="preserve">. 2013;11:31.</w:t>
      </w:r>
    </w:p>
    <w:p>
      <w:pPr>
        <w:pStyle w:val="Compact"/>
        <w:numPr>
          <w:ilvl w:val="0"/>
          <w:numId w:val="1001"/>
        </w:numPr>
      </w:pPr>
      <w:r>
        <w:t xml:space="preserve">Gneiting T, Raftery AE. Strictly proper scoring rules, prediction, and</w:t>
      </w:r>
      <w:r>
        <w:t xml:space="preserve"> </w:t>
      </w:r>
      <w:r>
        <w:t xml:space="preserve">estimation.</w:t>
      </w:r>
      <w:r>
        <w:t xml:space="preserve"> </w:t>
      </w:r>
      <w:r>
        <w:rPr>
          <w:i/>
          <w:iCs/>
        </w:rPr>
        <w:t xml:space="preserve">J Am Stat Assoc</w:t>
      </w:r>
      <w:r>
        <w:t xml:space="preserve">. 2007;102:359-378.</w:t>
      </w:r>
    </w:p>
    <w:p>
      <w:pPr>
        <w:pStyle w:val="Compact"/>
        <w:numPr>
          <w:ilvl w:val="0"/>
          <w:numId w:val="1001"/>
        </w:numPr>
      </w:pPr>
      <w:r>
        <w:t xml:space="preserve">Bracher J, Ray EL, Gneiting T, Reich NG. Evaluating epidemic forecasts in an</w:t>
      </w:r>
      <w:r>
        <w:t xml:space="preserve"> </w:t>
      </w:r>
      <w:r>
        <w:t xml:space="preserve">interval format.</w:t>
      </w:r>
      <w:r>
        <w:t xml:space="preserve"> </w:t>
      </w:r>
      <w:r>
        <w:rPr>
          <w:i/>
          <w:iCs/>
        </w:rPr>
        <w:t xml:space="preserve">PLoS Comput Biol</w:t>
      </w:r>
      <w:r>
        <w:t xml:space="preserve">. 2021;17:e1008618.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2026-08-09T04:13:39Z</dcterms:created>
  <dcterms:modified xsi:type="dcterms:W3CDTF">2026-08-09T04:13:39Z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