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9153a4f9a578e472cc9230d549806451c12857"/>
    <w:p>
      <w:pPr>
        <w:pStyle w:val="Heading1"/>
      </w:pPr>
      <w:r>
        <w:t xml:space="preserve">Historical Validation of National Urogynecology Workforce Projections: When the Validation Target Does Not Match the Workforce</w:t>
      </w:r>
    </w:p>
    <w:p>
      <w:pPr>
        <w:pStyle w:val="FirstParagraph"/>
      </w:pPr>
      <w:r>
        <w:rPr>
          <w:b/>
          <w:bCs/>
        </w:rPr>
        <w:t xml:space="preserve">Submission draft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Obstetrics &amp; Gynecology</w:t>
      </w:r>
      <w:r>
        <w:rPr>
          <w:b/>
          <w:bCs/>
        </w:rPr>
        <w:t xml:space="preserve">. Second choice: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Urogynecology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Supporting detail is in</w:t>
      </w:r>
      <w:r>
        <w:t xml:space="preserve"> </w:t>
      </w:r>
      <w:r>
        <w:rPr>
          <w:rStyle w:val="VerbatimChar"/>
        </w:rPr>
        <w:t xml:space="preserve">VALIDATION_SUPPLEMENT.md</w:t>
      </w:r>
      <w:r>
        <w:t xml:space="preserve">. Underlying diagnostics remain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BACKTEST_2020_TO_2023.md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RESULTS_INTERVAL_CALIBRATION.md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VALIDATION_RESULTS.md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BACKTEST_CALIBRATION_AUDIT.md</w:t>
      </w:r>
      <w:r>
        <w:t xml:space="preserve">.</w:t>
      </w:r>
    </w:p>
    <w:bookmarkStart w:id="9" w:name="precis"/>
    <w:p>
      <w:pPr>
        <w:pStyle w:val="Heading2"/>
      </w:pPr>
      <w:r>
        <w:t xml:space="preserve">Precis</w:t>
      </w:r>
    </w:p>
    <w:p>
      <w:pPr>
        <w:pStyle w:val="FirstParagraph"/>
      </w:pPr>
      <w:r>
        <w:t xml:space="preserve">National urogynecology workforce projections were more sensitive to how the</w:t>
      </w:r>
      <w:r>
        <w:t xml:space="preserve"> </w:t>
      </w:r>
      <w:r>
        <w:t xml:space="preserve">workforce was counted than to assumptions about physician behavior, and</w:t>
      </w:r>
      <w:r>
        <w:t xml:space="preserve"> </w:t>
      </w:r>
      <w:r>
        <w:t xml:space="preserve">conventional validation could not detect the difference.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To evaluate the agreement between historical projections of the</w:t>
      </w:r>
      <w:r>
        <w:t xml:space="preserve"> </w:t>
      </w:r>
      <w:r>
        <w:t xml:space="preserve">clinically active urogynecology and reconstructive pelvic surgery (URPS)</w:t>
      </w:r>
      <w:r>
        <w:t xml:space="preserve"> </w:t>
      </w:r>
      <w:r>
        <w:t xml:space="preserve">workforce and subsequently observed national certification counts, and to</w:t>
      </w:r>
      <w:r>
        <w:t xml:space="preserve"> </w:t>
      </w:r>
      <w:r>
        <w:t xml:space="preserve">determine how differences in the definitions of the projected and observed</w:t>
      </w:r>
      <w:r>
        <w:t xml:space="preserve"> </w:t>
      </w:r>
      <w:r>
        <w:t xml:space="preserve">workforces affect apparent forecast performance.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We built a national stochastic microsimulation of the URPS</w:t>
      </w:r>
      <w:r>
        <w:t xml:space="preserve"> </w:t>
      </w:r>
      <w:r>
        <w:t xml:space="preserve">workforce, forecast from information available through 2020, and compared the</w:t>
      </w:r>
      <w:r>
        <w:t xml:space="preserve"> </w:t>
      </w:r>
      <w:r>
        <w:t xml:space="preserve">result with the observed 2023 national board-certified count</w:t>
      </w:r>
      <w:r>
        <w:t xml:space="preserve"> </w:t>
      </w:r>
      <w:r>
        <w:t xml:space="preserve">(n = 1,306). Ten prespecified configurations varied cohort construction, entrant</w:t>
      </w:r>
      <w:r>
        <w:t xml:space="preserve"> </w:t>
      </w:r>
      <w:r>
        <w:t xml:space="preserve">assumptions, and career attrition. Agreement was summarized by percentage</w:t>
      </w:r>
      <w:r>
        <w:t xml:space="preserve"> </w:t>
      </w:r>
      <w:r>
        <w:t xml:space="preserve">difference, interval containment, and the interval score, penalizing width and</w:t>
      </w:r>
      <w:r>
        <w:t xml:space="preserve"> </w:t>
      </w:r>
      <w:r>
        <w:t xml:space="preserve">shortfall jointly. Temporal validation used rolling origins from 2017 to</w:t>
      </w:r>
      <w:r>
        <w:t xml:space="preserve"> </w:t>
      </w:r>
      <w:r>
        <w:t xml:space="preserve">2020, admitting training windows only when their outcomes were observable at the</w:t>
      </w:r>
      <w:r>
        <w:t xml:space="preserve"> </w:t>
      </w:r>
      <w:r>
        <w:t xml:space="preserve">origin, and compared with leave-one-out validation, which does not.</w:t>
      </w:r>
      <w:r>
        <w:t xml:space="preserve"> </w:t>
      </w:r>
      <w:r>
        <w:t xml:space="preserve">Secondary analyses examined five cutoff-target windows and two entrant</w:t>
      </w:r>
      <w:r>
        <w:t xml:space="preserve"> </w:t>
      </w:r>
      <w:r>
        <w:t xml:space="preserve">definitions.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The projected active workforce differed from the observed 2023</w:t>
      </w:r>
      <w:r>
        <w:t xml:space="preserve"> </w:t>
      </w:r>
      <w:r>
        <w:t xml:space="preserve">certification count by 127 providers (−9.7%). Sixty-eight percent of this</w:t>
      </w:r>
      <w:r>
        <w:t xml:space="preserve"> </w:t>
      </w:r>
      <w:r>
        <w:t xml:space="preserve">discrepancy was attributable to definitional mismatch: the model removed</w:t>
      </w:r>
      <w:r>
        <w:t xml:space="preserve"> </w:t>
      </w:r>
      <w:r>
        <w:t xml:space="preserve">physicians as they retired, whereas the certification series removes no one.</w:t>
      </w:r>
      <w:r>
        <w:t xml:space="preserve"> </w:t>
      </w:r>
      <w:r>
        <w:t xml:space="preserve">Thirty-two percent reflected faster-than-assumed entry; assumptions about</w:t>
      </w:r>
      <w:r>
        <w:t xml:space="preserve"> </w:t>
      </w:r>
      <w:r>
        <w:t xml:space="preserve">physician behavior accounted for essentially none. Containment ranked forecasts</w:t>
      </w:r>
      <w:r>
        <w:t xml:space="preserve"> </w:t>
      </w:r>
      <w:r>
        <w:t xml:space="preserve">in the reverse order of the interval score. The forecast containing the</w:t>
      </w:r>
      <w:r>
        <w:t xml:space="preserve"> </w:t>
      </w:r>
      <w:r>
        <w:t xml:space="preserve">observation at all four rolling origins had a mean interval width of 1,466</w:t>
      </w:r>
      <w:r>
        <w:t xml:space="preserve"> </w:t>
      </w:r>
      <w:r>
        <w:t xml:space="preserve">providers, including one lower bound of −594.5, whereas the definition-matched</w:t>
      </w:r>
      <w:r>
        <w:t xml:space="preserve"> </w:t>
      </w:r>
      <w:r>
        <w:t xml:space="preserve">forecast was approximately 15 times sharper (interval score 137 versus 1,466).</w:t>
      </w:r>
      <w:r>
        <w:t xml:space="preserve"> </w:t>
      </w:r>
      <w:r>
        <w:t xml:space="preserve">Leave-one-out validation made the same model appear 2.7 times closer with 3.6</w:t>
      </w:r>
      <w:r>
        <w:t xml:space="preserve"> </w:t>
      </w:r>
      <w:r>
        <w:t xml:space="preserve">times tighter intervals.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Historical validation can make an appropriate workforce model</w:t>
      </w:r>
      <w:r>
        <w:t xml:space="preserve"> </w:t>
      </w:r>
      <w:r>
        <w:t xml:space="preserve">appear inaccurate when the validation target measures a different construct.</w:t>
      </w:r>
      <w:r>
        <w:t xml:space="preserve"> </w:t>
      </w:r>
      <w:r>
        <w:t xml:space="preserve">Workforce projections should define the clinical workforce quantity before model</w:t>
      </w:r>
      <w:r>
        <w:t xml:space="preserve"> </w:t>
      </w:r>
      <w:r>
        <w:t xml:space="preserve">construction and, where possible, be validated against data measuring active</w:t>
      </w:r>
      <w:r>
        <w:t xml:space="preserve"> </w:t>
      </w:r>
      <w:r>
        <w:t xml:space="preserve">clinical practice rather than cumulative certification.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Whether the United States will have enough urogynecologists to meet the needs of</w:t>
      </w:r>
      <w:r>
        <w:t xml:space="preserve"> </w:t>
      </w:r>
      <w:r>
        <w:t xml:space="preserve">an aging female population is an important question for the subspecialty.</w:t>
      </w:r>
      <w:r>
        <w:t xml:space="preserve"> </w:t>
      </w:r>
      <w:r>
        <w:t xml:space="preserve">Workforce projections may influence fellowship training, geographic access to</w:t>
      </w:r>
      <w:r>
        <w:t xml:space="preserve"> </w:t>
      </w:r>
      <w:r>
        <w:t xml:space="preserve">pelvic-floor care, and planning for future clinical capacity. Yet these</w:t>
      </w:r>
      <w:r>
        <w:t xml:space="preserve"> </w:t>
      </w:r>
      <w:r>
        <w:t xml:space="preserve">projections are rarely tested against what subsequently occurs, and historical</w:t>
      </w:r>
      <w:r>
        <w:t xml:space="preserve"> </w:t>
      </w:r>
      <w:r>
        <w:t xml:space="preserve">validation is only meaningful when the quantity predicted by the model is</w:t>
      </w:r>
      <w:r>
        <w:t xml:space="preserve"> </w:t>
      </w:r>
      <w:r>
        <w:t xml:space="preserve">equivalent to the quantity used as the validation target.</w:t>
      </w:r>
    </w:p>
    <w:p>
      <w:pPr>
        <w:pStyle w:val="BodyText"/>
      </w:pPr>
      <w:r>
        <w:t xml:space="preserve">The gap is not particular to urogynecology. A systematic review of 40 health</w:t>
      </w:r>
      <w:r>
        <w:t xml:space="preserve"> </w:t>
      </w:r>
      <w:r>
        <w:t xml:space="preserve">workforce projection studies found that 8 (20%) compared predictions with</w:t>
      </w:r>
      <w:r>
        <w:t xml:space="preserve"> </w:t>
      </w:r>
      <w:r>
        <w:t xml:space="preserve">historical data and only 4 conducted external validation, identifying model</w:t>
      </w:r>
      <w:r>
        <w:t xml:space="preserve"> </w:t>
      </w:r>
      <w:r>
        <w:t xml:space="preserve">validity and transparent reporting as the field's principal weaknesses.[1] Where</w:t>
      </w:r>
      <w:r>
        <w:t xml:space="preserve"> </w:t>
      </w:r>
      <w:r>
        <w:t xml:space="preserve">validation has been done, it has compared projected totals against observed</w:t>
      </w:r>
      <w:r>
        <w:t xml:space="preserve"> </w:t>
      </w:r>
      <w:r>
        <w:t xml:space="preserve">totals. A backtest of Dutch general-practitioner projections for target years</w:t>
      </w:r>
      <w:r>
        <w:t xml:space="preserve"> </w:t>
      </w:r>
      <w:r>
        <w:t xml:space="preserve">1998 to 2011 reported mean absolute percentage errors of 1.9% to 14.9% and</w:t>
      </w:r>
      <w:r>
        <w:t xml:space="preserve"> </w:t>
      </w:r>
      <w:r>
        <w:t xml:space="preserve">attributed the error to bias rather than variance.[2]</w:t>
      </w:r>
    </w:p>
    <w:p>
      <w:pPr>
        <w:pStyle w:val="BodyText"/>
      </w:pPr>
      <w:r>
        <w:t xml:space="preserve">Such comparisons do not ask whether the quantity the model simulates is the same</w:t>
      </w:r>
      <w:r>
        <w:t xml:space="preserve"> </w:t>
      </w:r>
      <w:r>
        <w:t xml:space="preserve">quantity used to check it. A workforce model simulates a stock of practicing</w:t>
      </w:r>
      <w:r>
        <w:t xml:space="preserve"> </w:t>
      </w:r>
      <w:r>
        <w:t xml:space="preserve">physicians. It is typically validated against a registry, such as board</w:t>
      </w:r>
      <w:r>
        <w:t xml:space="preserve"> </w:t>
      </w:r>
      <w:r>
        <w:t xml:space="preserve">certifications or licenses, assembled for a different purpose. If the model</w:t>
      </w:r>
      <w:r>
        <w:t xml:space="preserve"> </w:t>
      </w:r>
      <w:r>
        <w:t xml:space="preserve">removes physicians who retire and the registry never does, the two series measure</w:t>
      </w:r>
      <w:r>
        <w:t xml:space="preserve"> </w:t>
      </w:r>
      <w:r>
        <w:t xml:space="preserve">different things, and the resulting discrepancy will look like a flawed</w:t>
      </w:r>
      <w:r>
        <w:t xml:space="preserve"> </w:t>
      </w:r>
      <w:r>
        <w:t xml:space="preserve">retirement assumption to anyone examining only the residual.</w:t>
      </w:r>
    </w:p>
    <w:p>
      <w:pPr>
        <w:pStyle w:val="BodyText"/>
      </w:pPr>
      <w:r>
        <w:t xml:space="preserve">We built a national microsimulation of the URPS workforce and asked whether it</w:t>
      </w:r>
      <w:r>
        <w:t xml:space="preserve"> </w:t>
      </w:r>
      <w:r>
        <w:t xml:space="preserve">reproduces the observed number of board-certified urogynecologists when the</w:t>
      </w:r>
      <w:r>
        <w:t xml:space="preserve"> </w:t>
      </w:r>
      <w:r>
        <w:t xml:space="preserve">forecast is made from historical data alone. It does not, and the reasons matter</w:t>
      </w:r>
      <w:r>
        <w:t xml:space="preserve"> </w:t>
      </w:r>
      <w:r>
        <w:t xml:space="preserve">more than the difference itself.</w:t>
      </w:r>
    </w:p>
    <w:p>
      <w:r>
        <w:pict>
          <v:rect style="width:0;height:1.5pt" o:hralign="center" o:hrstd="t" o:hr="t"/>
        </w:pict>
      </w:r>
    </w:p>
    <w:bookmarkEnd w:id="11"/>
    <w:bookmarkStart w:id="12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t xml:space="preserve">The validation target was the national count of board-certified URPS physicians</w:t>
      </w:r>
      <w:r>
        <w:t xml:space="preserve"> </w:t>
      </w:r>
      <w:r>
        <w:t xml:space="preserve">in 2023 (n = 1,306), comprising physicians certified through the American Board</w:t>
      </w:r>
      <w:r>
        <w:t xml:space="preserve"> </w:t>
      </w:r>
      <w:r>
        <w:t xml:space="preserve">of Obstetrics and Gynecology or the American Board of Urology, keyed on</w:t>
      </w:r>
      <w:r>
        <w:t xml:space="preserve"> </w:t>
      </w:r>
      <w:r>
        <w:t xml:space="preserve">subspecialty certification year. Automated checks verified geography, pathway,</w:t>
      </w:r>
      <w:r>
        <w:t xml:space="preserve"> </w:t>
      </w:r>
      <w:r>
        <w:t xml:space="preserve">measure, and certification-year basis before any comparison, failing rather than</w:t>
      </w:r>
      <w:r>
        <w:t xml:space="preserve"> </w:t>
      </w:r>
      <w:r>
        <w:t xml:space="preserve">warning on mismatch.</w:t>
      </w:r>
    </w:p>
    <w:p>
      <w:pPr>
        <w:pStyle w:val="BodyText"/>
      </w:pPr>
      <w:r>
        <w:t xml:space="preserve">Forecasts were generated from information available through 2020 only. Ten</w:t>
      </w:r>
      <w:r>
        <w:t xml:space="preserve"> </w:t>
      </w:r>
      <w:r>
        <w:t xml:space="preserve">prespecified configurations varied cohort construction (derived from the observed</w:t>
      </w:r>
      <w:r>
        <w:t xml:space="preserve"> </w:t>
      </w:r>
      <w:r>
        <w:t xml:space="preserve">roster versus synthetically generated), entrant assumptions (an assumed 55 per</w:t>
      </w:r>
      <w:r>
        <w:t xml:space="preserve"> </w:t>
      </w:r>
      <w:r>
        <w:t xml:space="preserve">year versus 32.67 per year estimated from pre-cutoff data), and whether career</w:t>
      </w:r>
      <w:r>
        <w:t xml:space="preserve"> </w:t>
      </w:r>
      <w:r>
        <w:t xml:space="preserve">attrition was applied. Each configuration was run with 1,000 Monte Carlo</w:t>
      </w:r>
      <w:r>
        <w:t xml:space="preserve"> </w:t>
      </w:r>
      <w:r>
        <w:t xml:space="preserve">iterations.</w:t>
      </w:r>
    </w:p>
    <w:p>
      <w:pPr>
        <w:pStyle w:val="BodyText"/>
      </w:pPr>
      <w:r>
        <w:t xml:space="preserve">Agreement was summarized three ways: percentage difference from the observed</w:t>
      </w:r>
      <w:r>
        <w:t xml:space="preserve"> </w:t>
      </w:r>
      <w:r>
        <w:t xml:space="preserve">count, whether the 95% Monte Carlo interval contained it, and the interval</w:t>
      </w:r>
      <w:r>
        <w:t xml:space="preserve"> </w:t>
      </w:r>
      <w:r>
        <w:t xml:space="preserve">score,[3,4] which charges interval width and shortfall on a single scale and is</w:t>
      </w:r>
      <w:r>
        <w:t xml:space="preserve"> </w:t>
      </w:r>
      <w:r>
        <w:t xml:space="preserve">therefore not improved by widening an interval to achieve containment.</w:t>
      </w:r>
    </w:p>
    <w:p>
      <w:pPr>
        <w:pStyle w:val="BodyText"/>
      </w:pPr>
      <w:r>
        <w:t xml:space="preserve">Because all ten configurations were scored against a single observed value, they</w:t>
      </w:r>
      <w:r>
        <w:t xml:space="preserve"> </w:t>
      </w:r>
      <w:r>
        <w:t xml:space="preserve">represent alternative specifications rather than independent forecast occasions.</w:t>
      </w:r>
      <w:r>
        <w:t xml:space="preserve"> </w:t>
      </w:r>
      <w:r>
        <w:t xml:space="preserve">Containment counts are reported as such and not as coverage rates. Interval</w:t>
      </w:r>
      <w:r>
        <w:t xml:space="preserve"> </w:t>
      </w:r>
      <w:r>
        <w:t xml:space="preserve">calibration requires repeated targets, which the temporal validation supplies:</w:t>
      </w:r>
      <w:r>
        <w:t xml:space="preserve"> </w:t>
      </w:r>
      <w:r>
        <w:t xml:space="preserve">rolling origins from 2017 to 2020, admitting a training window only when its</w:t>
      </w:r>
      <w:r>
        <w:t xml:space="preserve"> </w:t>
      </w:r>
      <w:r>
        <w:t xml:space="preserve">outcome was observable at that origin. For contrast we repeated the exercise</w:t>
      </w:r>
      <w:r>
        <w:t xml:space="preserve"> </w:t>
      </w:r>
      <w:r>
        <w:t xml:space="preserve">using leave-one-out validation, which admits windows whose outcomes were not yet</w:t>
      </w:r>
      <w:r>
        <w:t xml:space="preserve"> </w:t>
      </w:r>
      <w:r>
        <w:t xml:space="preserve">observable. Secondary analyses examined five cutoff-target windows and two</w:t>
      </w:r>
      <w:r>
        <w:t xml:space="preserve"> </w:t>
      </w:r>
      <w:r>
        <w:t xml:space="preserve">entrant definitions. Model structure, parameter sources, and reproducibility</w:t>
      </w:r>
      <w:r>
        <w:t xml:space="preserve"> </w:t>
      </w:r>
      <w:r>
        <w:t xml:space="preserve">details appear in the Supplement.</w:t>
      </w:r>
    </w:p>
    <w:p>
      <w:r>
        <w:pict>
          <v:rect style="width:0;height:1.5pt" o:hralign="center" o:hrstd="t" o:hr="t"/>
        </w:pic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rPr>
          <w:b/>
          <w:bCs/>
        </w:rPr>
        <w:t xml:space="preserve">Agreement with the observed count.</w:t>
      </w:r>
      <w:r>
        <w:t xml:space="preserve"> </w:t>
      </w:r>
      <w:r>
        <w:t xml:space="preserve">Across the ten configurations the median</w:t>
      </w:r>
      <w:r>
        <w:t xml:space="preserve"> </w:t>
      </w:r>
      <w:r>
        <w:t xml:space="preserve">difference from the observed 2023 certification count was −9.0%, ranging from</w:t>
      </w:r>
      <w:r>
        <w:t xml:space="preserve"> </w:t>
      </w:r>
      <w:r>
        <w:t xml:space="preserve">−3.14% to −17.61%. All configurations fell below the target. Two contained the</w:t>
      </w:r>
      <w:r>
        <w:t xml:space="preserve"> </w:t>
      </w:r>
      <w:r>
        <w:t xml:space="preserve">observed value, and in both, attrition had been suspended so that the simulated</w:t>
      </w:r>
      <w:r>
        <w:t xml:space="preserve"> </w:t>
      </w:r>
      <w:r>
        <w:t xml:space="preserve">quantity matched what the certification series counts.</w:t>
      </w:r>
    </w:p>
    <w:p>
      <w:pPr>
        <w:pStyle w:val="BodyText"/>
      </w:pPr>
      <w:r>
        <w:rPr>
          <w:b/>
          <w:bCs/>
        </w:rPr>
        <w:t xml:space="preserve">The discrepancy is dominated by definitional mismatch.</w:t>
      </w:r>
      <w:r>
        <w:t xml:space="preserve"> </w:t>
      </w:r>
      <w:r>
        <w:t xml:space="preserve">The shipped</w:t>
      </w:r>
      <w:r>
        <w:t xml:space="preserve"> </w:t>
      </w:r>
      <w:r>
        <w:t xml:space="preserve">configuration differed from the observed count by 127 providers (−9.7%). Table 1</w:t>
      </w:r>
      <w:r>
        <w:t xml:space="preserve"> </w:t>
      </w:r>
      <w:r>
        <w:t xml:space="preserve">decomposes that difference. Sixty-eight percent came from applying career</w:t>
      </w:r>
      <w:r>
        <w:t xml:space="preserve"> </w:t>
      </w:r>
      <w:r>
        <w:t xml:space="preserve">attrition to a cumulative certification count, a series in which the number</w:t>
      </w:r>
      <w:r>
        <w:t xml:space="preserve"> </w:t>
      </w:r>
      <w:r>
        <w:t xml:space="preserve">retired is zero in every year and the active count equals the ever-certified</w:t>
      </w:r>
      <w:r>
        <w:t xml:space="preserve"> </w:t>
      </w:r>
      <w:r>
        <w:t xml:space="preserve">count. A further 32% reflected faster-than-assumed entry, with realized net entry</w:t>
      </w:r>
      <w:r>
        <w:t xml:space="preserve"> </w:t>
      </w:r>
      <w:r>
        <w:t xml:space="preserve">of approximately 69 per year against pre-cutoff assumptions of 32.67 to 55.</w:t>
      </w:r>
      <w:r>
        <w:t xml:space="preserve"> </w:t>
      </w:r>
      <w:r>
        <w:t xml:space="preserve">Assumptions about physician behavior accounted for essentially none of the</w:t>
      </w:r>
      <w:r>
        <w:t xml:space="preserve"> </w:t>
      </w:r>
      <w:r>
        <w:t xml:space="preserve">difference. Aligning definitions moved every paired configuration by</w:t>
      </w:r>
      <w:r>
        <w:t xml:space="preserve"> </w:t>
      </w:r>
      <w:r>
        <w:t xml:space="preserve">approximately six percentage points.</w:t>
      </w:r>
    </w:p>
    <w:p>
      <w:pPr>
        <w:pStyle w:val="BodyText"/>
      </w:pPr>
      <w:r>
        <w:rPr>
          <w:b/>
          <w:bCs/>
        </w:rPr>
        <w:t xml:space="preserve">Table 1. Decomposition of the 127-provider discrepancy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Shipped forecast (attrition applied, 55 entrants/yr)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 definitions (attrition suspended on a cumulative count)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entrant-regime residual (realized entry exceeded assumption)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Containment and interval score disagree.</w:t>
      </w:r>
      <w:r>
        <w:t xml:space="preserve"> </w:t>
      </w:r>
      <w:r>
        <w:t xml:space="preserve">Table 2 shows the three candidate</w:t>
      </w:r>
      <w:r>
        <w:t xml:space="preserve"> </w:t>
      </w:r>
      <w:r>
        <w:t xml:space="preserve">forecasts scored over 2021 to 2023. Containment ranked them in exactly the</w:t>
      </w:r>
      <w:r>
        <w:t xml:space="preserve"> </w:t>
      </w:r>
      <w:r>
        <w:t xml:space="preserve">reverse order of the interval score. The rolling-origin forecast contained the</w:t>
      </w:r>
      <w:r>
        <w:t xml:space="preserve"> </w:t>
      </w:r>
      <w:r>
        <w:t xml:space="preserve">observation at all four origins while carrying a mean interval width of 1,466</w:t>
      </w:r>
      <w:r>
        <w:t xml:space="preserve"> </w:t>
      </w:r>
      <w:r>
        <w:t xml:space="preserve">providers, including one lower bound of −594.5, an impossible value for a</w:t>
      </w:r>
      <w:r>
        <w:t xml:space="preserve"> </w:t>
      </w:r>
      <w:r>
        <w:t xml:space="preserve">cumulative count. The definition-matched forecast was approximately 15 times</w:t>
      </w:r>
      <w:r>
        <w:t xml:space="preserve"> </w:t>
      </w:r>
      <w:r>
        <w:t xml:space="preserve">sharper and scored an order of magnitude better despite lower containment.</w:t>
      </w:r>
    </w:p>
    <w:p>
      <w:pPr>
        <w:pStyle w:val="BodyText"/>
      </w:pPr>
      <w:r>
        <w:rPr>
          <w:b/>
          <w:bCs/>
        </w:rPr>
        <w:t xml:space="preserve">Table 2. Containment versus interval score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Interval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origin (wide)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Sharp, attrition applied (definition mismatch)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1,732.0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Sharp, attrition suspended (definition matched)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137.0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Temporal validation.</w:t>
      </w:r>
      <w:r>
        <w:t xml:space="preserve"> </w:t>
      </w:r>
      <w:r>
        <w:t xml:space="preserve">All four rolling origins contained the observation, and</w:t>
      </w:r>
      <w:r>
        <w:t xml:space="preserve"> </w:t>
      </w:r>
      <w:r>
        <w:t xml:space="preserve">interval widths narrowed as the usable training record lengthened, from 3,185 at</w:t>
      </w:r>
      <w:r>
        <w:t xml:space="preserve"> </w:t>
      </w:r>
      <w:r>
        <w:t xml:space="preserve">the 2017 origin to 687 at the 2020 origin. The earliest origin contained the</w:t>
      </w:r>
      <w:r>
        <w:t xml:space="preserve"> </w:t>
      </w:r>
      <w:r>
        <w:t xml:space="preserve">observation only because its interval spanned −594.5 to +2,590, reflecting two</w:t>
      </w:r>
      <w:r>
        <w:t xml:space="preserve"> </w:t>
      </w:r>
      <w:r>
        <w:t xml:space="preserve">prior errors and a t multiplier of 12.71 on one degree of freedom. Containment</w:t>
      </w:r>
      <w:r>
        <w:t xml:space="preserve"> </w:t>
      </w:r>
      <w:r>
        <w:t xml:space="preserve">was achieved by width rather than by accuracy.</w:t>
      </w:r>
    </w:p>
    <w:p>
      <w:pPr>
        <w:pStyle w:val="BodyText"/>
      </w:pPr>
      <w:r>
        <w:rPr>
          <w:b/>
          <w:bCs/>
        </w:rPr>
        <w:t xml:space="preserve">Validation design.</w:t>
      </w:r>
      <w:r>
        <w:t xml:space="preserve"> </w:t>
      </w:r>
      <w:r>
        <w:t xml:space="preserve">The identical model and data appeared 2.7 times closer to</w:t>
      </w:r>
      <w:r>
        <w:t xml:space="preserve"> </w:t>
      </w:r>
      <w:r>
        <w:t xml:space="preserve">the observed series, with 3.6 times tighter intervals, under leave-one-out</w:t>
      </w:r>
      <w:r>
        <w:t xml:space="preserve"> </w:t>
      </w:r>
      <w:r>
        <w:t xml:space="preserve">validation than under rolling origin (median absolute difference 2.83% versus</w:t>
      </w:r>
      <w:r>
        <w:t xml:space="preserve"> </w:t>
      </w:r>
      <w:r>
        <w:t xml:space="preserve">7.55%; mean width 412 versus 1,466). Leave-one-out admits training windows whose</w:t>
      </w:r>
      <w:r>
        <w:t xml:space="preserve"> </w:t>
      </w:r>
      <w:r>
        <w:t xml:space="preserve">outcomes were not observable at the forecast origin; for the earliest origin, all</w:t>
      </w:r>
      <w:r>
        <w:t xml:space="preserve"> </w:t>
      </w:r>
      <w:r>
        <w:t xml:space="preserve">seven training points lay in its future.</w:t>
      </w:r>
    </w:p>
    <w:p>
      <w:pPr>
        <w:pStyle w:val="BodyText"/>
      </w:pPr>
      <w:r>
        <w:rPr>
          <w:b/>
          <w:bCs/>
        </w:rPr>
        <w:t xml:space="preserve">Window dependence.</w:t>
      </w:r>
      <w:r>
        <w:t xml:space="preserve"> </w:t>
      </w:r>
      <w:r>
        <w:t xml:space="preserve">Across five cutoff-target windows the direction of the</w:t>
      </w:r>
      <w:r>
        <w:t xml:space="preserve"> </w:t>
      </w:r>
      <w:r>
        <w:t xml:space="preserve">difference reversed, from +17.6% above the observed count for the 2016 to 2019</w:t>
      </w:r>
      <w:r>
        <w:t xml:space="preserve"> </w:t>
      </w:r>
      <w:r>
        <w:t xml:space="preserve">window to −8.4% below it for 2020 to 2023. The two entrant definitions also</w:t>
      </w:r>
      <w:r>
        <w:t xml:space="preserve"> </w:t>
      </w:r>
      <w:r>
        <w:t xml:space="preserve">diverged, with the residency-match-based predictor closer to the observed series</w:t>
      </w:r>
      <w:r>
        <w:t xml:space="preserve"> </w:t>
      </w:r>
      <w:r>
        <w:t xml:space="preserve">throughout (absolute difference 2.5% to 7.2%) than the certification-based one</w:t>
      </w:r>
      <w:r>
        <w:t xml:space="preserve"> </w:t>
      </w:r>
      <w:r>
        <w:t xml:space="preserve">(1.9% to 17.6%).</w:t>
      </w:r>
    </w:p>
    <w:p>
      <w:r>
        <w:pict>
          <v:rect style="width:0;height:1.5pt" o:hralign="center" o:hrstd="t" o:hr="t"/>
        </w:pict>
      </w:r>
    </w:p>
    <w:bookmarkEnd w:id="13"/>
    <w:bookmarkStart w:id="15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principal finding was not that the workforce model should retain physicians</w:t>
      </w:r>
      <w:r>
        <w:t xml:space="preserve"> </w:t>
      </w:r>
      <w:r>
        <w:t xml:space="preserve">indefinitely to reproduce cumulative certification counts. The production model</w:t>
      </w:r>
      <w:r>
        <w:t xml:space="preserve"> </w:t>
      </w:r>
      <w:r>
        <w:t xml:space="preserve">appropriately removes physicians from the clinically active workforce using</w:t>
      </w:r>
      <w:r>
        <w:t xml:space="preserve"> </w:t>
      </w:r>
      <w:r>
        <w:t xml:space="preserve">empirical URPS retirement hazards because clinical capacity, rather than</w:t>
      </w:r>
      <w:r>
        <w:t xml:space="preserve"> </w:t>
      </w:r>
      <w:r>
        <w:t xml:space="preserve">accumulated credentials, is the quantity relevant to workforce planning.</w:t>
      </w:r>
      <w:r>
        <w:t xml:space="preserve"> </w:t>
      </w:r>
      <w:r>
        <w:t xml:space="preserve">Instead, most of the discrepancy between the projected active workforce and the</w:t>
      </w:r>
      <w:r>
        <w:t xml:space="preserve"> </w:t>
      </w:r>
      <w:r>
        <w:t xml:space="preserve">published 2023 certification count arose because the two quantities were not</w:t>
      </w:r>
      <w:r>
        <w:t xml:space="preserve"> </w:t>
      </w:r>
      <w:r>
        <w:t xml:space="preserve">operationally equivalent. Suspending attrition improved agreement with the</w:t>
      </w:r>
      <w:r>
        <w:t xml:space="preserve"> </w:t>
      </w:r>
      <w:r>
        <w:t xml:space="preserve">cumulative certification series while making the simulated workforce less</w:t>
      </w:r>
      <w:r>
        <w:t xml:space="preserve"> </w:t>
      </w:r>
      <w:r>
        <w:t xml:space="preserve">representative of clinical capacity. Historical validation can therefore make an</w:t>
      </w:r>
      <w:r>
        <w:t xml:space="preserve"> </w:t>
      </w:r>
      <w:r>
        <w:t xml:space="preserve">appropriate workforce model appear inaccurate when the validation target measures</w:t>
      </w:r>
      <w:r>
        <w:t xml:space="preserve"> </w:t>
      </w:r>
      <w:r>
        <w:t xml:space="preserve">a different construct.</w:t>
      </w:r>
    </w:p>
    <w:p>
      <w:pPr>
        <w:pStyle w:val="BodyText"/>
      </w:pPr>
      <w:r>
        <w:t xml:space="preserve">This inverts the usual order of suspicion. When a workforce projection misses,</w:t>
      </w:r>
      <w:r>
        <w:t xml:space="preserve"> </w:t>
      </w:r>
      <w:r>
        <w:t xml:space="preserve">attention turns to whether physicians are retiring earlier than modeled or</w:t>
      </w:r>
      <w:r>
        <w:t xml:space="preserve"> </w:t>
      </w:r>
      <w:r>
        <w:t xml:space="preserve">whether fellowship output is keeping pace. Here the dominant problem was upstream</w:t>
      </w:r>
      <w:r>
        <w:t xml:space="preserve"> </w:t>
      </w:r>
      <w:r>
        <w:t xml:space="preserve">of both, in the correspondence between what was projected and what was counted. A</w:t>
      </w:r>
      <w:r>
        <w:t xml:space="preserve"> </w:t>
      </w:r>
      <w:r>
        <w:t xml:space="preserve">model can represent the behavior of urogynecologists faithfully and still produce</w:t>
      </w:r>
      <w:r>
        <w:t xml:space="preserve"> </w:t>
      </w:r>
      <w:r>
        <w:t xml:space="preserve">a misleading number for fellowship planning.</w:t>
      </w:r>
    </w:p>
    <w:p>
      <w:pPr>
        <w:pStyle w:val="BodyText"/>
      </w:pPr>
      <w:r>
        <w:t xml:space="preserve">Conventional validation would have selected the worst forecast. Containment of</w:t>
      </w:r>
      <w:r>
        <w:t xml:space="preserve"> </w:t>
      </w:r>
      <w:r>
        <w:t xml:space="preserve">the observed value, the summary most workforce studies report, ranked the three</w:t>
      </w:r>
      <w:r>
        <w:t xml:space="preserve"> </w:t>
      </w:r>
      <w:r>
        <w:t xml:space="preserve">candidate forecasts in reverse order of the interval score. A sufficiently wide</w:t>
      </w:r>
      <w:r>
        <w:t xml:space="preserve"> </w:t>
      </w:r>
      <w:r>
        <w:t xml:space="preserve">interval contains almost anything, and reporting containment alone rewards</w:t>
      </w:r>
      <w:r>
        <w:t xml:space="preserve"> </w:t>
      </w:r>
      <w:r>
        <w:t xml:space="preserve">exactly that. Apparent agreement also depends on how validation is designed:</w:t>
      </w:r>
      <w:r>
        <w:t xml:space="preserve"> </w:t>
      </w:r>
      <w:r>
        <w:t xml:space="preserve">admitting information unavailable at the forecast origin improved apparent</w:t>
      </w:r>
      <w:r>
        <w:t xml:space="preserve"> </w:t>
      </w:r>
      <w:r>
        <w:t xml:space="preserve">accuracy 2.7-fold without changing the model, and the direction of the difference</w:t>
      </w:r>
      <w:r>
        <w:t xml:space="preserve"> </w:t>
      </w:r>
      <w:r>
        <w:t xml:space="preserve">reversed with the choice of historical window. Any single cutoff-target</w:t>
      </w:r>
      <w:r>
        <w:t xml:space="preserve"> </w:t>
      </w:r>
      <w:r>
        <w:t xml:space="preserve">comparison would have supported a confident conclusion about the direction of</w:t>
      </w:r>
      <w:r>
        <w:t xml:space="preserve"> </w:t>
      </w:r>
      <w:r>
        <w:t xml:space="preserve">bias, and the opposite conclusion was equally available.</w:t>
      </w:r>
    </w:p>
    <w:p>
      <w:pPr>
        <w:pStyle w:val="BodyText"/>
      </w:pPr>
      <w:r>
        <w:t xml:space="preserve">Three practical consequences follow for urogynecology workforce planning. First,</w:t>
      </w:r>
      <w:r>
        <w:t xml:space="preserve"> </w:t>
      </w:r>
      <w:r>
        <w:t xml:space="preserve">a projection should state what it counts, whether practicing physicians,</w:t>
      </w:r>
      <w:r>
        <w:t xml:space="preserve"> </w:t>
      </w:r>
      <w:r>
        <w:t xml:space="preserve">board-certified physicians, ever-certified physicians, or clinical full-time</w:t>
      </w:r>
      <w:r>
        <w:t xml:space="preserve"> </w:t>
      </w:r>
      <w:r>
        <w:t xml:space="preserve">equivalents, and the validation series should count the same thing. Second, a</w:t>
      </w:r>
      <w:r>
        <w:t xml:space="preserve"> </w:t>
      </w:r>
      <w:r>
        <w:t xml:space="preserve">projection checked against a single historical target should not be described as</w:t>
      </w:r>
      <w:r>
        <w:t xml:space="preserve"> </w:t>
      </w:r>
      <w:r>
        <w:t xml:space="preserve">validated. Third, narrow intervals are not evidence of accuracy; one</w:t>
      </w:r>
      <w:r>
        <w:t xml:space="preserve"> </w:t>
      </w:r>
      <w:r>
        <w:t xml:space="preserve">specification in our supplementary analysis produced an interval 8 providers wide</w:t>
      </w:r>
      <w:r>
        <w:t xml:space="preserve"> </w:t>
      </w:r>
      <w:r>
        <w:t xml:space="preserve">on a count of 1,273 and did not contain the observation.</w:t>
      </w:r>
    </w:p>
    <w:p>
      <w:pPr>
        <w:pStyle w:val="BodyText"/>
      </w:pPr>
      <w:r>
        <w:t xml:space="preserve">The specific mismatch here reflects how one board publishes counts, but the class</w:t>
      </w:r>
      <w:r>
        <w:t xml:space="preserve"> </w:t>
      </w:r>
      <w:r>
        <w:t xml:space="preserve">of error is not specific to urogynecology. Workforce models simulate stocks of</w:t>
      </w:r>
      <w:r>
        <w:t xml:space="preserve"> </w:t>
      </w:r>
      <w:r>
        <w:t xml:space="preserve">practicing physicians and are validated against registries assembled for</w:t>
      </w:r>
      <w:r>
        <w:t xml:space="preserve"> </w:t>
      </w:r>
      <w:r>
        <w:t xml:space="preserve">administrative purposes. Certification series are typically cumulative and rarely</w:t>
      </w:r>
      <w:r>
        <w:t xml:space="preserve"> </w:t>
      </w:r>
      <w:r>
        <w:t xml:space="preserve">decremented, license files reflect renewal rather than practice, and national</w:t>
      </w:r>
      <w:r>
        <w:t xml:space="preserve"> </w:t>
      </w:r>
      <w:r>
        <w:t xml:space="preserve">provider identifiers persist after retirement. A model that simulates exit,</w:t>
      </w:r>
      <w:r>
        <w:t xml:space="preserve"> </w:t>
      </w:r>
      <w:r>
        <w:t xml:space="preserve">scored against a series that never removes anyone, is structurally guaranteed to</w:t>
      </w:r>
      <w:r>
        <w:t xml:space="preserve"> </w:t>
      </w:r>
      <w:r>
        <w:t xml:space="preserve">under-predict. Because validation is uncommon in this literature,[1] an error</w:t>
      </w:r>
      <w:r>
        <w:t xml:space="preserve"> </w:t>
      </w:r>
      <w:r>
        <w:t xml:space="preserve">class that surfaces only during validation will be under-detected, and the</w:t>
      </w:r>
      <w:r>
        <w:t xml:space="preserve"> </w:t>
      </w:r>
      <w:r>
        <w:t xml:space="preserve">validation that does occur compares totals: the Dutch general-practitioner</w:t>
      </w:r>
      <w:r>
        <w:t xml:space="preserve"> </w:t>
      </w:r>
      <w:r>
        <w:t xml:space="preserve">backtest attributed its error to bias rather than variance[2] without examining</w:t>
      </w:r>
      <w:r>
        <w:t xml:space="preserve"> </w:t>
      </w:r>
      <w:r>
        <w:t xml:space="preserve">whether the projected and observed quantities were equivalent, which is the</w:t>
      </w:r>
      <w:r>
        <w:t xml:space="preserve"> </w:t>
      </w:r>
      <w:r>
        <w:t xml:space="preserve">signature a definitional mismatch produces.</w:t>
      </w:r>
    </w:p>
    <w:bookmarkStart w:id="14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There is no gold-standard external validation of the active workforce in this</w:t>
      </w:r>
      <w:r>
        <w:t xml:space="preserve"> </w:t>
      </w:r>
      <w:r>
        <w:t xml:space="preserve">study, and none is claimed. The only national series available for URPS is</w:t>
      </w:r>
      <w:r>
        <w:t xml:space="preserve"> </w:t>
      </w:r>
      <w:r>
        <w:t xml:space="preserve">cumulative certification, which counts credentials rather than practicing</w:t>
      </w:r>
      <w:r>
        <w:t xml:space="preserve"> </w:t>
      </w:r>
      <w:r>
        <w:t xml:space="preserve">physicians. Everything reported here is agreement against an imperfect benchmark.</w:t>
      </w:r>
      <w:r>
        <w:t xml:space="preserve"> </w:t>
      </w:r>
      <w:r>
        <w:t xml:space="preserve">That does not make the exercise uninformative; it demonstrates what happens when</w:t>
      </w:r>
      <w:r>
        <w:t xml:space="preserve"> </w:t>
      </w:r>
      <w:r>
        <w:t xml:space="preserve">an imperfect benchmark is treated as truth. A licensure or billing-activity</w:t>
      </w:r>
      <w:r>
        <w:t xml:space="preserve"> </w:t>
      </w:r>
      <w:r>
        <w:t xml:space="preserve">series would measure clinical practice more closely, and neither is currently</w:t>
      </w:r>
      <w:r>
        <w:t xml:space="preserve"> </w:t>
      </w:r>
      <w:r>
        <w:t xml:space="preserve">linked to this model.</w:t>
      </w:r>
    </w:p>
    <w:p>
      <w:pPr>
        <w:pStyle w:val="BodyText"/>
      </w:pPr>
      <w:r>
        <w:t xml:space="preserve">These are diagnostic findings rather than precise estimates of long-run operating</w:t>
      </w:r>
      <w:r>
        <w:t xml:space="preserve"> </w:t>
      </w:r>
      <w:r>
        <w:t xml:space="preserve">characteristics. The repeated-target evidence rests on four rolling origins,</w:t>
      </w:r>
      <w:r>
        <w:t xml:space="preserve"> </w:t>
      </w:r>
      <w:r>
        <w:t xml:space="preserve">which cannot estimate interval calibration with useful precision, and we do not</w:t>
      </w:r>
      <w:r>
        <w:t xml:space="preserve"> </w:t>
      </w:r>
      <w:r>
        <w:t xml:space="preserve">present the 4 of 4 containment result as evidence of calibration. The</w:t>
      </w:r>
      <w:r>
        <w:t xml:space="preserve"> </w:t>
      </w:r>
      <w:r>
        <w:t xml:space="preserve">single-target exercise cannot estimate coverage at all: ten configurations scored</w:t>
      </w:r>
      <w:r>
        <w:t xml:space="preserve"> </w:t>
      </w:r>
      <w:r>
        <w:t xml:space="preserve">against one realized value are alternative specifications, not independent</w:t>
      </w:r>
      <w:r>
        <w:t xml:space="preserve"> </w:t>
      </w:r>
      <w:r>
        <w:t xml:space="preserve">forecast occasions. The findings are qualitative by design, comprising a reversal</w:t>
      </w:r>
      <w:r>
        <w:t xml:space="preserve"> </w:t>
      </w:r>
      <w:r>
        <w:t xml:space="preserve">in ranking, a sign change, and a 2.7-fold gap, and none should be quoted as a</w:t>
      </w:r>
      <w:r>
        <w:t xml:space="preserve"> </w:t>
      </w:r>
      <w:r>
        <w:t xml:space="preserve">calibrated magnitude. The study covers one subspecialty, one country, and one</w:t>
      </w:r>
      <w:r>
        <w:t xml:space="preserve"> </w:t>
      </w:r>
      <w:r>
        <w:t xml:space="preserve">certification series. Finally, the entrant-regime correction was identified from</w:t>
      </w:r>
      <w:r>
        <w:t xml:space="preserve"> </w:t>
      </w:r>
      <w:r>
        <w:t xml:space="preserve">the errors it would be scored against and is preregistered for prospective</w:t>
      </w:r>
      <w:r>
        <w:t xml:space="preserve"> </w:t>
      </w:r>
      <w:r>
        <w:t xml:space="preserve">evaluation rather than reported as validated.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Lee JT, Crettenden I, Tran M, et al. Methods for health workforce projection</w:t>
      </w:r>
      <w:r>
        <w:t xml:space="preserve"> </w:t>
      </w:r>
      <w:r>
        <w:t xml:space="preserve">model: systematic review and recommended good practice reporting guideline.</w:t>
      </w:r>
      <w:r>
        <w:t xml:space="preserve"> </w:t>
      </w:r>
      <w:r>
        <w:rPr>
          <w:i/>
          <w:iCs/>
        </w:rPr>
        <w:t xml:space="preserve">Hum Resour Health</w:t>
      </w:r>
      <w:r>
        <w:t xml:space="preserve">. 2024;22:25.</w:t>
      </w:r>
    </w:p>
    <w:p>
      <w:pPr>
        <w:pStyle w:val="Compact"/>
        <w:numPr>
          <w:ilvl w:val="0"/>
          <w:numId w:val="1001"/>
        </w:numPr>
      </w:pPr>
      <w:r>
        <w:t xml:space="preserve">Van Greuningen M, Batenburg RS, Van der Velden LFJ. The accuracy of general</w:t>
      </w:r>
      <w:r>
        <w:t xml:space="preserve"> </w:t>
      </w:r>
      <w:r>
        <w:t xml:space="preserve">practitioner workforce projections.</w:t>
      </w:r>
      <w:r>
        <w:t xml:space="preserve"> </w:t>
      </w:r>
      <w:r>
        <w:rPr>
          <w:i/>
          <w:iCs/>
        </w:rPr>
        <w:t xml:space="preserve">Hum Resour Health</w:t>
      </w:r>
      <w:r>
        <w:t xml:space="preserve">. 2013;11:31.</w:t>
      </w:r>
    </w:p>
    <w:p>
      <w:pPr>
        <w:pStyle w:val="Compact"/>
        <w:numPr>
          <w:ilvl w:val="0"/>
          <w:numId w:val="1001"/>
        </w:numPr>
      </w:pPr>
      <w:r>
        <w:t xml:space="preserve">Gneiting T, Raftery AE. Strictly proper scoring rules, prediction, and</w:t>
      </w:r>
      <w:r>
        <w:t xml:space="preserve"> </w:t>
      </w:r>
      <w:r>
        <w:t xml:space="preserve">estimation.</w:t>
      </w:r>
      <w:r>
        <w:t xml:space="preserve"> </w:t>
      </w:r>
      <w:r>
        <w:rPr>
          <w:i/>
          <w:iCs/>
        </w:rPr>
        <w:t xml:space="preserve">J Am Stat Assoc</w:t>
      </w:r>
      <w:r>
        <w:t xml:space="preserve">. 2007;102:359-378.</w:t>
      </w:r>
    </w:p>
    <w:p>
      <w:pPr>
        <w:pStyle w:val="Compact"/>
        <w:numPr>
          <w:ilvl w:val="0"/>
          <w:numId w:val="1001"/>
        </w:numPr>
      </w:pPr>
      <w:r>
        <w:t xml:space="preserve">Bracher J, Ray EL, Gneiting T, Reich NG. Evaluating epidemic forecasts in an</w:t>
      </w:r>
      <w:r>
        <w:t xml:space="preserve"> </w:t>
      </w:r>
      <w:r>
        <w:t xml:space="preserve">interval format.</w:t>
      </w:r>
      <w:r>
        <w:t xml:space="preserve"> </w:t>
      </w:r>
      <w:r>
        <w:rPr>
          <w:i/>
          <w:iCs/>
        </w:rPr>
        <w:t xml:space="preserve">PLoS Comput Biol</w:t>
      </w:r>
      <w:r>
        <w:t xml:space="preserve">. 2021;17:e1008618.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2026-08-09T01:47:23Z</dcterms:created>
  <dcterms:modified xsi:type="dcterms:W3CDTF">2026-08-09T01:47:23Z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