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Historical Validation of National Urogynecology Workforce Projections: When the Validation Target Does Not Match the Workforce</w:t>
      </w:r>
    </w:p>
    <w:bookmarkStart w:id="9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Tyler Muffly, MD</w:t>
      </w:r>
    </w:p>
    <w:bookmarkEnd w:id="9"/>
    <w:bookmarkStart w:id="10" w:name="affiliation"/>
    <w:p>
      <w:pPr>
        <w:pStyle w:val="Heading2"/>
      </w:pPr>
      <w:r>
        <w:t xml:space="preserve">Affiliation</w:t>
      </w:r>
    </w:p>
    <w:p>
      <w:pPr>
        <w:pStyle w:val="FirstParagraph"/>
      </w:pPr>
      <w:r>
        <w:t xml:space="preserve">Department of Obstetrics and Gynecology, Denver Health Medical Center, and</w:t>
      </w:r>
      <w:r>
        <w:t xml:space="preserve"> </w:t>
      </w:r>
      <w:r>
        <w:t xml:space="preserve">University of Colorado School of Medicine, Denver, Colorado</w:t>
      </w:r>
    </w:p>
    <w:bookmarkEnd w:id="10"/>
    <w:bookmarkStart w:id="11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Tyler Muffly, MD</w:t>
      </w:r>
      <w:r>
        <w:t xml:space="preserve"> </w:t>
      </w:r>
      <w:r>
        <w:t xml:space="preserve">Department of Obstetrics and Gynecology</w:t>
      </w:r>
      <w:r>
        <w:t xml:space="preserve"> </w:t>
      </w:r>
      <w:r>
        <w:t xml:space="preserve">Denver Health Medical Center</w:t>
      </w:r>
      <w:r>
        <w:t xml:space="preserve"> </w:t>
      </w:r>
      <w:r>
        <w:t xml:space="preserve">777 Bannock Street</w:t>
      </w:r>
      <w:r>
        <w:t xml:space="preserve"> </w:t>
      </w:r>
      <w:r>
        <w:t xml:space="preserve">Denver, CO 80204</w:t>
      </w:r>
      <w:r>
        <w:t xml:space="preserve"> </w:t>
      </w:r>
      <w:r>
        <w:t xml:space="preserve">Telephone:</w:t>
      </w:r>
      <w:r>
        <w:t xml:space="preserve"> </w:t>
      </w:r>
      <w:r>
        <w:rPr>
          <w:b/>
          <w:bCs/>
        </w:rPr>
        <w:t xml:space="preserve">[TO SUPPLY]</w:t>
      </w:r>
      <w:r>
        <w:t xml:space="preserve"> </w:t>
      </w:r>
      <w:r>
        <w:t xml:space="preserve">Email: tyler.muffly@dhha.org</w:t>
      </w:r>
    </w:p>
    <w:bookmarkEnd w:id="11"/>
    <w:bookmarkStart w:id="12" w:name="financial-disclosure"/>
    <w:p>
      <w:pPr>
        <w:pStyle w:val="Heading2"/>
      </w:pPr>
      <w:r>
        <w:t xml:space="preserve">Financial disclosure</w:t>
      </w:r>
    </w:p>
    <w:p>
      <w:pPr>
        <w:pStyle w:val="FirstParagraph"/>
      </w:pPr>
      <w:r>
        <w:rPr>
          <w:b/>
          <w:bCs/>
        </w:rPr>
        <w:t xml:space="preserve">[TO CONFIRM]</w:t>
      </w:r>
      <w:r>
        <w:t xml:space="preserve"> </w:t>
      </w:r>
      <w:r>
        <w:t xml:space="preserve">Author disclosures have not been supplied and must not be</w:t>
      </w:r>
      <w:r>
        <w:t xml:space="preserve"> </w:t>
      </w:r>
      <w:r>
        <w:t xml:space="preserve">inferred from any other manuscript. A statement is required even when there is</w:t>
      </w:r>
      <w:r>
        <w:t xml:space="preserve"> </w:t>
      </w:r>
      <w:r>
        <w:t xml:space="preserve">nothing to declare.</w:t>
      </w:r>
    </w:p>
    <w:bookmarkEnd w:id="12"/>
    <w:bookmarkStart w:id="1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</w:t>
      </w:r>
      <w:r>
        <w:t xml:space="preserve"> </w:t>
      </w:r>
      <w:r>
        <w:t xml:space="preserve">commercial, or not-for-profit sectors.</w:t>
      </w:r>
    </w:p>
    <w:bookmarkEnd w:id="13"/>
    <w:bookmarkStart w:id="14" w:name="institutional-review"/>
    <w:p>
      <w:pPr>
        <w:pStyle w:val="Heading2"/>
      </w:pPr>
      <w:r>
        <w:t xml:space="preserve">Institutional review</w:t>
      </w:r>
    </w:p>
    <w:p>
      <w:pPr>
        <w:pStyle w:val="FirstParagraph"/>
      </w:pPr>
      <w:r>
        <w:rPr>
          <w:b/>
          <w:bCs/>
        </w:rPr>
        <w:t xml:space="preserve">[TO SUPPLY]</w:t>
      </w:r>
      <w:r>
        <w:t xml:space="preserve"> </w:t>
      </w:r>
      <w:r>
        <w:t xml:space="preserve">No institutional determination for this specific</w:t>
      </w:r>
      <w:r>
        <w:t xml:space="preserve"> </w:t>
      </w:r>
      <w:r>
        <w:t xml:space="preserve">workforce-validation study is on record in the project repository. The study</w:t>
      </w:r>
      <w:r>
        <w:t xml:space="preserve"> </w:t>
      </w:r>
      <w:r>
        <w:t xml:space="preserve">analyzes aggregate national board-certification counts and a provider roster,</w:t>
      </w:r>
      <w:r>
        <w:t xml:space="preserve"> </w:t>
      </w:r>
      <w:r>
        <w:t xml:space="preserve">with no patient-level clinical data, but the applicable determination</w:t>
      </w:r>
      <w:r>
        <w:t xml:space="preserve"> </w:t>
      </w:r>
      <w:r>
        <w:t xml:space="preserve">(non-human-subjects research versus exempt research) and any COMIRB or Denver</w:t>
      </w:r>
      <w:r>
        <w:t xml:space="preserve"> </w:t>
      </w:r>
      <w:r>
        <w:t xml:space="preserve">Health reference number must come from the institution rather than be asserted</w:t>
      </w:r>
      <w:r>
        <w:t xml:space="preserve"> </w:t>
      </w:r>
      <w:r>
        <w:t xml:space="preserve">here. These are distinct determinations with distinct language.</w:t>
      </w:r>
    </w:p>
    <w:bookmarkEnd w:id="14"/>
    <w:bookmarkStart w:id="15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None documented. No prior presentation of this workforce-validation study is</w:t>
      </w:r>
      <w:r>
        <w:t xml:space="preserve"> </w:t>
      </w:r>
      <w:r>
        <w:t xml:space="preserve">recorded in the project repository.</w:t>
      </w:r>
    </w:p>
    <w:bookmarkEnd w:id="15"/>
    <w:bookmarkStart w:id="16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None.</w:t>
      </w:r>
    </w:p>
    <w:bookmarkEnd w:id="16"/>
    <w:bookmarkStart w:id="17" w:name="precis"/>
    <w:p>
      <w:pPr>
        <w:pStyle w:val="Heading2"/>
      </w:pPr>
      <w:r>
        <w:t xml:space="preserve">Precis</w:t>
      </w:r>
    </w:p>
    <w:p>
      <w:pPr>
        <w:pStyle w:val="FirstParagraph"/>
      </w:pPr>
      <w:r>
        <w:t xml:space="preserve">National urogynecology workforce projections were more sensitive to how the</w:t>
      </w:r>
      <w:r>
        <w:t xml:space="preserve"> </w:t>
      </w:r>
      <w:r>
        <w:t xml:space="preserve">workforce was counted than to assumptions about physician behavior, and</w:t>
      </w:r>
      <w:r>
        <w:t xml:space="preserve"> </w:t>
      </w:r>
      <w:r>
        <w:t xml:space="preserve">conventional validation could not detect the difference.</w:t>
      </w:r>
    </w:p>
    <w:bookmarkEnd w:id="17"/>
    <w:bookmarkStart w:id="18" w:name="key-words"/>
    <w:p>
      <w:pPr>
        <w:pStyle w:val="Heading2"/>
      </w:pPr>
      <w:r>
        <w:t xml:space="preserve">Key words</w:t>
      </w:r>
    </w:p>
    <w:p>
      <w:pPr>
        <w:pStyle w:val="FirstParagraph"/>
      </w:pPr>
      <w:r>
        <w:t xml:space="preserve">Proposed for approval, five terms:</w:t>
      </w:r>
    </w:p>
    <w:p>
      <w:pPr>
        <w:pStyle w:val="Compact"/>
        <w:numPr>
          <w:ilvl w:val="0"/>
          <w:numId w:val="1001"/>
        </w:numPr>
      </w:pPr>
      <w:r>
        <w:t xml:space="preserve">health workforce</w:t>
      </w:r>
    </w:p>
    <w:p>
      <w:pPr>
        <w:pStyle w:val="Compact"/>
        <w:numPr>
          <w:ilvl w:val="0"/>
          <w:numId w:val="1001"/>
        </w:numPr>
      </w:pPr>
      <w:r>
        <w:t xml:space="preserve">urogynecology</w:t>
      </w:r>
    </w:p>
    <w:p>
      <w:pPr>
        <w:pStyle w:val="Compact"/>
        <w:numPr>
          <w:ilvl w:val="0"/>
          <w:numId w:val="1001"/>
        </w:numPr>
      </w:pPr>
      <w:r>
        <w:t xml:space="preserve">forecasting</w:t>
      </w:r>
    </w:p>
    <w:p>
      <w:pPr>
        <w:pStyle w:val="Compact"/>
        <w:numPr>
          <w:ilvl w:val="0"/>
          <w:numId w:val="1001"/>
        </w:numPr>
      </w:pPr>
      <w:r>
        <w:t xml:space="preserve">validation studies</w:t>
      </w:r>
    </w:p>
    <w:p>
      <w:pPr>
        <w:pStyle w:val="Compact"/>
        <w:numPr>
          <w:ilvl w:val="0"/>
          <w:numId w:val="1001"/>
        </w:numPr>
      </w:pPr>
      <w:r>
        <w:t xml:space="preserve">microsimulation</w:t>
      </w:r>
    </w:p>
    <w:bookmarkEnd w:id="18"/>
    <w:bookmarkStart w:id="19" w:name="word-counts"/>
    <w:p>
      <w:pPr>
        <w:pStyle w:val="Heading2"/>
      </w:pPr>
      <w:r>
        <w:t xml:space="preserve">Word 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text (Introduction through Limitations, tables and references excluded)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Supplemental digital content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file, 11 appendices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2026-08-09T04:41:49Z</dcterms:created>
  <dcterms:modified xsi:type="dcterms:W3CDTF">2026-08-09T04:41:49Z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