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c842d22f49376d153ffce45b5ef0bed20940fa"/>
    <w:p>
      <w:pPr>
        <w:pStyle w:val="Heading1"/>
      </w:pPr>
      <w:r>
        <w:t xml:space="preserve">Supplement: Historical Validation of National Urogynecology Workforce Projections</w:t>
      </w:r>
    </w:p>
    <w:p>
      <w:pPr>
        <w:pStyle w:val="FirstParagraph"/>
      </w:pPr>
      <w:r>
        <w:t xml:space="preserve">Supporting material for the manuscript in</w:t>
      </w:r>
      <w:r>
        <w:t xml:space="preserve"> </w:t>
      </w:r>
      <w:r>
        <w:rPr>
          <w:rStyle w:val="VerbatimChar"/>
        </w:rPr>
        <w:t xml:space="preserve">VALIDATION_PAPER.md</w:t>
      </w:r>
      <w:r>
        <w:t xml:space="preserve">. Every figure</w:t>
      </w:r>
      <w:r>
        <w:t xml:space="preserve"> </w:t>
      </w:r>
      <w:r>
        <w:t xml:space="preserve">here was regenerated from current code; the three starred artifacts in Appendix</w:t>
      </w:r>
      <w:r>
        <w:t xml:space="preserve"> </w:t>
      </w:r>
      <w:r>
        <w:t xml:space="preserve">S6 were re-run and compared byte-for-byte against their committed versions.</w:t>
      </w:r>
    </w:p>
    <w:p>
      <w:r>
        <w:pict>
          <v:rect style="width:0;height:1.5pt" o:hralign="center" o:hrstd="t" o:hr="t"/>
        </w:pict>
      </w:r>
    </w:p>
    <w:bookmarkStart w:id="9" w:name="X54dd07e64c0ae3232b66d59d8405d0c540db045"/>
    <w:p>
      <w:pPr>
        <w:pStyle w:val="Heading2"/>
      </w:pPr>
      <w:r>
        <w:t xml:space="preserve">S1. Validation designs and what each establishes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Targets</w:t>
            </w:r>
          </w:p>
        </w:tc>
        <w:tc>
          <w:tcPr/>
          <w:p>
            <w:pPr>
              <w:pStyle w:val="Compact"/>
            </w:pPr>
            <w:r>
              <w:t xml:space="preserve">Establishes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Ten-arm back-test, cutoff 2020</w:t>
            </w:r>
          </w:p>
        </w:tc>
        <w:tc>
          <w:tcPr/>
          <w:p>
            <w:pPr>
              <w:pStyle w:val="Compact"/>
            </w:pPr>
            <w:r>
              <w:t xml:space="preserve">one (2023)</w:t>
            </w:r>
          </w:p>
        </w:tc>
        <w:tc>
          <w:tcPr/>
          <w:p>
            <w:pPr>
              <w:pStyle w:val="Compact"/>
            </w:pPr>
            <w:r>
              <w:t xml:space="preserve">point difference, direction, interval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origin, origins 2017 to 2020</w:t>
            </w:r>
          </w:p>
        </w:tc>
        <w:tc>
          <w:tcPr/>
          <w:p>
            <w:pPr>
              <w:pStyle w:val="Compact"/>
            </w:pPr>
            <w:r>
              <w:t xml:space="preserve">four</w:t>
            </w:r>
          </w:p>
        </w:tc>
        <w:tc>
          <w:tcPr/>
          <w:p>
            <w:pPr>
              <w:pStyle w:val="Compact"/>
            </w:pPr>
            <w:r>
              <w:t xml:space="preserve">interval calibration</w:t>
            </w:r>
          </w:p>
        </w:tc>
      </w:tr>
    </w:tbl>
    <w:p>
      <w:pPr>
        <w:pStyle w:val="BodyText"/>
      </w:pPr>
      <w:r>
        <w:t xml:space="preserve">The ten arms are alternative specifications, not independent forecast occasions.</w:t>
      </w:r>
      <w:r>
        <w:t xml:space="preserve"> </w:t>
      </w:r>
      <w:r>
        <w:t xml:space="preserve">Two of ten produced an interval containing the observed value: a containment</w:t>
      </w:r>
      <w:r>
        <w:t xml:space="preserve"> </w:t>
      </w:r>
      <w:r>
        <w:t xml:space="preserve">count, not a 20% coverage rate. Coverage is a repeated-sampling property and</w:t>
      </w:r>
      <w:r>
        <w:t xml:space="preserve"> </w:t>
      </w:r>
      <w:r>
        <w:t xml:space="preserve">there is one realized value in the sample. Restricting to the five</w:t>
      </w:r>
      <w:r>
        <w:t xml:space="preserve"> </w:t>
      </w:r>
      <w:r>
        <w:t xml:space="preserve">definition-matched arms and reporting 2 of 5 carries the identical defect,</w:t>
      </w:r>
      <w:r>
        <w:t xml:space="preserve"> </w:t>
      </w:r>
      <w:r>
        <w:t xml:space="preserve">because the denominator is not the problem.</w:t>
      </w:r>
    </w:p>
    <w:p>
      <w:pPr>
        <w:pStyle w:val="BodyText"/>
      </w:pPr>
      <w:r>
        <w:t xml:space="preserve">This distinction is enforced in code.</w:t>
      </w:r>
      <w:r>
        <w:t xml:space="preserve"> </w:t>
      </w:r>
      <w:r>
        <w:rPr>
          <w:rStyle w:val="VerbatimChar"/>
        </w:rPr>
        <w:t xml:space="preserve">backtest_status()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coverage_is_estimable = FALSE</w:t>
      </w:r>
      <w:r>
        <w:t xml:space="preserve"> </w:t>
      </w:r>
      <w:r>
        <w:t xml:space="preserve">for the single-target design, and</w:t>
      </w:r>
      <w:r>
        <w:t xml:space="preserve"> </w:t>
      </w:r>
      <w:r>
        <w:rPr>
          <w:rStyle w:val="VerbatimChar"/>
        </w:rPr>
        <w:t xml:space="preserve">assert_no_coverage_rate_claim()</w:t>
      </w:r>
      <w:r>
        <w:t xml:space="preserve"> </w:t>
      </w:r>
      <w:r>
        <w:t xml:space="preserve">refuses coverage-rate phrasing in</w:t>
      </w:r>
      <w:r>
        <w:t xml:space="preserve"> </w:t>
      </w:r>
      <w:r>
        <w:t xml:space="preserve">manuscript-facing text while permitting negated statements such as "coverage is</w:t>
      </w:r>
      <w:r>
        <w:t xml:space="preserve"> </w:t>
      </w:r>
      <w:r>
        <w:t xml:space="preserve">not estimable from a single target".</w:t>
      </w:r>
      <w:r>
        <w:t xml:space="preserve"> </w:t>
      </w:r>
      <w:r>
        <w:rPr>
          <w:rStyle w:val="VerbatimChar"/>
        </w:rPr>
        <w:t xml:space="preserve">interval_label()</w:t>
      </w:r>
      <w:r>
        <w:t xml:space="preserve"> </w:t>
      </w:r>
      <w:r>
        <w:t xml:space="preserve">likewise refuses</w:t>
      </w:r>
      <w:r>
        <w:t xml:space="preserve"> </w:t>
      </w:r>
      <w:r>
        <w:t xml:space="preserve">forecast-interval language while the back-test fails, reporting Monte Carlo</w:t>
      </w:r>
      <w:r>
        <w:t xml:space="preserve"> </w:t>
      </w:r>
      <w:r>
        <w:t xml:space="preserve">ranges instead.</w:t>
      </w:r>
    </w:p>
    <w:bookmarkEnd w:id="9"/>
    <w:bookmarkStart w:id="10" w:name="s2-all-ten-configurations"/>
    <w:p>
      <w:pPr>
        <w:pStyle w:val="Heading2"/>
      </w:pPr>
      <w:r>
        <w:t xml:space="preserve">S2. All ten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Entrants/yr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Attrition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difference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−12.63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−17.61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NRMP-derived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NRMP-derived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</w:t>
            </w:r>
          </w:p>
        </w:tc>
      </w:tr>
    </w:tbl>
    <w:p>
      <w:pPr>
        <w:pStyle w:val="BodyText"/>
      </w:pPr>
      <w:r>
        <w:t xml:space="preserve">Both arms containing the observation are definition-matched. Every paired arm</w:t>
      </w:r>
      <w:r>
        <w:t xml:space="preserve"> </w:t>
      </w:r>
      <w:r>
        <w:t xml:space="preserve">improves by approximately six percentage points when the simulated quantity is</w:t>
      </w:r>
      <w:r>
        <w:t xml:space="preserve"> </w:t>
      </w:r>
      <w:r>
        <w:t xml:space="preserve">made comparable to what the target counts.</w:t>
      </w:r>
    </w:p>
    <w:p>
      <w:pPr>
        <w:pStyle w:val="BodyText"/>
      </w:pPr>
      <w:r>
        <w:t xml:space="preserve">"Definition-matched" means attrition was suspended</w:t>
      </w:r>
      <w:r>
        <w:t xml:space="preserve"> </w:t>
      </w:r>
      <w:r>
        <w:rPr>
          <w:b/>
          <w:bCs/>
        </w:rPr>
        <w:t xml:space="preserve">for the comparison only</w:t>
      </w:r>
      <w:r>
        <w:t xml:space="preserve">.</w:t>
      </w:r>
      <w:r>
        <w:t xml:space="preserve"> </w:t>
      </w:r>
      <w:r>
        <w:t xml:space="preserve">It does not mean the projection is better without retirement. Retirement is</w:t>
      </w:r>
      <w:r>
        <w:t xml:space="preserve"> </w:t>
      </w:r>
      <w:r>
        <w:t xml:space="preserve">retained in the production projection, which uses empirical URPS hazards,</w:t>
      </w:r>
      <w:r>
        <w:t xml:space="preserve"> </w:t>
      </w:r>
      <w:r>
        <w:t xml:space="preserve">because practicing capacity rather than cumulative certification is the quantity</w:t>
      </w:r>
      <w:r>
        <w:t xml:space="preserve"> </w:t>
      </w:r>
      <w:r>
        <w:t xml:space="preserve">workforce planning requires. These arms isolate how much of the discrepancy the</w:t>
      </w:r>
      <w:r>
        <w:t xml:space="preserve"> </w:t>
      </w:r>
      <w:r>
        <w:t xml:space="preserve">definitional gap explains; they are not a recommended configuration.</w:t>
      </w:r>
    </w:p>
    <w:bookmarkEnd w:id="10"/>
    <w:bookmarkStart w:id="11" w:name="s3-rolling-origin-detail"/>
    <w:p>
      <w:pPr>
        <w:pStyle w:val="Heading2"/>
      </w:pPr>
      <w:r>
        <w:t xml:space="preserve">S3. Rolling-origin detail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 % difference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3,184.8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1,172.2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1,169.2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818.1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687.1</w:t>
            </w:r>
          </w:p>
        </w:tc>
      </w:tr>
    </w:tbl>
    <w:p>
      <w:pPr>
        <w:pStyle w:val="BodyText"/>
      </w:pPr>
      <w:r>
        <w:t xml:space="preserve">Widths fall monotonically as the usable training record lengthens. Accumulating</w:t>
      </w:r>
      <w:r>
        <w:t xml:space="preserve"> </w:t>
      </w:r>
      <w:r>
        <w:t xml:space="preserve">history is a plausible explanation; this is an observed pattern, not a</w:t>
      </w:r>
      <w:r>
        <w:t xml:space="preserve"> </w:t>
      </w:r>
      <w:r>
        <w:t xml:space="preserve">mathematical property.</w:t>
      </w:r>
    </w:p>
    <w:p>
      <w:pPr>
        <w:pStyle w:val="BodyText"/>
      </w:pPr>
      <w:r>
        <w:t xml:space="preserve">The 2017 origin is limited twice over. Only two prior errors are available, so</w:t>
      </w:r>
      <w:r>
        <w:t xml:space="preserve"> </w:t>
      </w:r>
      <w:r>
        <w:rPr>
          <w:rStyle w:val="VerbatimChar"/>
        </w:rPr>
        <w:t xml:space="preserve">df =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t(0.975) = 12.71</w:t>
      </w:r>
      <w:r>
        <w:t xml:space="preserve">, and both training windows fall in the</w:t>
      </w:r>
      <w:r>
        <w:t xml:space="preserve"> </w:t>
      </w:r>
      <w:r>
        <w:t xml:space="preserve">pandemic backlog regime. The resulting lower bound is −594.5, deliberately not</w:t>
      </w:r>
      <w:r>
        <w:t xml:space="preserve"> </w:t>
      </w:r>
      <w:r>
        <w:t xml:space="preserve">truncated at zero, because truncating it would conceal the mechanism.</w:t>
      </w:r>
    </w:p>
    <w:bookmarkEnd w:id="11"/>
    <w:bookmarkStart w:id="12" w:name="s4-leakage-sensitivity"/>
    <w:p>
      <w:pPr>
        <w:pStyle w:val="Heading2"/>
      </w:pPr>
      <w:r>
        <w:t xml:space="preserve">S4. Leakage sensitivity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Eligible origins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abs 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Leave-one-out (leaky)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origin (honest)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1,465.6</w:t>
            </w:r>
          </w:p>
        </w:tc>
      </w:tr>
    </w:tbl>
    <w:p>
      <w:pPr>
        <w:pStyle w:val="BodyText"/>
      </w:pPr>
      <w:r>
        <w:t xml:space="preserve">Leave-one-out admits training windows whose outcomes were not observable at the</w:t>
      </w:r>
      <w:r>
        <w:t xml:space="preserve"> </w:t>
      </w:r>
      <w:r>
        <w:t xml:space="preserve">origin. For the 2013 origin, all seven training points lie in its future.</w:t>
      </w:r>
      <w:r>
        <w:t xml:space="preserve"> </w:t>
      </w:r>
      <w:r>
        <w:t xml:space="preserve">Neither figure is a property of the forecasting method; the difference is a</w:t>
      </w:r>
      <w:r>
        <w:t xml:space="preserve"> </w:t>
      </w:r>
      <w:r>
        <w:t xml:space="preserve">property of the validation design.</w:t>
      </w:r>
    </w:p>
    <w:bookmarkEnd w:id="12"/>
    <w:bookmarkStart w:id="13" w:name="Xa63af680143d8db2f87936c38252dd4c0c5c2ef"/>
    <w:p>
      <w:pPr>
        <w:pStyle w:val="Heading2"/>
      </w:pPr>
      <w:r>
        <w:t xml:space="preserve">S5. Window dependence and entrant definition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Cutoff to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Certification 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NRMP predictor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 to 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+17.63%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 to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 to 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 to 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 to 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−2.53%</w:t>
            </w:r>
          </w:p>
        </w:tc>
      </w:tr>
    </w:tbl>
    <w:p>
      <w:pPr>
        <w:pStyle w:val="BodyText"/>
      </w:pPr>
      <w:r>
        <w:t xml:space="preserve">The model moves from substantial over-prediction to under-prediction purely as a</w:t>
      </w:r>
      <w:r>
        <w:t xml:space="preserve"> </w:t>
      </w:r>
      <w:r>
        <w:t xml:space="preserve">function of the historical window chosen. The NRMP-based predictor is more</w:t>
      </w:r>
      <w:r>
        <w:t xml:space="preserve"> </w:t>
      </w:r>
      <w:r>
        <w:t xml:space="preserve">accurate throughout despite the certification-based one drawing on the same</w:t>
      </w:r>
      <w:r>
        <w:t xml:space="preserve"> </w:t>
      </w:r>
      <w:r>
        <w:t xml:space="preserve">series the target is taken from, a second instance of definitional choice</w:t>
      </w:r>
      <w:r>
        <w:t xml:space="preserve"> </w:t>
      </w:r>
      <w:r>
        <w:t xml:space="preserve">driving apparent performance.</w:t>
      </w:r>
    </w:p>
    <w:bookmarkEnd w:id="13"/>
    <w:bookmarkStart w:id="14" w:name="s6-entrant-model-ablation"/>
    <w:p>
      <w:pPr>
        <w:pStyle w:val="Heading2"/>
      </w:pPr>
      <w:r>
        <w:t xml:space="preserve">S6. Entrant-model ablation</w:t>
      </w:r>
    </w:p>
    <w:p>
      <w:pPr>
        <w:pStyle w:val="FirstParagraph"/>
      </w:pPr>
      <w:r>
        <w:t xml:space="preserve">Each row adds one mechanism to the row above.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 frozen: process plus NRMP sampling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plus extended NRMP series, 2015 to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plus fellowship non-completion (ACGME)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plus appointment-to-certification 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plus matched-to-certified conversion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plus baseline-stock completeness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</w:tbl>
    <w:p>
      <w:pPr>
        <w:pStyle w:val="BodyText"/>
      </w:pPr>
      <w:r>
        <w:t xml:space="preserve">No specification contains the observation. Point accuracy degrades monotonically</w:t>
      </w:r>
      <w:r>
        <w:t xml:space="preserve"> </w:t>
      </w:r>
      <w:r>
        <w:t xml:space="preserve">as realism is added, and S0's width of 8 providers on a count of 1,273 is</w:t>
      </w:r>
      <w:r>
        <w:t xml:space="preserve"> </w:t>
      </w:r>
      <w:r>
        <w:t xml:space="preserve">overconfidence rather than precision.</w:t>
      </w:r>
    </w:p>
    <w:bookmarkEnd w:id="14"/>
    <w:bookmarkStart w:id="15" w:name="s7-provenance"/>
    <w:p>
      <w:pPr>
        <w:pStyle w:val="Heading2"/>
      </w:pPr>
      <w:r>
        <w:t xml:space="preserve">S7. Provenance</w:t>
      </w:r>
    </w:p>
    <w:p>
      <w:pPr>
        <w:pStyle w:val="FirstParagraph"/>
      </w:pPr>
      <w:r>
        <w:t xml:space="preserve">Columns reported as "% difference" correspond to the</w:t>
      </w:r>
      <w:r>
        <w:t xml:space="preserve"> </w:t>
      </w:r>
      <w:r>
        <w:rPr>
          <w:rStyle w:val="VerbatimChar"/>
        </w:rPr>
        <w:t xml:space="preserve">percent_error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abs_pct_error</w:t>
      </w:r>
      <w:r>
        <w:t xml:space="preserve"> </w:t>
      </w:r>
      <w:r>
        <w:t xml:space="preserve">fields in the artifacts; the label differs because the</w:t>
      </w:r>
      <w:r>
        <w:t xml:space="preserve"> </w:t>
      </w:r>
      <w:r>
        <w:t xml:space="preserve">certification series is an imperfect benchmark rather than a criterion standard.</w:t>
      </w:r>
      <w:r>
        <w:t xml:space="preserve"> </w:t>
      </w:r>
      <w:r>
        <w:t xml:space="preserve">Starred artifacts were re-run and compared byte-for-byte against their committed</w:t>
      </w:r>
      <w:r>
        <w:t xml:space="preserve"> </w:t>
      </w:r>
      <w:r>
        <w:t xml:space="preserve">versions.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1,306; ten arms; per-arm difference, containment, 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artifacts/diagnostics/backtest_arm_table.csv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68% / 32% decomposition; +28.7 and +13.7 per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artifacts/diagnostics/entrant_regime_bias_decomposition.csv</w:t>
            </w:r>
            <w:r>
              <w:t xml:space="preserve"> 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 score, width, MAPE by 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artifacts/diagnostics/interval_honesty_scorecard.csv</w:t>
            </w:r>
            <w:r>
              <w:t xml:space="preserve"> 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leaky versus honest validation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artifacts/diagnostics/validation_comparison_summary.csv</w:t>
            </w:r>
            <w:r>
              <w:t xml:space="preserve"> 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rolling-origin per-origin widths and bounds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artifacts/diagnostics/validation_rolling_origin.csv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leave-one-out origins and future-training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artifacts/diagnostics/validation_loo.csv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multi-window direction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artifacts/diagnostics/backtest_multi_window.csv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entrant-model ablation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artifacts/diagnostics/arm5_ablation_table.csv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artifacts/figures/interval_calibration.{png,pdf}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containment versus coverage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R/validation-coverage_language.R</w:t>
            </w:r>
          </w:p>
        </w:tc>
      </w:tr>
    </w:tbl>
    <w:p>
      <w:pPr>
        <w:pStyle w:val="BodyText"/>
      </w:pPr>
      <w:r>
        <w:t xml:space="preserve">Run configuration: 1,000 Monte Carlo iterations per arm, cutoff 2020, target</w:t>
      </w:r>
      <w:r>
        <w:t xml:space="preserve"> </w:t>
      </w:r>
      <w:r>
        <w:t xml:space="preserve">2023, URPS contract v3.0.0, certifications through 2020 only.</w:t>
      </w:r>
    </w:p>
    <w:bookmarkEnd w:id="15"/>
    <w:bookmarkStart w:id="16" w:name="s8-what-the-evidence-does-not-support"/>
    <w:p>
      <w:pPr>
        <w:pStyle w:val="Heading2"/>
      </w:pPr>
      <w:r>
        <w:t xml:space="preserve">S8. What the evidence does not support</w:t>
      </w:r>
    </w:p>
    <w:p>
      <w:pPr>
        <w:pStyle w:val="Compact"/>
        <w:numPr>
          <w:ilvl w:val="0"/>
          <w:numId w:val="1001"/>
        </w:numPr>
      </w:pPr>
      <w:r>
        <w:t xml:space="preserve">Not a validated forecast. No configuration is offered as calibrated.</w:t>
      </w:r>
    </w:p>
    <w:p>
      <w:pPr>
        <w:pStyle w:val="Compact"/>
        <w:numPr>
          <w:ilvl w:val="0"/>
          <w:numId w:val="1001"/>
        </w:numPr>
      </w:pPr>
      <w:r>
        <w:t xml:space="preserve">Not a claim that behavioral parameters are well specified. They account for</w:t>
      </w:r>
      <w:r>
        <w:t xml:space="preserve"> </w:t>
      </w:r>
      <w:r>
        <w:t xml:space="preserve">essentially none of this discrepancy, which is not evidence they are right.</w:t>
      </w:r>
    </w:p>
    <w:p>
      <w:pPr>
        <w:pStyle w:val="Compact"/>
        <w:numPr>
          <w:ilvl w:val="0"/>
          <w:numId w:val="1001"/>
        </w:numPr>
      </w:pPr>
      <w:r>
        <w:t xml:space="preserve">Not the entrant-regime correction as a validated result. It was identified</w:t>
      </w:r>
      <w:r>
        <w:t xml:space="preserve"> </w:t>
      </w:r>
      <w:r>
        <w:t xml:space="preserve">from the errors it would be scored against, which is model selection on the</w:t>
      </w:r>
      <w:r>
        <w:t xml:space="preserve"> </w:t>
      </w:r>
      <w:r>
        <w:t xml:space="preserve">test set, and is preregistered with a frozen functional form for prospective</w:t>
      </w:r>
      <w:r>
        <w:t xml:space="preserve"> </w:t>
      </w:r>
      <w:r>
        <w:t xml:space="preserve">rolling-origin evaluation.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2026-08-09T01:47:24Z</dcterms:created>
  <dcterms:modified xsi:type="dcterms:W3CDTF">2026-08-09T01:47:24Z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