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OB/GYN-pathway URPS was the largest group (55%), with urology-pathway URPS a further 8.7% (together 63.7%), followed by non-URPS urology (14.5%) and other non-URPS OB/GYN (13%). Raw services fell -27.7%, but in a denominator-offset model the observable utilization rate declined -1.9% per year (about -17.3% over the decade; p = 0.119), a meaningful but not statistically robust decline. Adjusted volume was higher for OB/GYN-pathway URPS than for the other groups. Within-year concentration was low and stable (annual Gini 0.22–0.28). In a quasibinomial model the OB/GYN-pathway URPS share rose 1.44 percentage points/year (48.3% to 62.6%; p &lt; 0.001); the urology pathway was roughly stable.</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Organizational NPIs (NPPES entity type 2, flagged in the Public Use File by a rendering-provider entity code of</w:t>
      </w:r>
      <w:r>
        <w:t xml:space="preserve"> </w:t>
      </w:r>
      <w:r>
        <w:t xml:space="preserve">“O”</w:t>
      </w:r>
      <w:r>
        <w:t xml:space="preserve">: ambulatory surgical centers, hospitals, laboratories, and groups; 123 NPIs) were excluded because they identify a billing organization rather than an individual clinician and cannot be given a physician specialty. The remaining 200 individual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616,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16.5% to 13.9% (+-0.32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11%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0.51 (95% CI 0.48-0.53), urology Gini 0.52 (95% CI 0.49-0.55), and other non-URPS OB/GYN Gini 0.56 (95% CI 0.52-0.60) (Table 2). Because overlapping individual confidence intervals are not a test of between-group difference, we bootstrapped the pairwise differences: URPS and urology did not differ (Gini difference -0.016 (95% CI -0.050 to +0.021)), whereas URPS was modestly less concentrated than other OB/GYN (-0.056 (95% CI -0.098 to -0.006), confidence interval excluding zero). The size-adjusted normalized HHI was near zero for every group (URPS 0.002, urology 0.004, other OB/GYN 0.006 on a 0–1 scale). The effective number of providers, expressed as a fraction of the actual provider count, showed a gradient (URPS 305 of 616, 50%;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0.51 toward the mid-0.6 range, so the sensitivity supports only the narrower claim that observed services were not dominated by a handful of surgeons, not a precise estimate of the full-market distribution. URPS had the highest median annual volume and upper quartile (median 19; p75 29).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OB/GYN-pathway URPS was the largest single group (55%) and had the highest adjusted per-physician volume, and the two URPS pathways together performed the majority (63.7%) of observable services. Second, the OB/GYN-pathway URPS share increased over the decade, coinciding with more URPS surgeons becoming observable and fewer non-URPS surgeons remaining observable, while the urology-pathway URPS share was roughly stable.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The two URPS pathways together performed approximately three-fifths of observable fee-for-service Medicare slings (63.7%; OB/GYN pathway 55%, urology pathway 8.7%),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OB/GYN-pathway URPS was the largest single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16.5% → 13.9%</w:t>
            </w:r>
          </w:p>
        </w:tc>
        <w:tc>
          <w:tcPr/>
          <w:p>
            <w:pPr>
              <w:pStyle w:val="Compact"/>
            </w:pPr>
            <w:r>
              <w:t xml:space="preserve">-0.32</w:t>
            </w:r>
          </w:p>
        </w:tc>
        <w:tc>
          <w:tcPr/>
          <w:p>
            <w:pPr>
              <w:pStyle w:val="Compact"/>
            </w:pPr>
            <w:r>
              <w:t xml:space="preserve">0.019</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4"/>
        <w:gridCol w:w="1202"/>
        <w:gridCol w:w="848"/>
        <w:gridCol w:w="990"/>
        <w:gridCol w:w="1272"/>
        <w:gridCol w:w="495"/>
        <w:gridCol w:w="565"/>
        <w:gridCol w:w="636"/>
        <w:gridCol w:w="636"/>
        <w:gridCol w:w="848"/>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779</w:t>
            </w:r>
          </w:p>
        </w:tc>
        <w:tc>
          <w:tcPr/>
          <w:p>
            <w:pPr>
              <w:pStyle w:val="Compact"/>
            </w:pPr>
            <w:r>
              <w:t xml:space="preserve">15872</w:t>
            </w:r>
          </w:p>
        </w:tc>
        <w:tc>
          <w:tcPr/>
          <w:p>
            <w:pPr>
              <w:pStyle w:val="Compact"/>
            </w:pPr>
            <w:r>
              <w:t xml:space="preserve">16 (13–23)</w:t>
            </w:r>
          </w:p>
        </w:tc>
        <w:tc>
          <w:tcPr/>
          <w:p>
            <w:pPr>
              <w:pStyle w:val="Compact"/>
            </w:pPr>
            <w:r>
              <w:t xml:space="preserve">0.275</w:t>
            </w:r>
          </w:p>
        </w:tc>
        <w:tc>
          <w:tcPr/>
          <w:p>
            <w:pPr>
              <w:pStyle w:val="Compact"/>
            </w:pPr>
            <w:r>
              <w:t xml:space="preserve">17.3</w:t>
            </w:r>
          </w:p>
        </w:tc>
        <w:tc>
          <w:tcPr/>
          <w:p>
            <w:pPr>
              <w:pStyle w:val="Compact"/>
            </w:pPr>
            <w:r>
              <w:t xml:space="preserve">24.4%</w:t>
            </w:r>
          </w:p>
        </w:tc>
        <w:tc>
          <w:tcPr/>
          <w:p>
            <w:pPr>
              <w:pStyle w:val="Compact"/>
            </w:pPr>
            <w:r>
              <w:t xml:space="preserve">39.3%</w:t>
            </w:r>
          </w:p>
        </w:tc>
        <w:tc>
          <w:tcPr/>
          <w:p>
            <w:pPr>
              <w:pStyle w:val="Compact"/>
            </w:pPr>
            <w:r>
              <w:t xml:space="preserve">31.5%</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Other/uncertain</w:t>
            </w:r>
          </w:p>
        </w:tc>
        <w:tc>
          <w:tcPr/>
          <w:p>
            <w:pPr>
              <w:pStyle w:val="Compact"/>
            </w:pPr>
            <w:r>
              <w:t xml:space="preserve">38</w:t>
            </w:r>
          </w:p>
        </w:tc>
        <w:tc>
          <w:tcPr/>
          <w:p>
            <w:pPr>
              <w:pStyle w:val="Compact"/>
            </w:pPr>
            <w:r>
              <w:t xml:space="preserve">945</w:t>
            </w:r>
          </w:p>
        </w:tc>
        <w:tc>
          <w:tcPr/>
          <w:p>
            <w:pPr>
              <w:pStyle w:val="Compact"/>
            </w:pPr>
            <w:r>
              <w:t xml:space="preserve">15 (12–35)</w:t>
            </w:r>
          </w:p>
        </w:tc>
        <w:tc>
          <w:tcPr/>
          <w:p>
            <w:pPr>
              <w:pStyle w:val="Compact"/>
            </w:pPr>
            <w:r>
              <w:t xml:space="preserve">0.363</w:t>
            </w:r>
          </w:p>
        </w:tc>
        <w:tc>
          <w:tcPr/>
          <w:p>
            <w:pPr>
              <w:pStyle w:val="Compact"/>
            </w:pPr>
            <w:r>
              <w:t xml:space="preserve">408.8</w:t>
            </w:r>
          </w:p>
        </w:tc>
        <w:tc>
          <w:tcPr/>
          <w:p>
            <w:pPr>
              <w:pStyle w:val="Compact"/>
            </w:pPr>
            <w:r>
              <w:t xml:space="preserve">28.5%</w:t>
            </w:r>
          </w:p>
        </w:tc>
        <w:tc>
          <w:tcPr/>
          <w:p>
            <w:pPr>
              <w:pStyle w:val="Compact"/>
            </w:pPr>
            <w:r>
              <w:t xml:space="preserve">47.4%</w:t>
            </w:r>
          </w:p>
        </w:tc>
        <w:tc>
          <w:tcPr/>
          <w:p>
            <w:pPr>
              <w:pStyle w:val="Compact"/>
            </w:pPr>
            <w:r>
              <w:t xml:space="preserve">25.4%</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656</w:t>
            </w:r>
          </w:p>
        </w:tc>
        <w:tc>
          <w:tcPr/>
          <w:p>
            <w:pPr>
              <w:pStyle w:val="Compact"/>
            </w:pPr>
            <w:r>
              <w:t xml:space="preserve">13725</w:t>
            </w:r>
          </w:p>
        </w:tc>
        <w:tc>
          <w:tcPr/>
          <w:p>
            <w:pPr>
              <w:pStyle w:val="Compact"/>
            </w:pPr>
            <w:r>
              <w:t xml:space="preserve">17 (13–24)</w:t>
            </w:r>
          </w:p>
        </w:tc>
        <w:tc>
          <w:tcPr/>
          <w:p>
            <w:pPr>
              <w:pStyle w:val="Compact"/>
            </w:pPr>
            <w:r>
              <w:t xml:space="preserve">0.269</w:t>
            </w:r>
          </w:p>
        </w:tc>
        <w:tc>
          <w:tcPr/>
          <w:p>
            <w:pPr>
              <w:pStyle w:val="Compact"/>
            </w:pPr>
            <w:r>
              <w:t xml:space="preserve">19.9</w:t>
            </w:r>
          </w:p>
        </w:tc>
        <w:tc>
          <w:tcPr/>
          <w:p>
            <w:pPr>
              <w:pStyle w:val="Compact"/>
            </w:pPr>
            <w:r>
              <w:t xml:space="preserve">23.2%</w:t>
            </w:r>
          </w:p>
        </w:tc>
        <w:tc>
          <w:tcPr/>
          <w:p>
            <w:pPr>
              <w:pStyle w:val="Compact"/>
            </w:pPr>
            <w:r>
              <w:t xml:space="preserve">38.5%</w:t>
            </w:r>
          </w:p>
        </w:tc>
        <w:tc>
          <w:tcPr/>
          <w:p>
            <w:pPr>
              <w:pStyle w:val="Compact"/>
            </w:pPr>
            <w:r>
              <w:t xml:space="preserve">31.6%</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Other/uncertain</w:t>
            </w:r>
          </w:p>
        </w:tc>
        <w:tc>
          <w:tcPr/>
          <w:p>
            <w:pPr>
              <w:pStyle w:val="Compact"/>
            </w:pPr>
            <w:r>
              <w:t xml:space="preserve">31</w:t>
            </w:r>
          </w:p>
        </w:tc>
        <w:tc>
          <w:tcPr/>
          <w:p>
            <w:pPr>
              <w:pStyle w:val="Compact"/>
            </w:pPr>
            <w:r>
              <w:t xml:space="preserve">762</w:t>
            </w:r>
          </w:p>
        </w:tc>
        <w:tc>
          <w:tcPr/>
          <w:p>
            <w:pPr>
              <w:pStyle w:val="Compact"/>
            </w:pPr>
            <w:r>
              <w:t xml:space="preserve">19 (12–32)</w:t>
            </w:r>
          </w:p>
        </w:tc>
        <w:tc>
          <w:tcPr/>
          <w:p>
            <w:pPr>
              <w:pStyle w:val="Compact"/>
            </w:pPr>
            <w:r>
              <w:t xml:space="preserve">0.341</w:t>
            </w:r>
          </w:p>
        </w:tc>
        <w:tc>
          <w:tcPr/>
          <w:p>
            <w:pPr>
              <w:pStyle w:val="Compact"/>
            </w:pPr>
            <w:r>
              <w:t xml:space="preserve">479.1</w:t>
            </w:r>
          </w:p>
        </w:tc>
        <w:tc>
          <w:tcPr/>
          <w:p>
            <w:pPr>
              <w:pStyle w:val="Compact"/>
            </w:pPr>
            <w:r>
              <w:t xml:space="preserve">30.7%</w:t>
            </w:r>
          </w:p>
        </w:tc>
        <w:tc>
          <w:tcPr/>
          <w:p>
            <w:pPr>
              <w:pStyle w:val="Compact"/>
            </w:pPr>
            <w:r>
              <w:t xml:space="preserve">45.9%</w:t>
            </w:r>
          </w:p>
        </w:tc>
        <w:tc>
          <w:tcPr/>
          <w:p>
            <w:pPr>
              <w:pStyle w:val="Compact"/>
            </w:pPr>
            <w:r>
              <w:t xml:space="preserve">24.4%</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627</w:t>
            </w:r>
          </w:p>
        </w:tc>
        <w:tc>
          <w:tcPr/>
          <w:p>
            <w:pPr>
              <w:pStyle w:val="Compact"/>
            </w:pPr>
            <w:r>
              <w:t xml:space="preserve">12846</w:t>
            </w:r>
          </w:p>
        </w:tc>
        <w:tc>
          <w:tcPr/>
          <w:p>
            <w:pPr>
              <w:pStyle w:val="Compact"/>
            </w:pPr>
            <w:r>
              <w:t xml:space="preserve">16 (13–24)</w:t>
            </w:r>
          </w:p>
        </w:tc>
        <w:tc>
          <w:tcPr/>
          <w:p>
            <w:pPr>
              <w:pStyle w:val="Compact"/>
            </w:pPr>
            <w:r>
              <w:t xml:space="preserve">0.269</w:t>
            </w:r>
          </w:p>
        </w:tc>
        <w:tc>
          <w:tcPr/>
          <w:p>
            <w:pPr>
              <w:pStyle w:val="Compact"/>
            </w:pPr>
            <w:r>
              <w:t xml:space="preserve">21.1</w:t>
            </w:r>
          </w:p>
        </w:tc>
        <w:tc>
          <w:tcPr/>
          <w:p>
            <w:pPr>
              <w:pStyle w:val="Compact"/>
            </w:pPr>
            <w:r>
              <w:t xml:space="preserve">23.4%</w:t>
            </w:r>
          </w:p>
        </w:tc>
        <w:tc>
          <w:tcPr/>
          <w:p>
            <w:pPr>
              <w:pStyle w:val="Compact"/>
            </w:pPr>
            <w:r>
              <w:t xml:space="preserve">38.4%</w:t>
            </w:r>
          </w:p>
        </w:tc>
        <w:tc>
          <w:tcPr/>
          <w:p>
            <w:pPr>
              <w:pStyle w:val="Compact"/>
            </w:pPr>
            <w:r>
              <w:t xml:space="preserve">31.6%</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Other/uncertain</w:t>
            </w:r>
          </w:p>
        </w:tc>
        <w:tc>
          <w:tcPr/>
          <w:p>
            <w:pPr>
              <w:pStyle w:val="Compact"/>
            </w:pPr>
            <w:r>
              <w:t xml:space="preserve">41</w:t>
            </w:r>
          </w:p>
        </w:tc>
        <w:tc>
          <w:tcPr/>
          <w:p>
            <w:pPr>
              <w:pStyle w:val="Compact"/>
            </w:pPr>
            <w:r>
              <w:t xml:space="preserve">979</w:t>
            </w:r>
          </w:p>
        </w:tc>
        <w:tc>
          <w:tcPr/>
          <w:p>
            <w:pPr>
              <w:pStyle w:val="Compact"/>
            </w:pPr>
            <w:r>
              <w:t xml:space="preserve">19 (13–31)</w:t>
            </w:r>
          </w:p>
        </w:tc>
        <w:tc>
          <w:tcPr/>
          <w:p>
            <w:pPr>
              <w:pStyle w:val="Compact"/>
            </w:pPr>
            <w:r>
              <w:t xml:space="preserve">0.309</w:t>
            </w:r>
          </w:p>
        </w:tc>
        <w:tc>
          <w:tcPr/>
          <w:p>
            <w:pPr>
              <w:pStyle w:val="Compact"/>
            </w:pPr>
            <w:r>
              <w:t xml:space="preserve">343.6</w:t>
            </w:r>
          </w:p>
        </w:tc>
        <w:tc>
          <w:tcPr/>
          <w:p>
            <w:pPr>
              <w:pStyle w:val="Compact"/>
            </w:pPr>
            <w:r>
              <w:t xml:space="preserve">27.9%</w:t>
            </w:r>
          </w:p>
        </w:tc>
        <w:tc>
          <w:tcPr/>
          <w:p>
            <w:pPr>
              <w:pStyle w:val="Compact"/>
            </w:pPr>
            <w:r>
              <w:t xml:space="preserve">42.7%</w:t>
            </w:r>
          </w:p>
        </w:tc>
        <w:tc>
          <w:tcPr/>
          <w:p>
            <w:pPr>
              <w:pStyle w:val="Compact"/>
            </w:pPr>
            <w:r>
              <w:t xml:space="preserve">27.6%</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665</w:t>
            </w:r>
          </w:p>
        </w:tc>
        <w:tc>
          <w:tcPr/>
          <w:p>
            <w:pPr>
              <w:pStyle w:val="Compact"/>
            </w:pPr>
            <w:r>
              <w:t xml:space="preserve">14322</w:t>
            </w:r>
          </w:p>
        </w:tc>
        <w:tc>
          <w:tcPr/>
          <w:p>
            <w:pPr>
              <w:pStyle w:val="Compact"/>
            </w:pPr>
            <w:r>
              <w:t xml:space="preserve">18 (13–25)</w:t>
            </w:r>
          </w:p>
        </w:tc>
        <w:tc>
          <w:tcPr/>
          <w:p>
            <w:pPr>
              <w:pStyle w:val="Compact"/>
            </w:pPr>
            <w:r>
              <w:t xml:space="preserve">0.270</w:t>
            </w:r>
          </w:p>
        </w:tc>
        <w:tc>
          <w:tcPr/>
          <w:p>
            <w:pPr>
              <w:pStyle w:val="Compact"/>
            </w:pPr>
            <w:r>
              <w:t xml:space="preserve">19.9</w:t>
            </w:r>
          </w:p>
        </w:tc>
        <w:tc>
          <w:tcPr/>
          <w:p>
            <w:pPr>
              <w:pStyle w:val="Compact"/>
            </w:pPr>
            <w:r>
              <w:t xml:space="preserve">23.8%</w:t>
            </w:r>
          </w:p>
        </w:tc>
        <w:tc>
          <w:tcPr/>
          <w:p>
            <w:pPr>
              <w:pStyle w:val="Compact"/>
            </w:pPr>
            <w:r>
              <w:t xml:space="preserve">38.0%</w:t>
            </w:r>
          </w:p>
        </w:tc>
        <w:tc>
          <w:tcPr/>
          <w:p>
            <w:pPr>
              <w:pStyle w:val="Compact"/>
            </w:pPr>
            <w:r>
              <w:t xml:space="preserve">31.5%</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Other/uncertain</w:t>
            </w:r>
          </w:p>
        </w:tc>
        <w:tc>
          <w:tcPr/>
          <w:p>
            <w:pPr>
              <w:pStyle w:val="Compact"/>
            </w:pPr>
            <w:r>
              <w:t xml:space="preserve">49</w:t>
            </w:r>
          </w:p>
        </w:tc>
        <w:tc>
          <w:tcPr/>
          <w:p>
            <w:pPr>
              <w:pStyle w:val="Compact"/>
            </w:pPr>
            <w:r>
              <w:t xml:space="preserve">1072</w:t>
            </w:r>
          </w:p>
        </w:tc>
        <w:tc>
          <w:tcPr/>
          <w:p>
            <w:pPr>
              <w:pStyle w:val="Compact"/>
            </w:pPr>
            <w:r>
              <w:t xml:space="preserve">19 (13–26)</w:t>
            </w:r>
          </w:p>
        </w:tc>
        <w:tc>
          <w:tcPr/>
          <w:p>
            <w:pPr>
              <w:pStyle w:val="Compact"/>
            </w:pPr>
            <w:r>
              <w:t xml:space="preserve">0.269</w:t>
            </w:r>
          </w:p>
        </w:tc>
        <w:tc>
          <w:tcPr/>
          <w:p>
            <w:pPr>
              <w:pStyle w:val="Compact"/>
            </w:pPr>
            <w:r>
              <w:t xml:space="preserve">268.9</w:t>
            </w:r>
          </w:p>
        </w:tc>
        <w:tc>
          <w:tcPr/>
          <w:p>
            <w:pPr>
              <w:pStyle w:val="Compact"/>
            </w:pPr>
            <w:r>
              <w:t xml:space="preserve">22.8%</w:t>
            </w:r>
          </w:p>
        </w:tc>
        <w:tc>
          <w:tcPr/>
          <w:p>
            <w:pPr>
              <w:pStyle w:val="Compact"/>
            </w:pPr>
            <w:r>
              <w:t xml:space="preserve">37.9%</w:t>
            </w:r>
          </w:p>
        </w:tc>
        <w:tc>
          <w:tcPr/>
          <w:p>
            <w:pPr>
              <w:pStyle w:val="Compact"/>
            </w:pPr>
            <w:r>
              <w:t xml:space="preserve">30.4%</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694</w:t>
            </w:r>
          </w:p>
        </w:tc>
        <w:tc>
          <w:tcPr/>
          <w:p>
            <w:pPr>
              <w:pStyle w:val="Compact"/>
            </w:pPr>
            <w:r>
              <w:t xml:space="preserve">15274</w:t>
            </w:r>
          </w:p>
        </w:tc>
        <w:tc>
          <w:tcPr/>
          <w:p>
            <w:pPr>
              <w:pStyle w:val="Compact"/>
            </w:pPr>
            <w:r>
              <w:t xml:space="preserve">18 (13–26)</w:t>
            </w:r>
          </w:p>
        </w:tc>
        <w:tc>
          <w:tcPr/>
          <w:p>
            <w:pPr>
              <w:pStyle w:val="Compact"/>
            </w:pPr>
            <w:r>
              <w:t xml:space="preserve">0.281</w:t>
            </w:r>
          </w:p>
        </w:tc>
        <w:tc>
          <w:tcPr/>
          <w:p>
            <w:pPr>
              <w:pStyle w:val="Compact"/>
            </w:pPr>
            <w:r>
              <w:t xml:space="preserve">19.2</w:t>
            </w:r>
          </w:p>
        </w:tc>
        <w:tc>
          <w:tcPr/>
          <w:p>
            <w:pPr>
              <w:pStyle w:val="Compact"/>
            </w:pPr>
            <w:r>
              <w:t xml:space="preserve">23.8%</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Other/uncertain</w:t>
            </w:r>
          </w:p>
        </w:tc>
        <w:tc>
          <w:tcPr/>
          <w:p>
            <w:pPr>
              <w:pStyle w:val="Compact"/>
            </w:pPr>
            <w:r>
              <w:t xml:space="preserve">55</w:t>
            </w:r>
          </w:p>
        </w:tc>
        <w:tc>
          <w:tcPr/>
          <w:p>
            <w:pPr>
              <w:pStyle w:val="Compact"/>
            </w:pPr>
            <w:r>
              <w:t xml:space="preserve">1189</w:t>
            </w:r>
          </w:p>
        </w:tc>
        <w:tc>
          <w:tcPr/>
          <w:p>
            <w:pPr>
              <w:pStyle w:val="Compact"/>
            </w:pPr>
            <w:r>
              <w:t xml:space="preserve">16 (13–26)</w:t>
            </w:r>
          </w:p>
        </w:tc>
        <w:tc>
          <w:tcPr/>
          <w:p>
            <w:pPr>
              <w:pStyle w:val="Compact"/>
            </w:pPr>
            <w:r>
              <w:t xml:space="preserve">0.286</w:t>
            </w:r>
          </w:p>
        </w:tc>
        <w:tc>
          <w:tcPr/>
          <w:p>
            <w:pPr>
              <w:pStyle w:val="Compact"/>
            </w:pPr>
            <w:r>
              <w:t xml:space="preserve">243.2</w:t>
            </w:r>
          </w:p>
        </w:tc>
        <w:tc>
          <w:tcPr/>
          <w:p>
            <w:pPr>
              <w:pStyle w:val="Compact"/>
            </w:pPr>
            <w:r>
              <w:t xml:space="preserve">25.5%</w:t>
            </w:r>
          </w:p>
        </w:tc>
        <w:tc>
          <w:tcPr/>
          <w:p>
            <w:pPr>
              <w:pStyle w:val="Compact"/>
            </w:pPr>
            <w:r>
              <w:t xml:space="preserve">39.1%</w:t>
            </w:r>
          </w:p>
        </w:tc>
        <w:tc>
          <w:tcPr/>
          <w:p>
            <w:pPr>
              <w:pStyle w:val="Compact"/>
            </w:pPr>
            <w:r>
              <w:t xml:space="preserve">29.4%</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640</w:t>
            </w:r>
          </w:p>
        </w:tc>
        <w:tc>
          <w:tcPr/>
          <w:p>
            <w:pPr>
              <w:pStyle w:val="Compact"/>
            </w:pPr>
            <w:r>
              <w:t xml:space="preserve">14455</w:t>
            </w:r>
          </w:p>
        </w:tc>
        <w:tc>
          <w:tcPr/>
          <w:p>
            <w:pPr>
              <w:pStyle w:val="Compact"/>
            </w:pPr>
            <w:r>
              <w:t xml:space="preserve">19 (14–27)</w:t>
            </w:r>
          </w:p>
        </w:tc>
        <w:tc>
          <w:tcPr/>
          <w:p>
            <w:pPr>
              <w:pStyle w:val="Compact"/>
            </w:pPr>
            <w:r>
              <w:t xml:space="preserve">0.275</w:t>
            </w:r>
          </w:p>
        </w:tc>
        <w:tc>
          <w:tcPr/>
          <w:p>
            <w:pPr>
              <w:pStyle w:val="Compact"/>
            </w:pPr>
            <w:r>
              <w:t xml:space="preserve">20.4</w:t>
            </w:r>
          </w:p>
        </w:tc>
        <w:tc>
          <w:tcPr/>
          <w:p>
            <w:pPr>
              <w:pStyle w:val="Compact"/>
            </w:pPr>
            <w:r>
              <w:t xml:space="preserve">22.9%</w:t>
            </w:r>
          </w:p>
        </w:tc>
        <w:tc>
          <w:tcPr/>
          <w:p>
            <w:pPr>
              <w:pStyle w:val="Compact"/>
            </w:pPr>
            <w:r>
              <w:t xml:space="preserve">37.9%</w:t>
            </w:r>
          </w:p>
        </w:tc>
        <w:tc>
          <w:tcPr/>
          <w:p>
            <w:pPr>
              <w:pStyle w:val="Compact"/>
            </w:pPr>
            <w:r>
              <w:t xml:space="preserve">31.0%</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Other/uncertain</w:t>
            </w:r>
          </w:p>
        </w:tc>
        <w:tc>
          <w:tcPr/>
          <w:p>
            <w:pPr>
              <w:pStyle w:val="Compact"/>
            </w:pPr>
            <w:r>
              <w:t xml:space="preserve">55</w:t>
            </w:r>
          </w:p>
        </w:tc>
        <w:tc>
          <w:tcPr/>
          <w:p>
            <w:pPr>
              <w:pStyle w:val="Compact"/>
            </w:pPr>
            <w:r>
              <w:t xml:space="preserve">1284</w:t>
            </w:r>
          </w:p>
        </w:tc>
        <w:tc>
          <w:tcPr/>
          <w:p>
            <w:pPr>
              <w:pStyle w:val="Compact"/>
            </w:pPr>
            <w:r>
              <w:t xml:space="preserve">19 (14–26)</w:t>
            </w:r>
          </w:p>
        </w:tc>
        <w:tc>
          <w:tcPr/>
          <w:p>
            <w:pPr>
              <w:pStyle w:val="Compact"/>
            </w:pPr>
            <w:r>
              <w:t xml:space="preserve">0.275</w:t>
            </w:r>
          </w:p>
        </w:tc>
        <w:tc>
          <w:tcPr/>
          <w:p>
            <w:pPr>
              <w:pStyle w:val="Compact"/>
            </w:pPr>
            <w:r>
              <w:t xml:space="preserve">234.2</w:t>
            </w:r>
          </w:p>
        </w:tc>
        <w:tc>
          <w:tcPr/>
          <w:p>
            <w:pPr>
              <w:pStyle w:val="Compact"/>
            </w:pPr>
            <w:r>
              <w:t xml:space="preserve">24.0%</w:t>
            </w:r>
          </w:p>
        </w:tc>
        <w:tc>
          <w:tcPr/>
          <w:p>
            <w:pPr>
              <w:pStyle w:val="Compact"/>
            </w:pPr>
            <w:r>
              <w:t xml:space="preserve">39.2%</w:t>
            </w:r>
          </w:p>
        </w:tc>
        <w:tc>
          <w:tcPr/>
          <w:p>
            <w:pPr>
              <w:pStyle w:val="Compact"/>
            </w:pPr>
            <w:r>
              <w:t xml:space="preserve">30.5%</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610</w:t>
            </w:r>
          </w:p>
        </w:tc>
        <w:tc>
          <w:tcPr/>
          <w:p>
            <w:pPr>
              <w:pStyle w:val="Compact"/>
            </w:pPr>
            <w:r>
              <w:t xml:space="preserve">13875</w:t>
            </w:r>
          </w:p>
        </w:tc>
        <w:tc>
          <w:tcPr/>
          <w:p>
            <w:pPr>
              <w:pStyle w:val="Compact"/>
            </w:pPr>
            <w:r>
              <w:t xml:space="preserve">19 (14–27)</w:t>
            </w:r>
          </w:p>
        </w:tc>
        <w:tc>
          <w:tcPr/>
          <w:p>
            <w:pPr>
              <w:pStyle w:val="Compact"/>
            </w:pPr>
            <w:r>
              <w:t xml:space="preserve">0.275</w:t>
            </w:r>
          </w:p>
        </w:tc>
        <w:tc>
          <w:tcPr/>
          <w:p>
            <w:pPr>
              <w:pStyle w:val="Compact"/>
            </w:pPr>
            <w:r>
              <w:t xml:space="preserve">21.4</w:t>
            </w:r>
          </w:p>
        </w:tc>
        <w:tc>
          <w:tcPr/>
          <w:p>
            <w:pPr>
              <w:pStyle w:val="Compact"/>
            </w:pPr>
            <w:r>
              <w:t xml:space="preserve">23.4%</w:t>
            </w:r>
          </w:p>
        </w:tc>
        <w:tc>
          <w:tcPr/>
          <w:p>
            <w:pPr>
              <w:pStyle w:val="Compact"/>
            </w:pPr>
            <w:r>
              <w:t xml:space="preserve">38.0%</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Other/uncertain</w:t>
            </w:r>
          </w:p>
        </w:tc>
        <w:tc>
          <w:tcPr/>
          <w:p>
            <w:pPr>
              <w:pStyle w:val="Compact"/>
            </w:pPr>
            <w:r>
              <w:t xml:space="preserve">52</w:t>
            </w:r>
          </w:p>
        </w:tc>
        <w:tc>
          <w:tcPr/>
          <w:p>
            <w:pPr>
              <w:pStyle w:val="Compact"/>
            </w:pPr>
            <w:r>
              <w:t xml:space="preserve">1155</w:t>
            </w:r>
          </w:p>
        </w:tc>
        <w:tc>
          <w:tcPr/>
          <w:p>
            <w:pPr>
              <w:pStyle w:val="Compact"/>
            </w:pPr>
            <w:r>
              <w:t xml:space="preserve">18 (14–27)</w:t>
            </w:r>
          </w:p>
        </w:tc>
        <w:tc>
          <w:tcPr/>
          <w:p>
            <w:pPr>
              <w:pStyle w:val="Compact"/>
            </w:pPr>
            <w:r>
              <w:t xml:space="preserve">0.271</w:t>
            </w:r>
          </w:p>
        </w:tc>
        <w:tc>
          <w:tcPr/>
          <w:p>
            <w:pPr>
              <w:pStyle w:val="Compact"/>
            </w:pPr>
            <w:r>
              <w:t xml:space="preserve">249.7</w:t>
            </w:r>
          </w:p>
        </w:tc>
        <w:tc>
          <w:tcPr/>
          <w:p>
            <w:pPr>
              <w:pStyle w:val="Compact"/>
            </w:pPr>
            <w:r>
              <w:t xml:space="preserve">25.7%</w:t>
            </w:r>
          </w:p>
        </w:tc>
        <w:tc>
          <w:tcPr/>
          <w:p>
            <w:pPr>
              <w:pStyle w:val="Compact"/>
            </w:pPr>
            <w:r>
              <w:t xml:space="preserve">39.0%</w:t>
            </w:r>
          </w:p>
        </w:tc>
        <w:tc>
          <w:tcPr/>
          <w:p>
            <w:pPr>
              <w:pStyle w:val="Compact"/>
            </w:pPr>
            <w:r>
              <w:t xml:space="preserve">31.2%</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423</w:t>
            </w:r>
          </w:p>
        </w:tc>
        <w:tc>
          <w:tcPr/>
          <w:p>
            <w:pPr>
              <w:pStyle w:val="Compact"/>
            </w:pPr>
            <w:r>
              <w:t xml:space="preserve">8783</w:t>
            </w:r>
          </w:p>
        </w:tc>
        <w:tc>
          <w:tcPr/>
          <w:p>
            <w:pPr>
              <w:pStyle w:val="Compact"/>
            </w:pPr>
            <w:r>
              <w:t xml:space="preserve">17 (13–24)</w:t>
            </w:r>
          </w:p>
        </w:tc>
        <w:tc>
          <w:tcPr/>
          <w:p>
            <w:pPr>
              <w:pStyle w:val="Compact"/>
            </w:pPr>
            <w:r>
              <w:t xml:space="preserve">0.257</w:t>
            </w:r>
          </w:p>
        </w:tc>
        <w:tc>
          <w:tcPr/>
          <w:p>
            <w:pPr>
              <w:pStyle w:val="Compact"/>
            </w:pPr>
            <w:r>
              <w:t xml:space="preserve">30.1</w:t>
            </w:r>
          </w:p>
        </w:tc>
        <w:tc>
          <w:tcPr/>
          <w:p>
            <w:pPr>
              <w:pStyle w:val="Compact"/>
            </w:pPr>
            <w:r>
              <w:t xml:space="preserve">22.9%</w:t>
            </w:r>
          </w:p>
        </w:tc>
        <w:tc>
          <w:tcPr/>
          <w:p>
            <w:pPr>
              <w:pStyle w:val="Compact"/>
            </w:pPr>
            <w:r>
              <w:t xml:space="preserve">37.1%</w:t>
            </w:r>
          </w:p>
        </w:tc>
        <w:tc>
          <w:tcPr/>
          <w:p>
            <w:pPr>
              <w:pStyle w:val="Compact"/>
            </w:pPr>
            <w:r>
              <w:t xml:space="preserve">32.4%</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Other/uncertain</w:t>
            </w:r>
          </w:p>
        </w:tc>
        <w:tc>
          <w:tcPr/>
          <w:p>
            <w:pPr>
              <w:pStyle w:val="Compact"/>
            </w:pPr>
            <w:r>
              <w:t xml:space="preserve">38</w:t>
            </w:r>
          </w:p>
        </w:tc>
        <w:tc>
          <w:tcPr/>
          <w:p>
            <w:pPr>
              <w:pStyle w:val="Compact"/>
            </w:pPr>
            <w:r>
              <w:t xml:space="preserve">770</w:t>
            </w:r>
          </w:p>
        </w:tc>
        <w:tc>
          <w:tcPr/>
          <w:p>
            <w:pPr>
              <w:pStyle w:val="Compact"/>
            </w:pPr>
            <w:r>
              <w:t xml:space="preserve">16 (13–25)</w:t>
            </w:r>
          </w:p>
        </w:tc>
        <w:tc>
          <w:tcPr/>
          <w:p>
            <w:pPr>
              <w:pStyle w:val="Compact"/>
            </w:pPr>
            <w:r>
              <w:t xml:space="preserve">0.234</w:t>
            </w:r>
          </w:p>
        </w:tc>
        <w:tc>
          <w:tcPr/>
          <w:p>
            <w:pPr>
              <w:pStyle w:val="Compact"/>
            </w:pPr>
            <w:r>
              <w:t xml:space="preserve">325.5</w:t>
            </w:r>
          </w:p>
        </w:tc>
        <w:tc>
          <w:tcPr/>
          <w:p>
            <w:pPr>
              <w:pStyle w:val="Compact"/>
            </w:pPr>
            <w:r>
              <w:t xml:space="preserve">21.3%</w:t>
            </w:r>
          </w:p>
        </w:tc>
        <w:tc>
          <w:tcPr/>
          <w:p>
            <w:pPr>
              <w:pStyle w:val="Compact"/>
            </w:pPr>
            <w:r>
              <w:t xml:space="preserve">35.8%</w:t>
            </w:r>
          </w:p>
        </w:tc>
        <w:tc>
          <w:tcPr/>
          <w:p>
            <w:pPr>
              <w:pStyle w:val="Compact"/>
            </w:pPr>
            <w:r>
              <w:t xml:space="preserve">33.5%</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429</w:t>
            </w:r>
          </w:p>
        </w:tc>
        <w:tc>
          <w:tcPr/>
          <w:p>
            <w:pPr>
              <w:pStyle w:val="Compact"/>
            </w:pPr>
            <w:r>
              <w:t xml:space="preserve">9020</w:t>
            </w:r>
          </w:p>
        </w:tc>
        <w:tc>
          <w:tcPr/>
          <w:p>
            <w:pPr>
              <w:pStyle w:val="Compact"/>
            </w:pPr>
            <w:r>
              <w:t xml:space="preserve">17 (13–24)</w:t>
            </w:r>
          </w:p>
        </w:tc>
        <w:tc>
          <w:tcPr/>
          <w:p>
            <w:pPr>
              <w:pStyle w:val="Compact"/>
            </w:pPr>
            <w:r>
              <w:t xml:space="preserve">0.266</w:t>
            </w:r>
          </w:p>
        </w:tc>
        <w:tc>
          <w:tcPr/>
          <w:p>
            <w:pPr>
              <w:pStyle w:val="Compact"/>
            </w:pPr>
            <w:r>
              <w:t xml:space="preserve">30.0</w:t>
            </w:r>
          </w:p>
        </w:tc>
        <w:tc>
          <w:tcPr/>
          <w:p>
            <w:pPr>
              <w:pStyle w:val="Compact"/>
            </w:pPr>
            <w:r>
              <w:t xml:space="preserve">22.8%</w:t>
            </w:r>
          </w:p>
        </w:tc>
        <w:tc>
          <w:tcPr/>
          <w:p>
            <w:pPr>
              <w:pStyle w:val="Compact"/>
            </w:pPr>
            <w:r>
              <w:t xml:space="preserve">37.9%</w:t>
            </w:r>
          </w:p>
        </w:tc>
        <w:tc>
          <w:tcPr/>
          <w:p>
            <w:pPr>
              <w:pStyle w:val="Compact"/>
            </w:pPr>
            <w:r>
              <w:t xml:space="preserve">31.6%</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Other/uncertain</w:t>
            </w:r>
          </w:p>
        </w:tc>
        <w:tc>
          <w:tcPr/>
          <w:p>
            <w:pPr>
              <w:pStyle w:val="Compact"/>
            </w:pPr>
            <w:r>
              <w:t xml:space="preserve">44</w:t>
            </w:r>
          </w:p>
        </w:tc>
        <w:tc>
          <w:tcPr/>
          <w:p>
            <w:pPr>
              <w:pStyle w:val="Compact"/>
            </w:pPr>
            <w:r>
              <w:t xml:space="preserve">969</w:t>
            </w:r>
          </w:p>
        </w:tc>
        <w:tc>
          <w:tcPr/>
          <w:p>
            <w:pPr>
              <w:pStyle w:val="Compact"/>
            </w:pPr>
            <w:r>
              <w:t xml:space="preserve">18 (14–28)</w:t>
            </w:r>
          </w:p>
        </w:tc>
        <w:tc>
          <w:tcPr/>
          <w:p>
            <w:pPr>
              <w:pStyle w:val="Compact"/>
            </w:pPr>
            <w:r>
              <w:t xml:space="preserve">0.237</w:t>
            </w:r>
          </w:p>
        </w:tc>
        <w:tc>
          <w:tcPr/>
          <w:p>
            <w:pPr>
              <w:pStyle w:val="Compact"/>
            </w:pPr>
            <w:r>
              <w:t xml:space="preserve">269.5</w:t>
            </w:r>
          </w:p>
        </w:tc>
        <w:tc>
          <w:tcPr/>
          <w:p>
            <w:pPr>
              <w:pStyle w:val="Compact"/>
            </w:pPr>
            <w:r>
              <w:t xml:space="preserve">20.9%</w:t>
            </w:r>
          </w:p>
        </w:tc>
        <w:tc>
          <w:tcPr/>
          <w:p>
            <w:pPr>
              <w:pStyle w:val="Compact"/>
            </w:pPr>
            <w:r>
              <w:t xml:space="preserve">35.2%</w:t>
            </w:r>
          </w:p>
        </w:tc>
        <w:tc>
          <w:tcPr/>
          <w:p>
            <w:pPr>
              <w:pStyle w:val="Compact"/>
            </w:pPr>
            <w:r>
              <w:t xml:space="preserve">32.9%</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524</w:t>
            </w:r>
          </w:p>
        </w:tc>
        <w:tc>
          <w:tcPr/>
          <w:p>
            <w:pPr>
              <w:pStyle w:val="Compact"/>
            </w:pPr>
            <w:r>
              <w:t xml:space="preserve">11367</w:t>
            </w:r>
          </w:p>
        </w:tc>
        <w:tc>
          <w:tcPr/>
          <w:p>
            <w:pPr>
              <w:pStyle w:val="Compact"/>
            </w:pPr>
            <w:r>
              <w:t xml:space="preserve">17 (14–26)</w:t>
            </w:r>
          </w:p>
        </w:tc>
        <w:tc>
          <w:tcPr/>
          <w:p>
            <w:pPr>
              <w:pStyle w:val="Compact"/>
            </w:pPr>
            <w:r>
              <w:t xml:space="preserve">0.275</w:t>
            </w:r>
          </w:p>
        </w:tc>
        <w:tc>
          <w:tcPr/>
          <w:p>
            <w:pPr>
              <w:pStyle w:val="Compact"/>
            </w:pPr>
            <w:r>
              <w:t xml:space="preserve">25.2</w:t>
            </w:r>
          </w:p>
        </w:tc>
        <w:tc>
          <w:tcPr/>
          <w:p>
            <w:pPr>
              <w:pStyle w:val="Compact"/>
            </w:pPr>
            <w:r>
              <w:t xml:space="preserve">24.0%</w:t>
            </w:r>
          </w:p>
        </w:tc>
        <w:tc>
          <w:tcPr/>
          <w:p>
            <w:pPr>
              <w:pStyle w:val="Compact"/>
            </w:pPr>
            <w:r>
              <w:t xml:space="preserve">38.9%</w:t>
            </w:r>
          </w:p>
        </w:tc>
        <w:tc>
          <w:tcPr/>
          <w:p>
            <w:pPr>
              <w:pStyle w:val="Compact"/>
            </w:pPr>
            <w:r>
              <w:t xml:space="preserve">31.3%</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Other/uncertain</w:t>
            </w:r>
          </w:p>
        </w:tc>
        <w:tc>
          <w:tcPr/>
          <w:p>
            <w:pPr>
              <w:pStyle w:val="Compact"/>
            </w:pPr>
            <w:r>
              <w:t xml:space="preserve">55</w:t>
            </w:r>
          </w:p>
        </w:tc>
        <w:tc>
          <w:tcPr/>
          <w:p>
            <w:pPr>
              <w:pStyle w:val="Compact"/>
            </w:pPr>
            <w:r>
              <w:t xml:space="preserve">1258</w:t>
            </w:r>
          </w:p>
        </w:tc>
        <w:tc>
          <w:tcPr/>
          <w:p>
            <w:pPr>
              <w:pStyle w:val="Compact"/>
            </w:pPr>
            <w:r>
              <w:t xml:space="preserve">17 (14–32)</w:t>
            </w:r>
          </w:p>
        </w:tc>
        <w:tc>
          <w:tcPr/>
          <w:p>
            <w:pPr>
              <w:pStyle w:val="Compact"/>
            </w:pPr>
            <w:r>
              <w:t xml:space="preserve">0.282</w:t>
            </w:r>
          </w:p>
        </w:tc>
        <w:tc>
          <w:tcPr/>
          <w:p>
            <w:pPr>
              <w:pStyle w:val="Compact"/>
            </w:pPr>
            <w:r>
              <w:t xml:space="preserve">235.3</w:t>
            </w:r>
          </w:p>
        </w:tc>
        <w:tc>
          <w:tcPr/>
          <w:p>
            <w:pPr>
              <w:pStyle w:val="Compact"/>
            </w:pPr>
            <w:r>
              <w:t xml:space="preserve">23.9%</w:t>
            </w:r>
          </w:p>
        </w:tc>
        <w:tc>
          <w:tcPr/>
          <w:p>
            <w:pPr>
              <w:pStyle w:val="Compact"/>
            </w:pPr>
            <w:r>
              <w:t xml:space="preserve">38.3%</w:t>
            </w:r>
          </w:p>
        </w:tc>
        <w:tc>
          <w:tcPr/>
          <w:p>
            <w:pPr>
              <w:pStyle w:val="Compact"/>
            </w:pPr>
            <w:r>
              <w:t xml:space="preserve">29.3%</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522</w:t>
            </w:r>
          </w:p>
        </w:tc>
        <w:tc>
          <w:tcPr/>
          <w:p>
            <w:pPr>
              <w:pStyle w:val="Compact"/>
            </w:pPr>
            <w:r>
              <w:t xml:space="preserve">11470</w:t>
            </w:r>
          </w:p>
        </w:tc>
        <w:tc>
          <w:tcPr/>
          <w:p>
            <w:pPr>
              <w:pStyle w:val="Compact"/>
            </w:pPr>
            <w:r>
              <w:t xml:space="preserve">18 (14–26)</w:t>
            </w:r>
          </w:p>
        </w:tc>
        <w:tc>
          <w:tcPr/>
          <w:p>
            <w:pPr>
              <w:pStyle w:val="Compact"/>
            </w:pPr>
            <w:r>
              <w:t xml:space="preserve">0.267</w:t>
            </w:r>
          </w:p>
        </w:tc>
        <w:tc>
          <w:tcPr/>
          <w:p>
            <w:pPr>
              <w:pStyle w:val="Compact"/>
            </w:pPr>
            <w:r>
              <w:t xml:space="preserve">24.6</w:t>
            </w:r>
          </w:p>
        </w:tc>
        <w:tc>
          <w:tcPr/>
          <w:p>
            <w:pPr>
              <w:pStyle w:val="Compact"/>
            </w:pPr>
            <w:r>
              <w:t xml:space="preserve">22.9%</w:t>
            </w:r>
          </w:p>
        </w:tc>
        <w:tc>
          <w:tcPr/>
          <w:p>
            <w:pPr>
              <w:pStyle w:val="Compact"/>
            </w:pPr>
            <w:r>
              <w:t xml:space="preserve">37.8%</w:t>
            </w:r>
          </w:p>
        </w:tc>
        <w:tc>
          <w:tcPr/>
          <w:p>
            <w:pPr>
              <w:pStyle w:val="Compact"/>
            </w:pPr>
            <w:r>
              <w:t xml:space="preserve">31.6%</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Other/uncertain</w:t>
            </w:r>
          </w:p>
        </w:tc>
        <w:tc>
          <w:tcPr/>
          <w:p>
            <w:pPr>
              <w:pStyle w:val="Compact"/>
            </w:pPr>
            <w:r>
              <w:t xml:space="preserve">56</w:t>
            </w:r>
          </w:p>
        </w:tc>
        <w:tc>
          <w:tcPr/>
          <w:p>
            <w:pPr>
              <w:pStyle w:val="Compact"/>
            </w:pPr>
            <w:r>
              <w:t xml:space="preserve">1121</w:t>
            </w:r>
          </w:p>
        </w:tc>
        <w:tc>
          <w:tcPr/>
          <w:p>
            <w:pPr>
              <w:pStyle w:val="Compact"/>
            </w:pPr>
            <w:r>
              <w:t xml:space="preserve">16 (13–25)</w:t>
            </w:r>
          </w:p>
        </w:tc>
        <w:tc>
          <w:tcPr/>
          <w:p>
            <w:pPr>
              <w:pStyle w:val="Compact"/>
            </w:pPr>
            <w:r>
              <w:t xml:space="preserve">0.242</w:t>
            </w:r>
          </w:p>
        </w:tc>
        <w:tc>
          <w:tcPr/>
          <w:p>
            <w:pPr>
              <w:pStyle w:val="Compact"/>
            </w:pPr>
            <w:r>
              <w:t xml:space="preserve">218.0</w:t>
            </w:r>
          </w:p>
        </w:tc>
        <w:tc>
          <w:tcPr/>
          <w:p>
            <w:pPr>
              <w:pStyle w:val="Compact"/>
            </w:pPr>
            <w:r>
              <w:t xml:space="preserve">21.6%</w:t>
            </w:r>
          </w:p>
        </w:tc>
        <w:tc>
          <w:tcPr/>
          <w:p>
            <w:pPr>
              <w:pStyle w:val="Compact"/>
            </w:pPr>
            <w:r>
              <w:t xml:space="preserve">36.6%</w:t>
            </w:r>
          </w:p>
        </w:tc>
        <w:tc>
          <w:tcPr/>
          <w:p>
            <w:pPr>
              <w:pStyle w:val="Compact"/>
            </w:pPr>
            <w:r>
              <w:t xml:space="preserve">32.3%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20"/>
        <w:gridCol w:w="1373"/>
        <w:gridCol w:w="888"/>
        <w:gridCol w:w="888"/>
        <w:gridCol w:w="1131"/>
        <w:gridCol w:w="888"/>
        <w:gridCol w:w="727"/>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15872.000</w:t>
            </w:r>
          </w:p>
        </w:tc>
        <w:tc>
          <w:tcPr/>
          <w:p>
            <w:pPr>
              <w:pStyle w:val="Compact"/>
            </w:pPr>
            <w:r>
              <w:t xml:space="preserve">11470.000</w:t>
            </w:r>
          </w:p>
        </w:tc>
        <w:tc>
          <w:tcPr/>
          <w:p>
            <w:pPr>
              <w:pStyle w:val="Compact"/>
            </w:pPr>
            <w:r>
              <w:t xml:space="preserve">-503.609</w:t>
            </w:r>
          </w:p>
        </w:tc>
        <w:tc>
          <w:tcPr/>
          <w:p>
            <w:pPr>
              <w:pStyle w:val="Compact"/>
            </w:pPr>
            <w:r>
              <w:t xml:space="preserve">0.491</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Other/uncertain</w:t>
            </w:r>
          </w:p>
        </w:tc>
        <w:tc>
          <w:tcPr/>
          <w:p>
            <w:pPr>
              <w:pStyle w:val="Compact"/>
            </w:pPr>
            <w:r>
              <w:t xml:space="preserve">945.000</w:t>
            </w:r>
          </w:p>
        </w:tc>
        <w:tc>
          <w:tcPr/>
          <w:p>
            <w:pPr>
              <w:pStyle w:val="Compact"/>
            </w:pPr>
            <w:r>
              <w:t xml:space="preserve">1121.000</w:t>
            </w:r>
          </w:p>
        </w:tc>
        <w:tc>
          <w:tcPr/>
          <w:p>
            <w:pPr>
              <w:pStyle w:val="Compact"/>
            </w:pPr>
            <w:r>
              <w:t xml:space="preserve">19.964</w:t>
            </w:r>
          </w:p>
        </w:tc>
        <w:tc>
          <w:tcPr/>
          <w:p>
            <w:pPr>
              <w:pStyle w:val="Compact"/>
            </w:pPr>
            <w:r>
              <w:t xml:space="preserve">0.138</w:t>
            </w:r>
          </w:p>
        </w:tc>
        <w:tc>
          <w:tcPr/>
          <w:p>
            <w:pPr>
              <w:pStyle w:val="Compact"/>
            </w:pPr>
            <w:r>
              <w:t xml:space="preserve">0.260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779.000</w:t>
            </w:r>
          </w:p>
        </w:tc>
        <w:tc>
          <w:tcPr/>
          <w:p>
            <w:pPr>
              <w:pStyle w:val="Compact"/>
            </w:pPr>
            <w:r>
              <w:t xml:space="preserve">522.000</w:t>
            </w:r>
          </w:p>
        </w:tc>
        <w:tc>
          <w:tcPr/>
          <w:p>
            <w:pPr>
              <w:pStyle w:val="Compact"/>
            </w:pPr>
            <w:r>
              <w:t xml:space="preserve">-27.045</w:t>
            </w:r>
          </w:p>
        </w:tc>
        <w:tc>
          <w:tcPr/>
          <w:p>
            <w:pPr>
              <w:pStyle w:val="Compact"/>
            </w:pPr>
            <w:r>
              <w:t xml:space="preserve">0.654</w:t>
            </w:r>
          </w:p>
        </w:tc>
        <w:tc>
          <w:tcPr/>
          <w:p>
            <w:pPr>
              <w:pStyle w:val="Compact"/>
            </w:pPr>
            <w:r>
              <w:t xml:space="preserve">0.003</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Other/uncertain</w:t>
            </w:r>
          </w:p>
        </w:tc>
        <w:tc>
          <w:tcPr/>
          <w:p>
            <w:pPr>
              <w:pStyle w:val="Compact"/>
            </w:pPr>
            <w:r>
              <w:t xml:space="preserve">38.000</w:t>
            </w:r>
          </w:p>
        </w:tc>
        <w:tc>
          <w:tcPr/>
          <w:p>
            <w:pPr>
              <w:pStyle w:val="Compact"/>
            </w:pPr>
            <w:r>
              <w:t xml:space="preserve">56.000</w:t>
            </w:r>
          </w:p>
        </w:tc>
        <w:tc>
          <w:tcPr/>
          <w:p>
            <w:pPr>
              <w:pStyle w:val="Compact"/>
            </w:pPr>
            <w:r>
              <w:t xml:space="preserve">1.545</w:t>
            </w:r>
          </w:p>
        </w:tc>
        <w:tc>
          <w:tcPr/>
          <w:p>
            <w:pPr>
              <w:pStyle w:val="Compact"/>
            </w:pPr>
            <w:r>
              <w:t xml:space="preserve">0.344</w:t>
            </w:r>
          </w:p>
        </w:tc>
        <w:tc>
          <w:tcPr/>
          <w:p>
            <w:pPr>
              <w:pStyle w:val="Compact"/>
            </w:pPr>
            <w:r>
              <w:t xml:space="preserve">0.060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0.109</w:t>
            </w:r>
          </w:p>
        </w:tc>
        <w:tc>
          <w:tcPr/>
          <w:p>
            <w:pPr>
              <w:pStyle w:val="Compact"/>
            </w:pPr>
            <w:r>
              <w:t xml:space="preserve">0.122</w:t>
            </w:r>
          </w:p>
        </w:tc>
        <w:tc>
          <w:tcPr/>
          <w:p>
            <w:pPr>
              <w:pStyle w:val="Compact"/>
            </w:pPr>
            <w:r>
              <w:t xml:space="preserve">0.290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Other/uncertain</w:t>
            </w:r>
          </w:p>
        </w:tc>
        <w:tc>
          <w:tcPr/>
          <w:p>
            <w:pPr>
              <w:pStyle w:val="Compact"/>
            </w:pPr>
            <w:r>
              <w:t xml:space="preserve">15.000</w:t>
            </w:r>
          </w:p>
        </w:tc>
        <w:tc>
          <w:tcPr/>
          <w:p>
            <w:pPr>
              <w:pStyle w:val="Compact"/>
            </w:pPr>
            <w:r>
              <w:t xml:space="preserve">16.000</w:t>
            </w:r>
          </w:p>
        </w:tc>
        <w:tc>
          <w:tcPr/>
          <w:p>
            <w:pPr>
              <w:pStyle w:val="Compact"/>
            </w:pPr>
            <w:r>
              <w:t xml:space="preserve">-0.064</w:t>
            </w:r>
          </w:p>
        </w:tc>
        <w:tc>
          <w:tcPr/>
          <w:p>
            <w:pPr>
              <w:pStyle w:val="Compact"/>
            </w:pPr>
            <w:r>
              <w:t xml:space="preserve">0.019</w:t>
            </w:r>
          </w:p>
        </w:tc>
        <w:tc>
          <w:tcPr/>
          <w:p>
            <w:pPr>
              <w:pStyle w:val="Compact"/>
            </w:pPr>
            <w:r>
              <w:t xml:space="preserve">0.680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0.275</w:t>
            </w:r>
          </w:p>
        </w:tc>
        <w:tc>
          <w:tcPr/>
          <w:p>
            <w:pPr>
              <w:pStyle w:val="Compact"/>
            </w:pPr>
            <w:r>
              <w:t xml:space="preserve">0.267</w:t>
            </w:r>
          </w:p>
        </w:tc>
        <w:tc>
          <w:tcPr/>
          <w:p>
            <w:pPr>
              <w:pStyle w:val="Compact"/>
            </w:pPr>
            <w:r>
              <w:t xml:space="preserve">0.000</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Other/uncertain</w:t>
            </w:r>
          </w:p>
        </w:tc>
        <w:tc>
          <w:tcPr/>
          <w:p>
            <w:pPr>
              <w:pStyle w:val="Compact"/>
            </w:pPr>
            <w:r>
              <w:t xml:space="preserve">0.363</w:t>
            </w:r>
          </w:p>
        </w:tc>
        <w:tc>
          <w:tcPr/>
          <w:p>
            <w:pPr>
              <w:pStyle w:val="Compact"/>
            </w:pPr>
            <w:r>
              <w:t xml:space="preserve">0.242</w:t>
            </w:r>
          </w:p>
        </w:tc>
        <w:tc>
          <w:tcPr/>
          <w:p>
            <w:pPr>
              <w:pStyle w:val="Compact"/>
            </w:pPr>
            <w:r>
              <w:t xml:space="preserve">-0.010</w:t>
            </w:r>
          </w:p>
        </w:tc>
        <w:tc>
          <w:tcPr/>
          <w:p>
            <w:pPr>
              <w:pStyle w:val="Compact"/>
            </w:pPr>
            <w:r>
              <w:t xml:space="preserve">0.700</w:t>
            </w:r>
          </w:p>
        </w:tc>
        <w:tc>
          <w:tcPr/>
          <w:p>
            <w:pPr>
              <w:pStyle w:val="Compact"/>
            </w:pPr>
            <w:r>
              <w:t xml:space="preserve">0.001</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17.307</w:t>
            </w:r>
          </w:p>
        </w:tc>
        <w:tc>
          <w:tcPr/>
          <w:p>
            <w:pPr>
              <w:pStyle w:val="Compact"/>
            </w:pPr>
            <w:r>
              <w:t xml:space="preserve">24.632</w:t>
            </w:r>
          </w:p>
        </w:tc>
        <w:tc>
          <w:tcPr/>
          <w:p>
            <w:pPr>
              <w:pStyle w:val="Compact"/>
            </w:pPr>
            <w:r>
              <w:t xml:space="preserve">0.973</w:t>
            </w:r>
          </w:p>
        </w:tc>
        <w:tc>
          <w:tcPr/>
          <w:p>
            <w:pPr>
              <w:pStyle w:val="Compact"/>
            </w:pPr>
            <w:r>
              <w:t xml:space="preserve">0.564</w:t>
            </w:r>
          </w:p>
        </w:tc>
        <w:tc>
          <w:tcPr/>
          <w:p>
            <w:pPr>
              <w:pStyle w:val="Compact"/>
            </w:pPr>
            <w:r>
              <w:t xml:space="preserve">0.008</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Other/uncertain</w:t>
            </w:r>
          </w:p>
        </w:tc>
        <w:tc>
          <w:tcPr/>
          <w:p>
            <w:pPr>
              <w:pStyle w:val="Compact"/>
            </w:pPr>
            <w:r>
              <w:t xml:space="preserve">408.846</w:t>
            </w:r>
          </w:p>
        </w:tc>
        <w:tc>
          <w:tcPr/>
          <w:p>
            <w:pPr>
              <w:pStyle w:val="Compact"/>
            </w:pPr>
            <w:r>
              <w:t xml:space="preserve">217.954</w:t>
            </w:r>
          </w:p>
        </w:tc>
        <w:tc>
          <w:tcPr/>
          <w:p>
            <w:pPr>
              <w:pStyle w:val="Compact"/>
            </w:pPr>
            <w:r>
              <w:t xml:space="preserve">-18.475</w:t>
            </w:r>
          </w:p>
        </w:tc>
        <w:tc>
          <w:tcPr/>
          <w:p>
            <w:pPr>
              <w:pStyle w:val="Compact"/>
            </w:pPr>
            <w:r>
              <w:t xml:space="preserve">0.542</w:t>
            </w:r>
          </w:p>
        </w:tc>
        <w:tc>
          <w:tcPr/>
          <w:p>
            <w:pPr>
              <w:pStyle w:val="Compact"/>
            </w:pPr>
            <w:r>
              <w:t xml:space="preserve">0.010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24.427</w:t>
            </w:r>
          </w:p>
        </w:tc>
        <w:tc>
          <w:tcPr/>
          <w:p>
            <w:pPr>
              <w:pStyle w:val="Compact"/>
            </w:pPr>
            <w:r>
              <w:t xml:space="preserve">22.903</w:t>
            </w:r>
          </w:p>
        </w:tc>
        <w:tc>
          <w:tcPr/>
          <w:p>
            <w:pPr>
              <w:pStyle w:val="Compact"/>
            </w:pPr>
            <w:r>
              <w:t xml:space="preserve">-0.080</w:t>
            </w:r>
          </w:p>
        </w:tc>
        <w:tc>
          <w:tcPr/>
          <w:p>
            <w:pPr>
              <w:pStyle w:val="Compact"/>
            </w:pPr>
            <w:r>
              <w:t xml:space="preserve">0.247</w:t>
            </w:r>
          </w:p>
        </w:tc>
        <w:tc>
          <w:tcPr/>
          <w:p>
            <w:pPr>
              <w:pStyle w:val="Compact"/>
            </w:pPr>
            <w:r>
              <w:t xml:space="preserve">0.120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Other/uncertain</w:t>
            </w:r>
          </w:p>
        </w:tc>
        <w:tc>
          <w:tcPr/>
          <w:p>
            <w:pPr>
              <w:pStyle w:val="Compact"/>
            </w:pPr>
            <w:r>
              <w:t xml:space="preserve">28.466</w:t>
            </w:r>
          </w:p>
        </w:tc>
        <w:tc>
          <w:tcPr/>
          <w:p>
            <w:pPr>
              <w:pStyle w:val="Compact"/>
            </w:pPr>
            <w:r>
              <w:t xml:space="preserve">21.588</w:t>
            </w:r>
          </w:p>
        </w:tc>
        <w:tc>
          <w:tcPr/>
          <w:p>
            <w:pPr>
              <w:pStyle w:val="Compact"/>
            </w:pPr>
            <w:r>
              <w:t xml:space="preserve">-0.773</w:t>
            </w:r>
          </w:p>
        </w:tc>
        <w:tc>
          <w:tcPr/>
          <w:p>
            <w:pPr>
              <w:pStyle w:val="Compact"/>
            </w:pPr>
            <w:r>
              <w:t xml:space="preserve">0.643</w:t>
            </w:r>
          </w:p>
        </w:tc>
        <w:tc>
          <w:tcPr/>
          <w:p>
            <w:pPr>
              <w:pStyle w:val="Compact"/>
            </w:pPr>
            <w:r>
              <w:t xml:space="preserve">0.003</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39.308</w:t>
            </w:r>
          </w:p>
        </w:tc>
        <w:tc>
          <w:tcPr/>
          <w:p>
            <w:pPr>
              <w:pStyle w:val="Compact"/>
            </w:pPr>
            <w:r>
              <w:t xml:space="preserve">37.751</w:t>
            </w:r>
          </w:p>
        </w:tc>
        <w:tc>
          <w:tcPr/>
          <w:p>
            <w:pPr>
              <w:pStyle w:val="Compact"/>
            </w:pPr>
            <w:r>
              <w:t xml:space="preserve">-0.092</w:t>
            </w:r>
          </w:p>
        </w:tc>
        <w:tc>
          <w:tcPr/>
          <w:p>
            <w:pPr>
              <w:pStyle w:val="Compact"/>
            </w:pPr>
            <w:r>
              <w:t xml:space="preserve">0.246</w:t>
            </w:r>
          </w:p>
        </w:tc>
        <w:tc>
          <w:tcPr/>
          <w:p>
            <w:pPr>
              <w:pStyle w:val="Compact"/>
            </w:pPr>
            <w:r>
              <w:t xml:space="preserve">0.120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Other/uncertain</w:t>
            </w:r>
          </w:p>
        </w:tc>
        <w:tc>
          <w:tcPr/>
          <w:p>
            <w:pPr>
              <w:pStyle w:val="Compact"/>
            </w:pPr>
            <w:r>
              <w:t xml:space="preserve">47.407</w:t>
            </w:r>
          </w:p>
        </w:tc>
        <w:tc>
          <w:tcPr/>
          <w:p>
            <w:pPr>
              <w:pStyle w:val="Compact"/>
            </w:pPr>
            <w:r>
              <w:t xml:space="preserve">36.574</w:t>
            </w:r>
          </w:p>
        </w:tc>
        <w:tc>
          <w:tcPr/>
          <w:p>
            <w:pPr>
              <w:pStyle w:val="Compact"/>
            </w:pPr>
            <w:r>
              <w:t xml:space="preserve">-1.012</w:t>
            </w:r>
          </w:p>
        </w:tc>
        <w:tc>
          <w:tcPr/>
          <w:p>
            <w:pPr>
              <w:pStyle w:val="Compact"/>
            </w:pPr>
            <w:r>
              <w:t xml:space="preserve">0.710</w:t>
            </w:r>
          </w:p>
        </w:tc>
        <w:tc>
          <w:tcPr/>
          <w:p>
            <w:pPr>
              <w:pStyle w:val="Compact"/>
            </w:pPr>
            <w:r>
              <w:t xml:space="preserve">0.001</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31.496</w:t>
            </w:r>
          </w:p>
        </w:tc>
        <w:tc>
          <w:tcPr/>
          <w:p>
            <w:pPr>
              <w:pStyle w:val="Compact"/>
            </w:pPr>
            <w:r>
              <w:t xml:space="preserve">31.569</w:t>
            </w:r>
          </w:p>
        </w:tc>
        <w:tc>
          <w:tcPr/>
          <w:p>
            <w:pPr>
              <w:pStyle w:val="Compact"/>
            </w:pPr>
            <w:r>
              <w:t xml:space="preserve">0.015</w:t>
            </w:r>
          </w:p>
        </w:tc>
        <w:tc>
          <w:tcPr/>
          <w:p>
            <w:pPr>
              <w:pStyle w:val="Compact"/>
            </w:pPr>
            <w:r>
              <w:t xml:space="preserve">0.013</w:t>
            </w:r>
          </w:p>
        </w:tc>
        <w:tc>
          <w:tcPr/>
          <w:p>
            <w:pPr>
              <w:pStyle w:val="Compact"/>
            </w:pPr>
            <w:r>
              <w:t xml:space="preserve">0.740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Other/uncertain</w:t>
            </w:r>
          </w:p>
        </w:tc>
        <w:tc>
          <w:tcPr/>
          <w:p>
            <w:pPr>
              <w:pStyle w:val="Compact"/>
            </w:pPr>
            <w:r>
              <w:t xml:space="preserve">25.397</w:t>
            </w:r>
          </w:p>
        </w:tc>
        <w:tc>
          <w:tcPr/>
          <w:p>
            <w:pPr>
              <w:pStyle w:val="Compact"/>
            </w:pPr>
            <w:r>
              <w:t xml:space="preserve">32.293</w:t>
            </w:r>
          </w:p>
        </w:tc>
        <w:tc>
          <w:tcPr/>
          <w:p>
            <w:pPr>
              <w:pStyle w:val="Compact"/>
            </w:pPr>
            <w:r>
              <w:t xml:space="preserve">0.710</w:t>
            </w:r>
          </w:p>
        </w:tc>
        <w:tc>
          <w:tcPr/>
          <w:p>
            <w:pPr>
              <w:pStyle w:val="Compact"/>
            </w:pPr>
            <w:r>
              <w:t xml:space="preserve">0.644</w:t>
            </w:r>
          </w:p>
        </w:tc>
        <w:tc>
          <w:tcPr/>
          <w:p>
            <w:pPr>
              <w:pStyle w:val="Compact"/>
            </w:pPr>
            <w:r>
              <w:t xml:space="preserve">0.003</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844"/>
        <w:gridCol w:w="1735"/>
        <w:gridCol w:w="1735"/>
        <w:gridCol w:w="1627"/>
        <w:gridCol w:w="976"/>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16.3</w:t>
            </w:r>
          </w:p>
        </w:tc>
        <w:tc>
          <w:tcPr/>
          <w:p>
            <w:pPr>
              <w:pStyle w:val="Compact"/>
            </w:pPr>
            <w:r>
              <w:t xml:space="preserve">13.1</w:t>
            </w:r>
          </w:p>
        </w:tc>
        <w:tc>
          <w:tcPr/>
          <w:p>
            <w:pPr>
              <w:pStyle w:val="Compact"/>
            </w:pPr>
            <w:r>
              <w:t xml:space="preserve">-0.397</w:t>
            </w:r>
          </w:p>
        </w:tc>
        <w:tc>
          <w:tcPr/>
          <w:p>
            <w:pPr>
              <w:pStyle w:val="Compact"/>
            </w:pPr>
            <w:r>
              <w:t xml:space="preserve">0.008</w:t>
            </w:r>
          </w:p>
        </w:tc>
      </w:tr>
      <w:tr>
        <w:tc>
          <w:tcPr/>
          <w:p>
            <w:pPr>
              <w:pStyle w:val="Compact"/>
            </w:pPr>
            <w:r>
              <w:t xml:space="preserve">MIGS</w:t>
            </w:r>
          </w:p>
        </w:tc>
        <w:tc>
          <w:tcPr/>
          <w:p>
            <w:pPr>
              <w:pStyle w:val="Compact"/>
            </w:pPr>
            <w:r>
              <w:t xml:space="preserve">0.2</w:t>
            </w:r>
          </w:p>
        </w:tc>
        <w:tc>
          <w:tcPr/>
          <w:p>
            <w:pPr>
              <w:pStyle w:val="Compact"/>
            </w:pPr>
            <w:r>
              <w:t xml:space="preserve">0.9</w:t>
            </w:r>
          </w:p>
        </w:tc>
        <w:tc>
          <w:tcPr/>
          <w:p>
            <w:pPr>
              <w:pStyle w:val="Compact"/>
            </w:pPr>
            <w:r>
              <w:t xml:space="preserve">0.077</w:t>
            </w:r>
          </w:p>
        </w:tc>
        <w:tc>
          <w:tcPr/>
          <w:p>
            <w:pPr>
              <w:pStyle w:val="Compact"/>
            </w:pPr>
            <w:r>
              <w:t xml:space="preserve">0.004</w:t>
            </w:r>
          </w:p>
        </w:tc>
      </w:tr>
      <w:tr>
        <w:tc>
          <w:tcPr/>
          <w:p>
            <w:pPr>
              <w:pStyle w:val="Compact"/>
            </w:pPr>
            <w:r>
              <w:t xml:space="preserve">Other/uncertain</w:t>
            </w:r>
          </w:p>
        </w:tc>
        <w:tc>
          <w:tcPr/>
          <w:p>
            <w:pPr>
              <w:pStyle w:val="Compact"/>
            </w:pPr>
            <w:r>
              <w:t xml:space="preserve">6.0</w:t>
            </w:r>
          </w:p>
        </w:tc>
        <w:tc>
          <w:tcPr/>
          <w:p>
            <w:pPr>
              <w:pStyle w:val="Compact"/>
            </w:pPr>
            <w:r>
              <w:t xml:space="preserve">9.8</w:t>
            </w:r>
          </w:p>
        </w:tc>
        <w:tc>
          <w:tcPr/>
          <w:p>
            <w:pPr>
              <w:pStyle w:val="Compact"/>
            </w:pPr>
            <w:r>
              <w:t xml:space="preserve">0.488</w:t>
            </w:r>
          </w:p>
        </w:tc>
        <w:tc>
          <w:tcPr/>
          <w:p>
            <w:pPr>
              <w:pStyle w:val="Compact"/>
            </w:pPr>
            <w:r>
              <w:t xml:space="preserve">&lt;0.001</w:t>
            </w:r>
          </w:p>
        </w:tc>
      </w:tr>
      <w:tr>
        <w:tc>
          <w:tcPr/>
          <w:p>
            <w:pPr>
              <w:pStyle w:val="Compact"/>
            </w:pPr>
            <w:r>
              <w:t xml:space="preserve">URPS (OB/GYN)</w:t>
            </w:r>
          </w:p>
        </w:tc>
        <w:tc>
          <w:tcPr/>
          <w:p>
            <w:pPr>
              <w:pStyle w:val="Compact"/>
            </w:pPr>
            <w:r>
              <w:t xml:space="preserve">45.8</w:t>
            </w:r>
          </w:p>
        </w:tc>
        <w:tc>
          <w:tcPr/>
          <w:p>
            <w:pPr>
              <w:pStyle w:val="Compact"/>
            </w:pPr>
            <w:r>
              <w:t xml:space="preserve">60.6</w:t>
            </w:r>
          </w:p>
        </w:tc>
        <w:tc>
          <w:tcPr/>
          <w:p>
            <w:pPr>
              <w:pStyle w:val="Compact"/>
            </w:pPr>
            <w:r>
              <w:t xml:space="preserve">1.416</w:t>
            </w:r>
          </w:p>
        </w:tc>
        <w:tc>
          <w:tcPr/>
          <w:p>
            <w:pPr>
              <w:pStyle w:val="Compact"/>
            </w:pPr>
            <w:r>
              <w:t xml:space="preserve">&lt;0.001</w:t>
            </w:r>
          </w:p>
        </w:tc>
      </w:tr>
      <w:tr>
        <w:tc>
          <w:tcPr/>
          <w:p>
            <w:pPr>
              <w:pStyle w:val="Compact"/>
            </w:pPr>
            <w:r>
              <w:t xml:space="preserve">URPS (urology)</w:t>
            </w:r>
          </w:p>
        </w:tc>
        <w:tc>
          <w:tcPr/>
          <w:p>
            <w:pPr>
              <w:pStyle w:val="Compact"/>
            </w:pPr>
            <w:r>
              <w:t xml:space="preserve">9.3</w:t>
            </w:r>
          </w:p>
        </w:tc>
        <w:tc>
          <w:tcPr/>
          <w:p>
            <w:pPr>
              <w:pStyle w:val="Compact"/>
            </w:pPr>
            <w:r>
              <w:t xml:space="preserve">7.4</w:t>
            </w:r>
          </w:p>
        </w:tc>
        <w:tc>
          <w:tcPr/>
          <w:p>
            <w:pPr>
              <w:pStyle w:val="Compact"/>
            </w:pPr>
            <w:r>
              <w:t xml:space="preserve">-0.299</w:t>
            </w:r>
          </w:p>
        </w:tc>
        <w:tc>
          <w:tcPr/>
          <w:p>
            <w:pPr>
              <w:pStyle w:val="Compact"/>
            </w:pPr>
            <w:r>
              <w:t xml:space="preserve">0.001</w:t>
            </w:r>
          </w:p>
        </w:tc>
      </w:tr>
      <w:tr>
        <w:tc>
          <w:tcPr/>
          <w:p>
            <w:pPr>
              <w:pStyle w:val="Compact"/>
            </w:pPr>
            <w:r>
              <w:t xml:space="preserve">Urology</w:t>
            </w:r>
          </w:p>
        </w:tc>
        <w:tc>
          <w:tcPr/>
          <w:p>
            <w:pPr>
              <w:pStyle w:val="Compact"/>
            </w:pPr>
            <w:r>
              <w:t xml:space="preserve">22.4</w:t>
            </w:r>
          </w:p>
        </w:tc>
        <w:tc>
          <w:tcPr/>
          <w:p>
            <w:pPr>
              <w:pStyle w:val="Compact"/>
            </w:pPr>
            <w:r>
              <w:t xml:space="preserve">8.3</w:t>
            </w:r>
          </w:p>
        </w:tc>
        <w:tc>
          <w:tcPr/>
          <w:p>
            <w:pPr>
              <w:pStyle w:val="Compact"/>
            </w:pPr>
            <w:r>
              <w:t xml:space="preserve">-1.284</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21.79 (20.23-23.48)</w:t>
            </w:r>
          </w:p>
        </w:tc>
        <w:tc>
          <w:tcPr/>
          <w:p>
            <w:pPr>
              <w:pStyle w:val="Compact"/>
            </w:pPr>
            <w:r>
              <w:t xml:space="preserve">n/a</w:t>
            </w:r>
          </w:p>
        </w:tc>
      </w:tr>
      <w:tr>
        <w:tc>
          <w:tcPr/>
          <w:p>
            <w:pPr>
              <w:pStyle w:val="Compact"/>
            </w:pPr>
            <w:r>
              <w:t xml:space="preserve">Specialty: General OB/GYN</w:t>
            </w:r>
          </w:p>
        </w:tc>
        <w:tc>
          <w:tcPr/>
          <w:p>
            <w:pPr>
              <w:pStyle w:val="Compact"/>
            </w:pPr>
            <w:r>
              <w:t xml:space="preserve">0.64 (0.46-0.90)</w:t>
            </w:r>
          </w:p>
        </w:tc>
        <w:tc>
          <w:tcPr/>
          <w:p>
            <w:pPr>
              <w:pStyle w:val="Compact"/>
            </w:pPr>
            <w:r>
              <w:t xml:space="preserve">0.010</w:t>
            </w:r>
          </w:p>
        </w:tc>
      </w:tr>
      <w:tr>
        <w:tc>
          <w:tcPr/>
          <w:p>
            <w:pPr>
              <w:pStyle w:val="Compact"/>
            </w:pPr>
            <w:r>
              <w:t xml:space="preserve">Specialty: MIGS</w:t>
            </w:r>
          </w:p>
        </w:tc>
        <w:tc>
          <w:tcPr/>
          <w:p>
            <w:pPr>
              <w:pStyle w:val="Compact"/>
            </w:pPr>
            <w:r>
              <w:t xml:space="preserve">0.88 (0.58-1.34)</w:t>
            </w:r>
          </w:p>
        </w:tc>
        <w:tc>
          <w:tcPr/>
          <w:p>
            <w:pPr>
              <w:pStyle w:val="Compact"/>
            </w:pPr>
            <w:r>
              <w:t xml:space="preserve">0.540</w:t>
            </w:r>
          </w:p>
        </w:tc>
      </w:tr>
      <w:tr>
        <w:tc>
          <w:tcPr/>
          <w:p>
            <w:pPr>
              <w:pStyle w:val="Compact"/>
            </w:pPr>
            <w:r>
              <w:t xml:space="preserve">Specialty: Other/uncertain</w:t>
            </w:r>
          </w:p>
        </w:tc>
        <w:tc>
          <w:tcPr/>
          <w:p>
            <w:pPr>
              <w:pStyle w:val="Compact"/>
            </w:pPr>
            <w:r>
              <w:t xml:space="preserve">0.89 (0.80-0.98)</w:t>
            </w:r>
          </w:p>
        </w:tc>
        <w:tc>
          <w:tcPr/>
          <w:p>
            <w:pPr>
              <w:pStyle w:val="Compact"/>
            </w:pPr>
            <w:r>
              <w:t xml:space="preserve">0.020</w:t>
            </w:r>
          </w:p>
        </w:tc>
      </w:tr>
      <w:tr>
        <w:tc>
          <w:tcPr/>
          <w:p>
            <w:pPr>
              <w:pStyle w:val="Compact"/>
            </w:pPr>
            <w:r>
              <w:t xml:space="preserve">Specialty: Urology</w:t>
            </w:r>
          </w:p>
        </w:tc>
        <w:tc>
          <w:tcPr/>
          <w:p>
            <w:pPr>
              <w:pStyle w:val="Compact"/>
            </w:pPr>
            <w:r>
              <w:t xml:space="preserve">0.69 (0.57-0.83)</w:t>
            </w:r>
          </w:p>
        </w:tc>
        <w:tc>
          <w:tcPr/>
          <w:p>
            <w:pPr>
              <w:pStyle w:val="Compact"/>
            </w:pPr>
            <w:r>
              <w:t xml:space="preserve">n/a</w:t>
            </w:r>
          </w:p>
        </w:tc>
      </w:tr>
      <w:tr>
        <w:tc>
          <w:tcPr/>
          <w:p>
            <w:pPr>
              <w:pStyle w:val="Compact"/>
            </w:pPr>
            <w:r>
              <w:t xml:space="preserve">Specialty: URPS (urology)</w:t>
            </w:r>
          </w:p>
        </w:tc>
        <w:tc>
          <w:tcPr/>
          <w:p>
            <w:pPr>
              <w:pStyle w:val="Compact"/>
            </w:pPr>
            <w:r>
              <w:t xml:space="preserve">0.75 (0.68-0.83)</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0.006</w:t>
            </w:r>
          </w:p>
        </w:tc>
      </w:tr>
      <w:tr>
        <w:tc>
          <w:tcPr/>
          <w:p>
            <w:pPr>
              <w:pStyle w:val="Compact"/>
            </w:pPr>
            <w:r>
              <w:t xml:space="preserve">Specialty: Other/uncertain:year_c</w:t>
            </w:r>
          </w:p>
        </w:tc>
        <w:tc>
          <w:tcPr/>
          <w:p>
            <w:pPr>
              <w:pStyle w:val="Compact"/>
            </w:pPr>
            <w:r>
              <w:t xml:space="preserve">0.99 (0.95-1.03)</w:t>
            </w:r>
          </w:p>
        </w:tc>
        <w:tc>
          <w:tcPr/>
          <w:p>
            <w:pPr>
              <w:pStyle w:val="Compact"/>
            </w:pPr>
            <w:r>
              <w:t xml:space="preserve">0.550</w:t>
            </w:r>
          </w:p>
        </w:tc>
      </w:tr>
      <w:tr>
        <w:tc>
          <w:tcPr/>
          <w:p>
            <w:pPr>
              <w:pStyle w:val="Compact"/>
            </w:pPr>
            <w:r>
              <w:t xml:space="preserve">Specialty: Urology:year_c</w:t>
            </w:r>
          </w:p>
        </w:tc>
        <w:tc>
          <w:tcPr/>
          <w:p>
            <w:pPr>
              <w:pStyle w:val="Compact"/>
            </w:pPr>
            <w:r>
              <w:t xml:space="preserve">0.99 (0.97-1.01)</w:t>
            </w:r>
          </w:p>
        </w:tc>
        <w:tc>
          <w:tcPr/>
          <w:p>
            <w:pPr>
              <w:pStyle w:val="Compact"/>
            </w:pPr>
            <w:r>
              <w:t xml:space="preserve">0.230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60"/>
        <w:gridCol w:w="898"/>
        <w:gridCol w:w="326"/>
        <w:gridCol w:w="734"/>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97.35</w:t>
            </w:r>
          </w:p>
        </w:tc>
        <w:tc>
          <w:tcPr/>
          <w:p>
            <w:pPr>
              <w:pStyle w:val="Compact"/>
            </w:pPr>
            <w:r>
              <w:t xml:space="preserve">5</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Other/uncertain vs General OB/GYN</w:t>
            </w:r>
          </w:p>
        </w:tc>
        <w:tc>
          <w:tcPr/>
          <w:p>
            <w:pPr>
              <w:pStyle w:val="Compact"/>
            </w:pPr>
            <w:r>
              <w:t xml:space="preserve">n/a</w:t>
            </w:r>
          </w:p>
        </w:tc>
        <w:tc>
          <w:tcPr/>
          <w:p>
            <w:pPr>
              <w:pStyle w:val="Compact"/>
            </w:pPr>
            <w:r>
              <w:t xml:space="preserve">NA</w:t>
            </w:r>
          </w:p>
        </w:tc>
        <w:tc>
          <w:tcPr/>
          <w:p>
            <w:pPr>
              <w:pStyle w:val="Compact"/>
            </w:pPr>
            <w:r>
              <w:t xml:space="preserve">0.002</w:t>
            </w:r>
          </w:p>
        </w:tc>
      </w:tr>
      <w:tr>
        <w:tc>
          <w:tcPr/>
          <w:p>
            <w:pPr>
              <w:pStyle w:val="Compact"/>
            </w:pPr>
            <w:r>
              <w:t xml:space="preserve">Wilcoxon (per-physician, bonferroni): Other/uncertain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Other/uncertain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Other/uncertain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Other/uncertain</w:t>
            </w:r>
          </w:p>
        </w:tc>
        <w:tc>
          <w:tcPr/>
          <w:p>
            <w:pPr>
              <w:pStyle w:val="Compact"/>
            </w:pPr>
            <w:r>
              <w:t xml:space="preserve">n/a</w:t>
            </w:r>
          </w:p>
        </w:tc>
        <w:tc>
          <w:tcPr/>
          <w:p>
            <w:pPr>
              <w:pStyle w:val="Compact"/>
            </w:pPr>
            <w:r>
              <w:t xml:space="preserve">NA</w:t>
            </w:r>
          </w:p>
        </w:tc>
        <w:tc>
          <w:tcPr/>
          <w:p>
            <w:pPr>
              <w:pStyle w:val="Compact"/>
            </w:pPr>
            <w:r>
              <w:t xml:space="preserve">0.76</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0.86</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138</w:t>
            </w:r>
          </w:p>
        </w:tc>
        <w:tc>
          <w:tcPr/>
          <w:p>
            <w:pPr>
              <w:pStyle w:val="Compact"/>
            </w:pPr>
            <w:r>
              <w:t xml:space="preserve">50</w:t>
            </w:r>
          </w:p>
        </w:tc>
        <w:tc>
          <w:tcPr/>
          <w:p>
            <w:pPr>
              <w:pStyle w:val="Compact"/>
            </w:pPr>
            <w:r>
              <w:t xml:space="preserve">36.2%</w:t>
            </w:r>
          </w:p>
        </w:tc>
        <w:tc>
          <w:tcPr/>
          <w:p>
            <w:pPr>
              <w:pStyle w:val="Compact"/>
            </w:pPr>
            <w:r>
              <w:t xml:space="preserve">Yes</w:t>
            </w:r>
          </w:p>
        </w:tc>
      </w:tr>
      <w:tr>
        <w:tc>
          <w:tcPr/>
          <w:p>
            <w:pPr>
              <w:pStyle w:val="Compact"/>
            </w:pPr>
            <w:r>
              <w:t xml:space="preserve">TX</w:t>
            </w:r>
          </w:p>
        </w:tc>
        <w:tc>
          <w:tcPr/>
          <w:p>
            <w:pPr>
              <w:pStyle w:val="Compact"/>
            </w:pPr>
            <w:r>
              <w:t xml:space="preserve">133</w:t>
            </w:r>
          </w:p>
        </w:tc>
        <w:tc>
          <w:tcPr/>
          <w:p>
            <w:pPr>
              <w:pStyle w:val="Compact"/>
            </w:pPr>
            <w:r>
              <w:t xml:space="preserve">47</w:t>
            </w:r>
          </w:p>
        </w:tc>
        <w:tc>
          <w:tcPr/>
          <w:p>
            <w:pPr>
              <w:pStyle w:val="Compact"/>
            </w:pPr>
            <w:r>
              <w:t xml:space="preserve">35.3%</w:t>
            </w:r>
          </w:p>
        </w:tc>
        <w:tc>
          <w:tcPr/>
          <w:p>
            <w:pPr>
              <w:pStyle w:val="Compact"/>
            </w:pPr>
            <w:r>
              <w:t xml:space="preserve">Yes</w:t>
            </w:r>
          </w:p>
        </w:tc>
      </w:tr>
      <w:tr>
        <w:tc>
          <w:tcPr/>
          <w:p>
            <w:pPr>
              <w:pStyle w:val="Compact"/>
            </w:pPr>
            <w:r>
              <w:t xml:space="preserve">FL</w:t>
            </w:r>
          </w:p>
        </w:tc>
        <w:tc>
          <w:tcPr/>
          <w:p>
            <w:pPr>
              <w:pStyle w:val="Compact"/>
            </w:pPr>
            <w:r>
              <w:t xml:space="preserve">127</w:t>
            </w:r>
          </w:p>
        </w:tc>
        <w:tc>
          <w:tcPr/>
          <w:p>
            <w:pPr>
              <w:pStyle w:val="Compact"/>
            </w:pPr>
            <w:r>
              <w:t xml:space="preserve">49</w:t>
            </w:r>
          </w:p>
        </w:tc>
        <w:tc>
          <w:tcPr/>
          <w:p>
            <w:pPr>
              <w:pStyle w:val="Compact"/>
            </w:pPr>
            <w:r>
              <w:t xml:space="preserve">38.6%</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62</w:t>
            </w:r>
          </w:p>
        </w:tc>
        <w:tc>
          <w:tcPr/>
          <w:p>
            <w:pPr>
              <w:pStyle w:val="Compact"/>
            </w:pPr>
            <w:r>
              <w:t xml:space="preserve">39</w:t>
            </w:r>
          </w:p>
        </w:tc>
        <w:tc>
          <w:tcPr/>
          <w:p>
            <w:pPr>
              <w:pStyle w:val="Compact"/>
            </w:pPr>
            <w:r>
              <w:t xml:space="preserve">62.9%</w:t>
            </w:r>
          </w:p>
        </w:tc>
        <w:tc>
          <w:tcPr/>
          <w:p>
            <w:pPr>
              <w:pStyle w:val="Compact"/>
            </w:pPr>
            <w:r>
              <w:t xml:space="preserve">Yes</w:t>
            </w:r>
          </w:p>
        </w:tc>
      </w:tr>
      <w:tr>
        <w:tc>
          <w:tcPr/>
          <w:p>
            <w:pPr>
              <w:pStyle w:val="Compact"/>
            </w:pPr>
            <w:r>
              <w:t xml:space="preserve">OH</w:t>
            </w:r>
          </w:p>
        </w:tc>
        <w:tc>
          <w:tcPr/>
          <w:p>
            <w:pPr>
              <w:pStyle w:val="Compact"/>
            </w:pPr>
            <w:r>
              <w:t xml:space="preserve">59</w:t>
            </w:r>
          </w:p>
        </w:tc>
        <w:tc>
          <w:tcPr/>
          <w:p>
            <w:pPr>
              <w:pStyle w:val="Compact"/>
            </w:pPr>
            <w:r>
              <w:t xml:space="preserve">44</w:t>
            </w:r>
          </w:p>
        </w:tc>
        <w:tc>
          <w:tcPr/>
          <w:p>
            <w:pPr>
              <w:pStyle w:val="Compact"/>
            </w:pPr>
            <w:r>
              <w:t xml:space="preserve">74.6%</w:t>
            </w:r>
          </w:p>
        </w:tc>
        <w:tc>
          <w:tcPr/>
          <w:p>
            <w:pPr>
              <w:pStyle w:val="Compact"/>
            </w:pPr>
            <w:r>
              <w:t xml:space="preserve">Yes</w:t>
            </w:r>
          </w:p>
        </w:tc>
      </w:tr>
      <w:tr>
        <w:tc>
          <w:tcPr/>
          <w:p>
            <w:pPr>
              <w:pStyle w:val="Compact"/>
            </w:pPr>
            <w:r>
              <w:t xml:space="preserve">PA</w:t>
            </w:r>
          </w:p>
        </w:tc>
        <w:tc>
          <w:tcPr/>
          <w:p>
            <w:pPr>
              <w:pStyle w:val="Compact"/>
            </w:pPr>
            <w:r>
              <w:t xml:space="preserve">57</w:t>
            </w:r>
          </w:p>
        </w:tc>
        <w:tc>
          <w:tcPr/>
          <w:p>
            <w:pPr>
              <w:pStyle w:val="Compact"/>
            </w:pPr>
            <w:r>
              <w:t xml:space="preserve">33</w:t>
            </w:r>
          </w:p>
        </w:tc>
        <w:tc>
          <w:tcPr/>
          <w:p>
            <w:pPr>
              <w:pStyle w:val="Compact"/>
            </w:pPr>
            <w:r>
              <w:t xml:space="preserve">57.9%</w:t>
            </w:r>
          </w:p>
        </w:tc>
        <w:tc>
          <w:tcPr/>
          <w:p>
            <w:pPr>
              <w:pStyle w:val="Compact"/>
            </w:pPr>
            <w:r>
              <w:t xml:space="preserve">Yes</w:t>
            </w:r>
          </w:p>
        </w:tc>
      </w:tr>
      <w:tr>
        <w:tc>
          <w:tcPr/>
          <w:p>
            <w:pPr>
              <w:pStyle w:val="Compact"/>
            </w:pPr>
            <w:r>
              <w:t xml:space="preserve">AZ</w:t>
            </w:r>
          </w:p>
        </w:tc>
        <w:tc>
          <w:tcPr/>
          <w:p>
            <w:pPr>
              <w:pStyle w:val="Compact"/>
            </w:pPr>
            <w:r>
              <w:t xml:space="preserve">55</w:t>
            </w:r>
          </w:p>
        </w:tc>
        <w:tc>
          <w:tcPr/>
          <w:p>
            <w:pPr>
              <w:pStyle w:val="Compact"/>
            </w:pPr>
            <w:r>
              <w:t xml:space="preserve">19</w:t>
            </w:r>
          </w:p>
        </w:tc>
        <w:tc>
          <w:tcPr/>
          <w:p>
            <w:pPr>
              <w:pStyle w:val="Compact"/>
            </w:pPr>
            <w:r>
              <w:t xml:space="preserve">34.5%</w:t>
            </w:r>
          </w:p>
        </w:tc>
        <w:tc>
          <w:tcPr/>
          <w:p>
            <w:pPr>
              <w:pStyle w:val="Compact"/>
            </w:pPr>
            <w:r>
              <w:t xml:space="preserve">Yes</w:t>
            </w:r>
          </w:p>
        </w:tc>
      </w:tr>
      <w:tr>
        <w:tc>
          <w:tcPr/>
          <w:p>
            <w:pPr>
              <w:pStyle w:val="Compact"/>
            </w:pPr>
            <w:r>
              <w:t xml:space="preserve">MI</w:t>
            </w:r>
          </w:p>
        </w:tc>
        <w:tc>
          <w:tcPr/>
          <w:p>
            <w:pPr>
              <w:pStyle w:val="Compact"/>
            </w:pPr>
            <w:r>
              <w:t xml:space="preserve">52</w:t>
            </w:r>
          </w:p>
        </w:tc>
        <w:tc>
          <w:tcPr/>
          <w:p>
            <w:pPr>
              <w:pStyle w:val="Compact"/>
            </w:pPr>
            <w:r>
              <w:t xml:space="preserve">22</w:t>
            </w:r>
          </w:p>
        </w:tc>
        <w:tc>
          <w:tcPr/>
          <w:p>
            <w:pPr>
              <w:pStyle w:val="Compact"/>
            </w:pPr>
            <w:r>
              <w:t xml:space="preserve">42.3%</w:t>
            </w:r>
          </w:p>
        </w:tc>
        <w:tc>
          <w:tcPr/>
          <w:p>
            <w:pPr>
              <w:pStyle w:val="Compact"/>
            </w:pPr>
            <w:r>
              <w:t xml:space="preserve">Yes</w:t>
            </w:r>
          </w:p>
        </w:tc>
      </w:tr>
      <w:tr>
        <w:tc>
          <w:tcPr/>
          <w:p>
            <w:pPr>
              <w:pStyle w:val="Compact"/>
            </w:pPr>
            <w:r>
              <w:t xml:space="preserve">NC</w:t>
            </w:r>
          </w:p>
        </w:tc>
        <w:tc>
          <w:tcPr/>
          <w:p>
            <w:pPr>
              <w:pStyle w:val="Compact"/>
            </w:pPr>
            <w:r>
              <w:t xml:space="preserve">52</w:t>
            </w:r>
          </w:p>
        </w:tc>
        <w:tc>
          <w:tcPr/>
          <w:p>
            <w:pPr>
              <w:pStyle w:val="Compact"/>
            </w:pPr>
            <w:r>
              <w:t xml:space="preserve">35</w:t>
            </w:r>
          </w:p>
        </w:tc>
        <w:tc>
          <w:tcPr/>
          <w:p>
            <w:pPr>
              <w:pStyle w:val="Compact"/>
            </w:pPr>
            <w:r>
              <w:t xml:space="preserve">67.3%</w:t>
            </w:r>
          </w:p>
        </w:tc>
        <w:tc>
          <w:tcPr/>
          <w:p>
            <w:pPr>
              <w:pStyle w:val="Compact"/>
            </w:pPr>
            <w:r>
              <w:t xml:space="preserve">Yes</w:t>
            </w:r>
          </w:p>
        </w:tc>
      </w:tr>
      <w:tr>
        <w:tc>
          <w:tcPr/>
          <w:p>
            <w:pPr>
              <w:pStyle w:val="Compact"/>
            </w:pPr>
            <w:r>
              <w:t xml:space="preserve">NJ</w:t>
            </w:r>
          </w:p>
        </w:tc>
        <w:tc>
          <w:tcPr/>
          <w:p>
            <w:pPr>
              <w:pStyle w:val="Compact"/>
            </w:pPr>
            <w:r>
              <w:t xml:space="preserve">52</w:t>
            </w:r>
          </w:p>
        </w:tc>
        <w:tc>
          <w:tcPr/>
          <w:p>
            <w:pPr>
              <w:pStyle w:val="Compact"/>
            </w:pPr>
            <w:r>
              <w:t xml:space="preserve">28</w:t>
            </w:r>
          </w:p>
        </w:tc>
        <w:tc>
          <w:tcPr/>
          <w:p>
            <w:pPr>
              <w:pStyle w:val="Compact"/>
            </w:pPr>
            <w:r>
              <w:t xml:space="preserve">53.8%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TN</w:t>
            </w:r>
          </w:p>
        </w:tc>
        <w:tc>
          <w:tcPr/>
          <w:p>
            <w:pPr>
              <w:pStyle w:val="Compact"/>
            </w:pPr>
            <w:r>
              <w:t xml:space="preserve">48</w:t>
            </w:r>
          </w:p>
        </w:tc>
        <w:tc>
          <w:tcPr/>
          <w:p>
            <w:pPr>
              <w:pStyle w:val="Compact"/>
            </w:pPr>
            <w:r>
              <w:t xml:space="preserve">20</w:t>
            </w:r>
          </w:p>
        </w:tc>
        <w:tc>
          <w:tcPr/>
          <w:p>
            <w:pPr>
              <w:pStyle w:val="Compact"/>
            </w:pPr>
            <w:r>
              <w:t xml:space="preserve">41.7%</w:t>
            </w:r>
          </w:p>
        </w:tc>
        <w:tc>
          <w:tcPr/>
          <w:p>
            <w:pPr>
              <w:pStyle w:val="Compact"/>
            </w:pPr>
            <w:r>
              <w:t xml:space="preserve">Yes</w:t>
            </w:r>
          </w:p>
        </w:tc>
      </w:tr>
      <w:tr>
        <w:tc>
          <w:tcPr/>
          <w:p>
            <w:pPr>
              <w:pStyle w:val="Compact"/>
            </w:pPr>
            <w:r>
              <w:t xml:space="preserve">WA</w:t>
            </w:r>
          </w:p>
        </w:tc>
        <w:tc>
          <w:tcPr/>
          <w:p>
            <w:pPr>
              <w:pStyle w:val="Compact"/>
            </w:pPr>
            <w:r>
              <w:t xml:space="preserve">44</w:t>
            </w:r>
          </w:p>
        </w:tc>
        <w:tc>
          <w:tcPr/>
          <w:p>
            <w:pPr>
              <w:pStyle w:val="Compact"/>
            </w:pPr>
            <w:r>
              <w:t xml:space="preserve">19</w:t>
            </w:r>
          </w:p>
        </w:tc>
        <w:tc>
          <w:tcPr/>
          <w:p>
            <w:pPr>
              <w:pStyle w:val="Compact"/>
            </w:pPr>
            <w:r>
              <w:t xml:space="preserve">43.2%</w:t>
            </w:r>
          </w:p>
        </w:tc>
        <w:tc>
          <w:tcPr/>
          <w:p>
            <w:pPr>
              <w:pStyle w:val="Compact"/>
            </w:pPr>
            <w:r>
              <w:t xml:space="preserve">Yes</w:t>
            </w:r>
          </w:p>
        </w:tc>
      </w:tr>
      <w:tr>
        <w:tc>
          <w:tcPr/>
          <w:p>
            <w:pPr>
              <w:pStyle w:val="Compact"/>
            </w:pPr>
            <w:r>
              <w:t xml:space="preserve">GA</w:t>
            </w:r>
          </w:p>
        </w:tc>
        <w:tc>
          <w:tcPr/>
          <w:p>
            <w:pPr>
              <w:pStyle w:val="Compact"/>
            </w:pPr>
            <w:r>
              <w:t xml:space="preserve">39</w:t>
            </w:r>
          </w:p>
        </w:tc>
        <w:tc>
          <w:tcPr/>
          <w:p>
            <w:pPr>
              <w:pStyle w:val="Compact"/>
            </w:pPr>
            <w:r>
              <w:t xml:space="preserve">17</w:t>
            </w:r>
          </w:p>
        </w:tc>
        <w:tc>
          <w:tcPr/>
          <w:p>
            <w:pPr>
              <w:pStyle w:val="Compact"/>
            </w:pPr>
            <w:r>
              <w:t xml:space="preserve">43.6%</w:t>
            </w:r>
          </w:p>
        </w:tc>
        <w:tc>
          <w:tcPr/>
          <w:p>
            <w:pPr>
              <w:pStyle w:val="Compact"/>
            </w:pPr>
            <w:r>
              <w:t xml:space="preserve">Yes</w:t>
            </w:r>
          </w:p>
        </w:tc>
      </w:tr>
      <w:tr>
        <w:tc>
          <w:tcPr/>
          <w:p>
            <w:pPr>
              <w:pStyle w:val="Compact"/>
            </w:pPr>
            <w:r>
              <w:t xml:space="preserve">MO</w:t>
            </w:r>
          </w:p>
        </w:tc>
        <w:tc>
          <w:tcPr/>
          <w:p>
            <w:pPr>
              <w:pStyle w:val="Compact"/>
            </w:pPr>
            <w:r>
              <w:t xml:space="preserve">39</w:t>
            </w:r>
          </w:p>
        </w:tc>
        <w:tc>
          <w:tcPr/>
          <w:p>
            <w:pPr>
              <w:pStyle w:val="Compact"/>
            </w:pPr>
            <w:r>
              <w:t xml:space="preserve">16</w:t>
            </w:r>
          </w:p>
        </w:tc>
        <w:tc>
          <w:tcPr/>
          <w:p>
            <w:pPr>
              <w:pStyle w:val="Compact"/>
            </w:pPr>
            <w:r>
              <w:t xml:space="preserve">41.0%</w:t>
            </w:r>
          </w:p>
        </w:tc>
        <w:tc>
          <w:tcPr/>
          <w:p>
            <w:pPr>
              <w:pStyle w:val="Compact"/>
            </w:pPr>
            <w:r>
              <w:t xml:space="preserve">Yes</w:t>
            </w:r>
          </w:p>
        </w:tc>
      </w:tr>
      <w:tr>
        <w:tc>
          <w:tcPr/>
          <w:p>
            <w:pPr>
              <w:pStyle w:val="Compact"/>
            </w:pPr>
            <w:r>
              <w:t xml:space="preserve">VA</w:t>
            </w:r>
          </w:p>
        </w:tc>
        <w:tc>
          <w:tcPr/>
          <w:p>
            <w:pPr>
              <w:pStyle w:val="Compact"/>
            </w:pPr>
            <w:r>
              <w:t xml:space="preserve">39</w:t>
            </w:r>
          </w:p>
        </w:tc>
        <w:tc>
          <w:tcPr/>
          <w:p>
            <w:pPr>
              <w:pStyle w:val="Compact"/>
            </w:pPr>
            <w:r>
              <w:t xml:space="preserve">27</w:t>
            </w:r>
          </w:p>
        </w:tc>
        <w:tc>
          <w:tcPr/>
          <w:p>
            <w:pPr>
              <w:pStyle w:val="Compact"/>
            </w:pPr>
            <w:r>
              <w:t xml:space="preserve">69.2%</w:t>
            </w:r>
          </w:p>
        </w:tc>
        <w:tc>
          <w:tcPr/>
          <w:p>
            <w:pPr>
              <w:pStyle w:val="Compact"/>
            </w:pPr>
            <w:r>
              <w:t xml:space="preserve">Yes</w:t>
            </w:r>
          </w:p>
        </w:tc>
      </w:tr>
      <w:tr>
        <w:tc>
          <w:tcPr/>
          <w:p>
            <w:pPr>
              <w:pStyle w:val="Compact"/>
            </w:pPr>
            <w:r>
              <w:t xml:space="preserve">IN</w:t>
            </w:r>
          </w:p>
        </w:tc>
        <w:tc>
          <w:tcPr/>
          <w:p>
            <w:pPr>
              <w:pStyle w:val="Compact"/>
            </w:pPr>
            <w:r>
              <w:t xml:space="preserve">37</w:t>
            </w:r>
          </w:p>
        </w:tc>
        <w:tc>
          <w:tcPr/>
          <w:p>
            <w:pPr>
              <w:pStyle w:val="Compact"/>
            </w:pPr>
            <w:r>
              <w:t xml:space="preserve">13</w:t>
            </w:r>
          </w:p>
        </w:tc>
        <w:tc>
          <w:tcPr/>
          <w:p>
            <w:pPr>
              <w:pStyle w:val="Compact"/>
            </w:pPr>
            <w:r>
              <w:t xml:space="preserve">35.1%</w:t>
            </w:r>
          </w:p>
        </w:tc>
        <w:tc>
          <w:tcPr/>
          <w:p>
            <w:pPr>
              <w:pStyle w:val="Compact"/>
            </w:pPr>
            <w:r>
              <w:t xml:space="preserve">Yes</w:t>
            </w:r>
          </w:p>
        </w:tc>
      </w:tr>
      <w:tr>
        <w:tc>
          <w:tcPr/>
          <w:p>
            <w:pPr>
              <w:pStyle w:val="Compact"/>
            </w:pPr>
            <w:r>
              <w:t xml:space="preserve">AL</w:t>
            </w:r>
          </w:p>
        </w:tc>
        <w:tc>
          <w:tcPr/>
          <w:p>
            <w:pPr>
              <w:pStyle w:val="Compact"/>
            </w:pPr>
            <w:r>
              <w:t xml:space="preserve">35</w:t>
            </w:r>
          </w:p>
        </w:tc>
        <w:tc>
          <w:tcPr/>
          <w:p>
            <w:pPr>
              <w:pStyle w:val="Compact"/>
            </w:pPr>
            <w:r>
              <w:t xml:space="preserve">12</w:t>
            </w:r>
          </w:p>
        </w:tc>
        <w:tc>
          <w:tcPr/>
          <w:p>
            <w:pPr>
              <w:pStyle w:val="Compact"/>
            </w:pPr>
            <w:r>
              <w:t xml:space="preserve">34.3%</w:t>
            </w:r>
          </w:p>
        </w:tc>
        <w:tc>
          <w:tcPr/>
          <w:p>
            <w:pPr>
              <w:pStyle w:val="Compact"/>
            </w:pPr>
            <w:r>
              <w:t xml:space="preserve">Yes</w:t>
            </w:r>
          </w:p>
        </w:tc>
      </w:tr>
      <w:tr>
        <w:tc>
          <w:tcPr/>
          <w:p>
            <w:pPr>
              <w:pStyle w:val="Compact"/>
            </w:pPr>
            <w:r>
              <w:t xml:space="preserve">SC</w:t>
            </w:r>
          </w:p>
        </w:tc>
        <w:tc>
          <w:tcPr/>
          <w:p>
            <w:pPr>
              <w:pStyle w:val="Compact"/>
            </w:pPr>
            <w:r>
              <w:t xml:space="preserve">31</w:t>
            </w:r>
          </w:p>
        </w:tc>
        <w:tc>
          <w:tcPr/>
          <w:p>
            <w:pPr>
              <w:pStyle w:val="Compact"/>
            </w:pPr>
            <w:r>
              <w:t xml:space="preserve">11</w:t>
            </w:r>
          </w:p>
        </w:tc>
        <w:tc>
          <w:tcPr/>
          <w:p>
            <w:pPr>
              <w:pStyle w:val="Compact"/>
            </w:pPr>
            <w:r>
              <w:t xml:space="preserve">35.5%</w:t>
            </w:r>
          </w:p>
        </w:tc>
        <w:tc>
          <w:tcPr/>
          <w:p>
            <w:pPr>
              <w:pStyle w:val="Compact"/>
            </w:pPr>
            <w:r>
              <w:t xml:space="preserve">Yes</w:t>
            </w:r>
          </w:p>
        </w:tc>
      </w:tr>
      <w:tr>
        <w:tc>
          <w:tcPr/>
          <w:p>
            <w:pPr>
              <w:pStyle w:val="Compact"/>
            </w:pPr>
            <w:r>
              <w:t xml:space="preserve">MD</w:t>
            </w:r>
          </w:p>
        </w:tc>
        <w:tc>
          <w:tcPr/>
          <w:p>
            <w:pPr>
              <w:pStyle w:val="Compact"/>
            </w:pPr>
            <w:r>
              <w:t xml:space="preserve">29</w:t>
            </w:r>
          </w:p>
        </w:tc>
        <w:tc>
          <w:tcPr/>
          <w:p>
            <w:pPr>
              <w:pStyle w:val="Compact"/>
            </w:pPr>
            <w:r>
              <w:t xml:space="preserve">14</w:t>
            </w:r>
          </w:p>
        </w:tc>
        <w:tc>
          <w:tcPr/>
          <w:p>
            <w:pPr>
              <w:pStyle w:val="Compact"/>
            </w:pPr>
            <w:r>
              <w:t xml:space="preserve">48.3%</w:t>
            </w:r>
          </w:p>
        </w:tc>
        <w:tc>
          <w:tcPr/>
          <w:p>
            <w:pPr>
              <w:pStyle w:val="Compact"/>
            </w:pPr>
            <w:r>
              <w:t xml:space="preserve">Yes</w:t>
            </w:r>
          </w:p>
        </w:tc>
      </w:tr>
      <w:tr>
        <w:tc>
          <w:tcPr/>
          <w:p>
            <w:pPr>
              <w:pStyle w:val="Compact"/>
            </w:pPr>
            <w:r>
              <w:t xml:space="preserve">KY</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OK</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NE</w:t>
            </w:r>
          </w:p>
        </w:tc>
        <w:tc>
          <w:tcPr/>
          <w:p>
            <w:pPr>
              <w:pStyle w:val="Compact"/>
            </w:pPr>
            <w:r>
              <w:t xml:space="preserve">25</w:t>
            </w:r>
          </w:p>
        </w:tc>
        <w:tc>
          <w:tcPr/>
          <w:p>
            <w:pPr>
              <w:pStyle w:val="Compact"/>
            </w:pPr>
            <w:r>
              <w:t xml:space="preserve">4</w:t>
            </w:r>
          </w:p>
        </w:tc>
        <w:tc>
          <w:tcPr/>
          <w:p>
            <w:pPr>
              <w:pStyle w:val="Compact"/>
            </w:pPr>
            <w:r>
              <w:t xml:space="preserve">16.0%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CO</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KS</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IA</w:t>
            </w:r>
          </w:p>
        </w:tc>
        <w:tc>
          <w:tcPr/>
          <w:p>
            <w:pPr>
              <w:pStyle w:val="Compact"/>
            </w:pPr>
            <w:r>
              <w:t xml:space="preserve">15</w:t>
            </w:r>
          </w:p>
        </w:tc>
        <w:tc>
          <w:tcPr/>
          <w:p>
            <w:pPr>
              <w:pStyle w:val="Compact"/>
            </w:pPr>
            <w:r>
              <w:t xml:space="preserve">7</w:t>
            </w:r>
          </w:p>
        </w:tc>
        <w:tc>
          <w:tcPr/>
          <w:p>
            <w:pPr>
              <w:pStyle w:val="Compact"/>
            </w:pPr>
            <w:r>
              <w:t xml:space="preserve">46.7%</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11</w:t>
            </w:r>
          </w:p>
        </w:tc>
        <w:tc>
          <w:tcPr/>
          <w:p>
            <w:pPr>
              <w:pStyle w:val="Compact"/>
            </w:pPr>
            <w:r>
              <w:t xml:space="preserve">3</w:t>
            </w:r>
          </w:p>
        </w:tc>
        <w:tc>
          <w:tcPr/>
          <w:p>
            <w:pPr>
              <w:pStyle w:val="Compact"/>
            </w:pPr>
            <w:r>
              <w:t xml:space="preserve">27.3%</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DE</w:t>
            </w:r>
          </w:p>
        </w:tc>
        <w:tc>
          <w:tcPr/>
          <w:p>
            <w:pPr>
              <w:pStyle w:val="Compact"/>
            </w:pPr>
            <w:r>
              <w:t xml:space="preserve">6</w:t>
            </w:r>
          </w:p>
        </w:tc>
        <w:tc>
          <w:tcPr/>
          <w:p>
            <w:pPr>
              <w:pStyle w:val="Compact"/>
            </w:pPr>
            <w:r>
              <w:t xml:space="preserve">4</w:t>
            </w:r>
          </w:p>
        </w:tc>
        <w:tc>
          <w:tcPr/>
          <w:p>
            <w:pPr>
              <w:pStyle w:val="Compact"/>
            </w:pPr>
            <w:r>
              <w:t xml:space="preserve">66.7%</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ID</w:t>
            </w:r>
          </w:p>
        </w:tc>
        <w:tc>
          <w:tcPr/>
          <w:p>
            <w:pPr>
              <w:pStyle w:val="Compact"/>
            </w:pPr>
            <w:r>
              <w:t xml:space="preserve">5</w:t>
            </w:r>
          </w:p>
        </w:tc>
        <w:tc>
          <w:tcPr/>
          <w:p>
            <w:pPr>
              <w:pStyle w:val="Compact"/>
            </w:pPr>
            <w:r>
              <w:t xml:space="preserve">3</w:t>
            </w:r>
          </w:p>
        </w:tc>
        <w:tc>
          <w:tcPr/>
          <w:p>
            <w:pPr>
              <w:pStyle w:val="Compact"/>
            </w:pPr>
            <w:r>
              <w:t xml:space="preserve">60.0%</w:t>
            </w:r>
          </w:p>
        </w:tc>
        <w:tc>
          <w:tcPr/>
          <w:p>
            <w:pPr>
              <w:pStyle w:val="Compact"/>
            </w:pPr>
            <w:r>
              <w:t xml:space="preserve">Yes</w:t>
            </w:r>
          </w:p>
        </w:tc>
      </w:tr>
      <w:tr>
        <w:tc>
          <w:tcPr/>
          <w:p>
            <w:pPr>
              <w:pStyle w:val="Compact"/>
            </w:pPr>
            <w:r>
              <w:t xml:space="preserve">ND</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2026-07-23T03:32:51Z</dcterms:created>
  <dcterms:modified xsi:type="dcterms:W3CDTF">2026-07-23T03:32:51Z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