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Procedural Concentration, and Trends in Midurethral Sling Surgery Among Medicare Beneficiaries, 2013–2023</w:t>
      </w:r>
    </w:p>
    <w:p>
      <w:pPr>
        <w:pStyle w:val="Author"/>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2017 is excluded because the PUF release was truncated;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from 2013 through 2023, excluding the truncated 2017 release.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After 2017 was excluded, 1,745 physicians performed 131,637 procedures across 6,202 physician-years. URPS was the largest group (753 physicians; 80,033 procedures, 60.8%; median 19/year [p25–p75, 14–27]), followed by non-URPS urology (665 physicians; 26.1%; median 16), General OB/GYN (330; 12.5%; median 15), and MIGS (10; 0.7%; median 16). Annual procedures declined from 16,399 in 2013 to 12,223 in 2023 (-469/year; p = 0.029), with a low of 9,228 in 2020 and partial recovery thereafter. Compared with URPS, adjusted annual volume was lower for urology (rate ratio [RR] 0.82 (0.70–0.95)), General OB/GYN (RR 0.67 (0.50–0.90)), and MIGS (RR 0.55 (0.40–0.76)). Volume fell by approximately 11% in 2020 (RR 0.89 (0.85–0.92); p &lt; 0.001), but per-physician volume did not change overall (RR 1.00 (0.99–1.01); p = 0.523). Among the three well-populated groups, pooled concentration was modest and lowest for URPS (Gini 0.51, HHI 27; top 20% performed 53.4%); within-year concentration remained low and stable (annual Gini approximately 0.26–0.28; p for trend = 0.824). URPS share increased by 0.90 percentage points per year (p &lt; 0.001), whereas urology (-0.55; p = 0.004) and General OB/GYN (-0.42; p = 0.006) declined. The increase remained significant under every classification scheme, from a lower-bound gynecologic-share increase of 60.8% to 70.1% (+0.84 percentage points/year) to an upper-bound URPS increase of 46.3% to 74.2% (+2.28 percentage points/year). Newly observable surgeons performed 7.4%–22.5% of annual volume at a median of approximately 13 cases; URPS contributed the most entrants (440), while urology showed substantial turnover (373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We excluded the 2017 file because the release was truncated. It was approximately half the size of adjacent-year files (1.5 GB vs approximately 2.7 GB) and contained only 376 sling provider-year records, compared with approximately 660–810 in neighboring years. Including this file would create an artifactual decline and bias temporal trends.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1,761 physicians billed CPT 57288, accounting for 139,855 observed services and 6,572 physician-years. After the truncated 2017 file was excluded, the analytic cohort included 1,745 physicians, 131,637 procedures, and 6,202 physician-years. Participation was intermittent: 567 physicians (32%) appeared in one year, 753 (43%) in 2–5 years, 375 (21%) in 6–10 years, and 66 (4%)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-469 procedures/year; p = 0.029).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753 physicians contributed 3,498 physician-years and 80,033 procedures (60.8%), with a median annual volume of 19 (p25–p75, 14–27). Non-URPS urology included 665 physicians, 1,810 physician-years, and 34,351 procedures (26.1%; median 16, 13–22). General OB/GYN included 330 physicians, 858 physician-years, and 16,391 procedures (12.5%; median 15, 12–22). MIGS included 10 physicians, 36 physician-years, and 862 procedures (0.7%; median 16, 12–23.5) (Table 1).</w:t>
      </w:r>
    </w:p>
    <w:p>
      <w:pPr>
        <w:pStyle w:val="BodyText"/>
      </w:pPr>
      <w:r>
        <w:t xml:space="preserve">Because 13 physicians changed specialty groups across years, specialty-specific physician counts exceed the unique cohort total. Including urology-pathway urogynecologists reassigned 148 physicians and 10,749 procedures from urology to URPS compared with an ABOG-only classification.</w:t>
      </w:r>
    </w:p>
    <w:p>
      <w:pPr>
        <w:pStyle w:val="BodyText"/>
      </w:pPr>
      <w:r>
        <w:t xml:space="preserve">Annual market shares moved in different directions (Table 1). URPS increased from 53.4% in 2013 to 63.8% in 2023 (+0.90 percentage points/year; 95% CI 0.49 to 1.31; p &lt; 0.001). Urology decreased from 30.7% to 23.1% (-0.55 percentage points/year; 95% CI -0.87 to -0.23; p = 0.004), and General OB/GYN decreased from 15.7% to 12.3% (-0.42 percentage points/year; 95% CI -0.68 to -0.16; p = 0.006).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or gynecologic increase was significant under every classification scheme. Fixed membership provided the lower bound: gynecologic share increased from 60.8% to 70.1% (+0.84 percentage points/year). Certification-gated classification provided the upper bound: URPS share increased from 46.3% to 74.2% (+2.28 percentage points/year) (Table 4).</w:t>
      </w:r>
    </w:p>
    <w:p>
      <w:pPr>
        <w:pStyle w:val="BodyText"/>
      </w:pPr>
      <w:r>
        <w:t xml:space="preserve">In the Poisson GEE clustered by NPI, adjusted annual volume was lower than URPS for every other group: urology RR 0.82 (0.70–0.95), General OB/GYN RR 0.67 (0.50–0.90), and MIGS RR 0.55 (0.40–0.76) (Table 3). Annual volume was approximately 11% lower in 2020 (RR 0.89 (0.85–0.92); p &lt; 0.001). There was no overall change in per-physician volume over time (year RR 1.00 (0.99–1.01); p = 0.523). The one-observation-per-physician secondary analysis was concordant (Kruskal-Wallis H = 66.1,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0.51, HHI 27; top 10% performed 34.3% and top 20% performed 53.4%). Concentration was slightly higher for urology (Gini 0.52, HHI 35; top 20% performed 57.5%) and General OB/GYN (Gini 0.55, HHI 89; top 20% performed 60.8%)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27).</w:t>
      </w:r>
    </w:p>
    <w:p>
      <w:pPr>
        <w:pStyle w:val="BodyText"/>
      </w:pPr>
      <w:r>
        <w:t xml:space="preserve">Within-year concentration was low and stable. The pooled annual Gini ranged from 0.26 to 0.28, with no temporal trend (p = 0.824),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0.60 and HHI of 2,919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48–184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(381–543 per year) performed most annual procedures, while apparent exits ranged from 66 to 230 per year.</w:t>
      </w:r>
    </w:p>
    <w:p>
      <w:pPr>
        <w:pStyle w:val="BodyText"/>
      </w:pPr>
      <w:r>
        <w:t xml:space="preserve">Across the study period, URPS contributed the most entrants (440), followed by urology (373), General OB/GYN (189),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148 urology-typed physicians, representing 8.2%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0.51–0.55)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0.89)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six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upper-bound estimate. Fifth, excluding the truncated 2017 release removes one year from the time series; a complete file would restore all 11 years. Sixth,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(2017 excluded; combined URPS). Δ share is the annual percentage-point change from ordinary least-squares regression on calendar year. Specialty-specific physician counts exceed 1,745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753</w:t>
            </w:r>
          </w:p>
        </w:tc>
        <w:tc>
          <w:tcPr/>
          <w:p>
            <w:pPr>
              <w:pStyle w:val="Compact"/>
            </w:pPr>
            <w:r>
              <w:t xml:space="preserve">3,498</w:t>
            </w:r>
          </w:p>
        </w:tc>
        <w:tc>
          <w:tcPr/>
          <w:p>
            <w:pPr>
              <w:pStyle w:val="Compact"/>
            </w:pPr>
            <w:r>
              <w:t xml:space="preserve">80,033</w:t>
            </w:r>
          </w:p>
        </w:tc>
        <w:tc>
          <w:tcPr/>
          <w:p>
            <w:pPr>
              <w:pStyle w:val="Compact"/>
            </w:pPr>
            <w:r>
              <w:t xml:space="preserve">60.8%</w:t>
            </w:r>
          </w:p>
        </w:tc>
        <w:tc>
          <w:tcPr/>
          <w:p>
            <w:pPr>
              <w:pStyle w:val="Compact"/>
            </w:pPr>
            <w:r>
              <w:t xml:space="preserve">19 (14–27)</w:t>
            </w:r>
          </w:p>
        </w:tc>
        <w:tc>
          <w:tcPr/>
          <w:p>
            <w:pPr>
              <w:pStyle w:val="Compact"/>
            </w:pPr>
            <w:r>
              <w:t xml:space="preserve">53.4%</w:t>
            </w:r>
          </w:p>
        </w:tc>
        <w:tc>
          <w:tcPr/>
          <w:p>
            <w:pPr>
              <w:pStyle w:val="Compact"/>
            </w:pPr>
            <w:r>
              <w:t xml:space="preserve">63.8%</w:t>
            </w:r>
          </w:p>
        </w:tc>
        <w:tc>
          <w:tcPr/>
          <w:p>
            <w:pPr>
              <w:pStyle w:val="Compact"/>
            </w:pPr>
            <w:r>
              <w:t xml:space="preserve">+0.90 (0.49 to 1.31)</w:t>
            </w:r>
          </w:p>
        </w:tc>
        <w:tc>
          <w:tcPr/>
          <w:p>
            <w:pPr>
              <w:pStyle w:val="Compact"/>
            </w:pPr>
            <w:r>
              <w:t xml:space="preserve">&lt;0.001</w:t>
            </w:r>
          </w:p>
        </w:tc>
      </w:tr>
      <w:tr>
        <w:tc>
          <w:tcPr/>
          <w:p>
            <w:pPr>
              <w:pStyle w:val="Compact"/>
            </w:pPr>
            <w:r>
              <w:t xml:space="preserve">Urology (non-URPS)</w:t>
            </w:r>
          </w:p>
        </w:tc>
        <w:tc>
          <w:tcPr/>
          <w:p>
            <w:pPr>
              <w:pStyle w:val="Compact"/>
            </w:pPr>
            <w:r>
              <w:t xml:space="preserve">665</w:t>
            </w:r>
          </w:p>
        </w:tc>
        <w:tc>
          <w:tcPr/>
          <w:p>
            <w:pPr>
              <w:pStyle w:val="Compact"/>
            </w:pPr>
            <w:r>
              <w:t xml:space="preserve">1,810</w:t>
            </w:r>
          </w:p>
        </w:tc>
        <w:tc>
          <w:tcPr/>
          <w:p>
            <w:pPr>
              <w:pStyle w:val="Compact"/>
            </w:pPr>
            <w:r>
              <w:t xml:space="preserve">34,351</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(-0.87 to -0.23)</w:t>
            </w:r>
          </w:p>
        </w:tc>
        <w:tc>
          <w:tcPr/>
          <w:p>
            <w:pPr>
              <w:pStyle w:val="Compact"/>
            </w:pPr>
            <w:r>
              <w:t xml:space="preserve">0.004</w:t>
            </w:r>
          </w:p>
        </w:tc>
      </w:tr>
      <w:tr>
        <w:tc>
          <w:tcPr/>
          <w:p>
            <w:pPr>
              <w:pStyle w:val="Compact"/>
            </w:pPr>
            <w:r>
              <w:t xml:space="preserve">General OB/GYN</w:t>
            </w:r>
          </w:p>
        </w:tc>
        <w:tc>
          <w:tcPr/>
          <w:p>
            <w:pPr>
              <w:pStyle w:val="Compact"/>
            </w:pPr>
            <w:r>
              <w:t xml:space="preserve">330</w:t>
            </w:r>
          </w:p>
        </w:tc>
        <w:tc>
          <w:tcPr/>
          <w:p>
            <w:pPr>
              <w:pStyle w:val="Compact"/>
            </w:pPr>
            <w:r>
              <w:t xml:space="preserve">858</w:t>
            </w:r>
          </w:p>
        </w:tc>
        <w:tc>
          <w:tcPr/>
          <w:p>
            <w:pPr>
              <w:pStyle w:val="Compact"/>
            </w:pPr>
            <w:r>
              <w:t xml:space="preserve">16,391</w:t>
            </w:r>
          </w:p>
        </w:tc>
        <w:tc>
          <w:tcPr/>
          <w:p>
            <w:pPr>
              <w:pStyle w:val="Compact"/>
            </w:pPr>
            <w:r>
              <w:t xml:space="preserve">12.5%</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-0.42 (-0.68 to -0.16)</w:t>
            </w:r>
          </w:p>
        </w:tc>
        <w:tc>
          <w:tcPr/>
          <w:p>
            <w:pPr>
              <w:pStyle w:val="Compact"/>
            </w:pPr>
            <w:r>
              <w:t xml:space="preserve">0.006</w:t>
            </w:r>
          </w:p>
        </w:tc>
      </w:tr>
      <w:tr>
        <w:tc>
          <w:tcPr/>
          <w:p>
            <w:pPr>
              <w:pStyle w:val="Compact"/>
            </w:pPr>
            <w:r>
              <w:t xml:space="preserve">MIGS</w:t>
            </w:r>
          </w:p>
        </w:tc>
        <w:tc>
          <w:tcPr/>
          <w:p>
            <w:pPr>
              <w:pStyle w:val="Compact"/>
            </w:pPr>
            <w:r>
              <w:t xml:space="preserve">10</w:t>
            </w:r>
          </w:p>
        </w:tc>
        <w:tc>
          <w:tcPr/>
          <w:p>
            <w:pPr>
              <w:pStyle w:val="Compact"/>
            </w:pPr>
            <w:r>
              <w:t xml:space="preserve">36</w:t>
            </w:r>
          </w:p>
        </w:tc>
        <w:tc>
          <w:tcPr/>
          <w:p>
            <w:pPr>
              <w:pStyle w:val="Compact"/>
            </w:pPr>
            <w:r>
              <w:t xml:space="preserve">862</w:t>
            </w:r>
          </w:p>
        </w:tc>
        <w:tc>
          <w:tcPr/>
          <w:p>
            <w:pPr>
              <w:pStyle w:val="Compact"/>
            </w:pPr>
            <w:r>
              <w:t xml:space="preserve">0.7%</w:t>
            </w:r>
          </w:p>
        </w:tc>
        <w:tc>
          <w:tcPr/>
          <w:p>
            <w:pPr>
              <w:pStyle w:val="Compact"/>
            </w:pPr>
            <w:r>
              <w:t xml:space="preserve">16 (12–23.5)</w:t>
            </w:r>
          </w:p>
        </w:tc>
        <w:tc>
          <w:tcPr/>
          <w:p>
            <w:pPr>
              <w:pStyle w:val="Compact"/>
            </w:pPr>
            <w:r>
              <w:t xml:space="preserve">0.2%</w:t>
            </w:r>
          </w:p>
        </w:tc>
        <w:tc>
          <w:tcPr/>
          <w:p>
            <w:pPr>
              <w:pStyle w:val="Compact"/>
            </w:pPr>
            <w:r>
              <w:t xml:space="preserve">0.8%</w:t>
            </w:r>
          </w:p>
        </w:tc>
        <w:tc>
          <w:tcPr/>
          <w:p>
            <w:pPr>
              <w:pStyle w:val="Compact"/>
            </w:pPr>
            <w:r>
              <w:t xml:space="preserve">+0.07 (0.02 to 0.12)*</w:t>
            </w:r>
          </w:p>
        </w:tc>
        <w:tc>
          <w:tcPr/>
          <w:p>
            <w:pPr>
              <w:pStyle w:val="Compact"/>
            </w:pPr>
            <w:r>
              <w:t xml:space="preserve">0.008</w:t>
            </w:r>
          </w:p>
        </w:tc>
      </w:tr>
      <w:tr>
        <w:tc>
          <w:tcPr/>
          <w:p>
            <w:pPr>
              <w:pStyle w:val="Compact"/>
            </w:pPr>
            <w:r>
              <w:rPr>
                <w:b/>
                <w:bCs/>
              </w:rPr>
              <w:t xml:space="preserve">Total</w:t>
            </w:r>
          </w:p>
        </w:tc>
        <w:tc>
          <w:tcPr/>
          <w:p>
            <w:pPr>
              <w:pStyle w:val="Compact"/>
            </w:pPr>
            <w:r>
              <w:rPr>
                <w:b/>
                <w:bCs/>
              </w:rPr>
              <w:t xml:space="preserve">1,745</w:t>
            </w:r>
          </w:p>
        </w:tc>
        <w:tc>
          <w:tcPr/>
          <w:p>
            <w:pPr>
              <w:pStyle w:val="Compact"/>
            </w:pPr>
            <w:r>
              <w:rPr>
                <w:b/>
                <w:bCs/>
              </w:rPr>
              <w:t xml:space="preserve">6,202</w:t>
            </w:r>
          </w:p>
        </w:tc>
        <w:tc>
          <w:tcPr/>
          <w:p>
            <w:pPr>
              <w:pStyle w:val="Compact"/>
            </w:pPr>
            <w:r>
              <w:rPr>
                <w:b/>
                <w:bCs/>
              </w:rPr>
              <w:t xml:space="preserve">131,637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0.55 (0.40–0.76)</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0.523</w:t>
            </w:r>
          </w:p>
        </w:tc>
      </w:tr>
      <w:tr>
        <w:tc>
          <w:tcPr/>
          <w:p>
            <w:pPr>
              <w:pStyle w:val="Compact"/>
            </w:pPr>
            <w:r>
              <w:t xml:space="preserve">2020 (COVID) indicator</w:t>
            </w:r>
          </w:p>
        </w:tc>
        <w:tc>
          <w:tcPr/>
          <w:p>
            <w:pPr>
              <w:pStyle w:val="Compact"/>
            </w:pPr>
            <w:r>
              <w:t xml:space="preserve">0.89 (0.85–0.92)</w:t>
            </w:r>
          </w:p>
        </w:tc>
        <w:tc>
          <w:tcPr/>
          <w:p>
            <w:pPr>
              <w:pStyle w:val="Compact"/>
            </w:pPr>
            <w:r>
              <w:t xml:space="preserve">&lt;0.001</w:t>
            </w:r>
          </w:p>
        </w:tc>
      </w:tr>
    </w:tbl>
    <w:p>
      <w:pPr>
        <w:pStyle w:val="BodyText"/>
      </w:pPr>
      <w:r>
        <w:rPr>
          <w:b/>
          <w:bCs/>
        </w:rPr>
        <w:t xml:space="preserve">Table 4.</w:t>
      </w:r>
      <w:r>
        <w:t xml:space="preserve"> </w:t>
      </w:r>
      <w:r>
        <w:t xml:space="preserve">Market-share trends under classification schemes that bound the likely trend. Fixed membership provides a lower bound because it treats not-yet-certified physicians as URPS; certification-gated classification provides an upper bound because certification follows practice onset. All estimated trends are positive and statistically significant.</w:t>
      </w:r>
    </w:p>
    <w:tbl>
      <w:tblPr>
        <w:tblStyle w:val="Table"/>
        <w:tblW w:type="pct" w:w="5000"/>
        <w:tblLayout w:type="fixed"/>
        <w:tblLook w:firstRow="1" w:lastRow="0" w:firstColumn="0" w:lastColumn="0" w:noHBand="0" w:noVBand="0" w:val="0020"/>
      </w:tblPr>
      <w:tblGrid>
        <w:gridCol w:w="4725"/>
        <w:gridCol w:w="1264"/>
        <w:gridCol w:w="1131"/>
        <w:gridCol w:w="798"/>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Lower bound: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&lt;0.001</w:t>
            </w:r>
          </w:p>
        </w:tc>
      </w:tr>
      <w:tr>
        <w:tc>
          <w:tcPr/>
          <w:p>
            <w:pPr>
              <w:pStyle w:val="Compact"/>
            </w:pPr>
            <w:r>
              <w:t xml:space="preserve">Lower bound: combined-URPS share (fixed)</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Sensitivity: URPS share (modal)</w:t>
            </w:r>
          </w:p>
        </w:tc>
        <w:tc>
          <w:tcPr/>
          <w:p>
            <w:pPr>
              <w:pStyle w:val="Compact"/>
            </w:pPr>
            <w:r>
              <w:t xml:space="preserve">n/a</w:t>
            </w:r>
          </w:p>
        </w:tc>
        <w:tc>
          <w:tcPr/>
          <w:p>
            <w:pPr>
              <w:pStyle w:val="Compact"/>
            </w:pPr>
            <w:r>
              <w:t xml:space="preserve">0.98</w:t>
            </w:r>
          </w:p>
        </w:tc>
        <w:tc>
          <w:tcPr/>
          <w:p>
            <w:pPr>
              <w:pStyle w:val="Compact"/>
            </w:pPr>
            <w:r>
              <w:t xml:space="preserve">&lt;0.001</w:t>
            </w:r>
          </w:p>
        </w:tc>
      </w:tr>
      <w:tr>
        <w:tc>
          <w:tcPr/>
          <w:p>
            <w:pPr>
              <w:pStyle w:val="Compact"/>
            </w:pPr>
            <w:r>
              <w:t xml:space="preserve">Sensitivity: URPS share (ever-URPS/MIGS)</w:t>
            </w:r>
          </w:p>
        </w:tc>
        <w:tc>
          <w:tcPr/>
          <w:p>
            <w:pPr>
              <w:pStyle w:val="Compact"/>
            </w:pPr>
            <w:r>
              <w:t xml:space="preserve">n/a</w:t>
            </w:r>
          </w:p>
        </w:tc>
        <w:tc>
          <w:tcPr/>
          <w:p>
            <w:pPr>
              <w:pStyle w:val="Compact"/>
            </w:pPr>
            <w:r>
              <w:t xml:space="preserve">0.96</w:t>
            </w:r>
          </w:p>
        </w:tc>
        <w:tc>
          <w:tcPr/>
          <w:p>
            <w:pPr>
              <w:pStyle w:val="Compact"/>
            </w:pPr>
            <w:r>
              <w:t xml:space="preserve">0.001</w:t>
            </w:r>
          </w:p>
        </w:tc>
      </w:tr>
      <w:tr>
        <w:tc>
          <w:tcPr/>
          <w:p>
            <w:pPr>
              <w:pStyle w:val="Compact"/>
            </w:pPr>
            <w:r>
              <w:rPr>
                <w:b/>
                <w:bCs/>
              </w:rPr>
              <w:t xml:space="preserve">Upper bound: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&lt;0.001</w:t>
            </w:r>
          </w:p>
        </w:tc>
      </w:tr>
      <w:tr>
        <w:tc>
          <w:tcPr/>
          <w:p>
            <w:pPr>
              <w:pStyle w:val="Compact"/>
            </w:pPr>
            <w:r>
              <w:t xml:space="preserve">Upper bound: gynecologic share (time-varying, cert-gated)</w:t>
            </w:r>
          </w:p>
        </w:tc>
        <w:tc>
          <w:tcPr/>
          <w:p>
            <w:pPr>
              <w:pStyle w:val="Compact"/>
            </w:pPr>
            <w:r>
              <w:t xml:space="preserve">n/a</w:t>
            </w:r>
          </w:p>
        </w:tc>
        <w:tc>
          <w:tcPr/>
          <w:p>
            <w:pPr>
              <w:pStyle w:val="Compact"/>
            </w:pPr>
            <w:r>
              <w:t xml:space="preserve">1.32</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440; urology, 373; General OB/GYN, 189; MIGS, 8.</w:t>
      </w:r>
    </w:p>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Medicare PUF 2013–2023 (2017 excluded). The URPS or gynecologic share increased under every classification scheme. Fixed membership (gynecologic share 60.8% to 70.1%; +0.84 percentage points/year) and certification-gated classification (URPS share 46.3% to 74.2%; +2.28 percentage points/year) bound the likely trend.</w:t>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0.51) is closest to equality; MIGS (0.60) is farthest.</w:t>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Procedural Concentration, and Trends in Midurethral Sling Surgery Among Medicare Beneficiaries, 2013–2023</dc:title>
  <dc:creator>Tyler Muffly, MD</dc:creator>
  <cp:keywords/>
  <dcterms:created xsi:type="dcterms:W3CDTF">2026-07-22T04:14:22Z</dcterms:created>
  <dcterms:modified xsi:type="dcterms:W3CDTF">2026-07-22T04:14:22Z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