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2.png" ContentType="image/png"/>
  <Override PartName="/word/media/rId45.png" ContentType="image/png"/>
  <Override PartName="/word/media/rId48.png" ContentType="image/png"/>
  <Override PartName="/word/media/rId5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surgeon-level concentration of physicians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physicians billing CPT 57288 as Urogynecology and Reconstructive Pelvic Surgery (URPS), Minimally Invasive Gynecologic Surgery (MIGS), General OB/GYN, or non-URPS urology by combining CMS provider type with the ABOG and ABU rosters. Utilization was expressed per 100,000 female Part B fee-for-service beneficiaries. Annual volume was modeled with a Poisson generalized estimating equation clustered by NPI, and the URPS share trend with a quasibinomial model; concentration used the Gini coefficient and HHI with bootstrap confidence intervals.</w:t>
      </w:r>
    </w:p>
    <w:p>
      <w:pPr>
        <w:pStyle w:val="BodyText"/>
      </w:pPr>
      <w:r>
        <w:rPr>
          <w:b/>
          <w:bCs/>
        </w:rPr>
        <w:t xml:space="preserve">Results:</w:t>
      </w:r>
      <w:r>
        <w:t xml:space="preserve"> </w:t>
      </w:r>
      <w:r>
        <w:t xml:space="preserve">1,789 physicians performed 147,632 services; URPS was the largest group (60.8%; median 19/year). Reported services fell -25.5%, but after adjusting for a -14.7% contraction of the fee-for-service population the rate declined only -12.6% (trend not significant, p = 0.139). Adjusted per-physician volume was highest for URPS and flat over time. Within-year concentration was low, stable, and similar across specialties (overlapping Gini confidence intervals, 0.52–0.56). The all-pathway URPS share rose from 53.4% to 63.8% (+0.90 pp/year; p &lt; 0.001), significant in every classification scenario.</w:t>
      </w:r>
    </w:p>
    <w:p>
      <w:pPr>
        <w:pStyle w:val="BodyText"/>
      </w:pPr>
      <w:r>
        <w:rPr>
          <w:b/>
          <w:bCs/>
        </w:rPr>
        <w:t xml:space="preserve">Conclusions:</w:t>
      </w:r>
      <w:r>
        <w:t xml:space="preserve"> </w:t>
      </w:r>
      <w:r>
        <w:t xml:space="preserve">In observable fee-for-service Medicare, all-pathway URPS physicians perform most sling surgery for stress urinary incontinence, and the URPS share rose, driven by declining participation of non-URPS physicians rather than rising concentration. These findings describe the observable fee-for-service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simply reflects that fewer older adults are in traditional Medicare rather than a real decline in the surgery.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1789-cohort assignments of URPS, MIGS, and General OB/GYN through the OB/GYN pathway.</w:t>
      </w:r>
    </w:p>
    <w:p>
      <w:pPr>
        <w:pStyle w:val="BodyText"/>
      </w:pPr>
      <w:r>
        <w:t xml:space="preserve">Providers billing CPT 57288 who had neither an OB/GYN nor urology CMS type and were not in the ABOG registry (323 physicians, mostly with adjacent surgical provider types) were grouped with urology, on the rationale that non-gynecologic sling surgeons in Medicare are predominantly urologists; because they represent a small fraction of the cohort, this choice has limited influence on the specialty distribution. A further 84 records from heterogeneous non-OB/GYN, non-urology provider types (for example general surgery and osteopathic manipulative medicine)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9"/>
    <w:bookmarkStart w:id="20"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In the quasibinomial model of URPS services out of all annual services, which respects the compositional structure, the URPS share rose from a fitted 56.5% in 2013 to 65.7% in 2023 (odds ratio 1.040 (95% CI 1.025-1.054) per year; 0.92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53.4% to 63.8% (+0.90 percentage points/year), and the OB/GYN-based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(calendar year centered at 2018), adjusted annual volume at mid-study was lower than URPS for every other group: urology RR 0.76 (0.67–0.87), General OB/GYN RR 0.68 (0.51–0.91), and MIGS RR 0.85 (0.55–1.32) (Table 3). Annual volume was approximately 11% lower in 2020 (RR 0.88 (0.85–0.92); p &lt; 0.001). The specialty-by-year interaction showed that per-physician volume did not change over time for the well-populated groups: the annual trend was flat for URPS (RR 0.997 (0.990-1.005); p = 0.516), urology (RR 0.987 (0.973-1.002); p = 0.091), and General OB/GYN (RR 0.997 (0.974-1.019); p = 0.761), and increased only for the 10-physician MIGS group (RR 1.084 (1.030-1.141); p = 0.002) (Table 3). A negative-binomial mixed model with a random intercept per NPI gave the same pattern of specialty differences (urology RR 0.86 (0.82–0.89), General OB/GYN RR 0.84 (0.80–0.88), 2020 RR 0.90 (0.88–0.93)). The one-observation-per-physician secondary analysis agreed (Kruskal-Wallis H = 66.6, df = 3, p &lt; 0.001); URPS volume exceeded both urology and General OB/GYN in pairwise comparisons (p &lt; 0.001).</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similar across the three well-populated groups, with overlapping confidence intervals: URPS Gini 0.52 (95% CI 0.50-0.54), urology Gini 0.53 (95% CI 0.51-0.55), and General OB/GYN Gini 0.56 (95% CI 0.52-0.60) (Table 2). The size-adjusted normalized HHI was near zero for every group (URPS 0.001, urology 0.002, General OB/GYN 0.006 on a 0–1 scale), and the effective number of providers was large (URPS 368, urology 282, General OB/GYN 112), indicating that sling volume was distributed across many surgeons rather than dominated by a few. Because the specialties differ several-fold in provider count, raw HHI is not directly comparable across them (Table 2). Adding hypothetical suppressed low-volume providers raised the Gini only modestly (Supplementary Table S8), so the low-concentration conclusion is robust to the unobserved tail. URPS had the highest median annual volume and upper quartile (median 19; p75 28). MIGS was excluded from these comparisons because only 10 physicians were identified (1–4 per year); its nominal Gini of 0.61 and HHI of 3,036 are not stable specialty-wide estimates.</w:t>
      </w:r>
    </w:p>
    <w:bookmarkEnd w:id="21"/>
    <w:bookmarkStart w:id="22" w:name="workforce-entry-and-exit"/>
    <w:p>
      <w:pPr>
        <w:pStyle w:val="Heading3"/>
      </w:pPr>
      <w:r>
        <w:t xml:space="preserve">Workforce Entry and Exit</w:t>
      </w:r>
    </w:p>
    <w:p>
      <w:pPr>
        <w:pStyle w:val="FirstParagraph"/>
      </w:pPr>
      <w:r>
        <w:t xml:space="preserve">Using the two-year washout (Supplementary Table S9), 48–168 surgeons became newly observable each year and performed 7.4%–22.5% of annual volume. Their median volume was low, at approximately 13 services, consistent with surgeons appearing just above the CMS suppression threshold. Newly observable counts fell to 48 surgeons (7.4% of volume) in 2020, then rebounded to 168 (22.5%) in 2022; the 2022 rebound may partly reflect re-observation of surgeons who fell below the threshold during the pandemic rather than genuinely new surgeons. Continuing surgeons (381–584 per year) performed most annual services, while surgeons no longer observable ranged from 66 to 230 per year.</w:t>
      </w:r>
    </w:p>
    <w:p>
      <w:pPr>
        <w:pStyle w:val="BodyText"/>
      </w:pPr>
      <w:r>
        <w:t xml:space="preserve">Across the study period, URPS accounted for the most newly observable episodes (480), followed by urology (421), General OB/GYN (205), and MIGS (8); these are episode counts, not unique physicians. The rising URPS share coincided with the largest inflow of newly observable surgeons together with a relatively stable continuing-URPS base (URPS surgeon count 385 to 338;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URPS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4"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fee-for-service Medicare slings, and OB/GYN-trained physicians collectively performed the majority. Because the all-pathway URPS group also includes urology-trained subspecialists, the URPS share is not equivalent to a gynecologist share.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0.002</w:t>
            </w:r>
          </w:p>
        </w:tc>
        <w:tc>
          <w:tcPr/>
          <w:p>
            <w:pPr>
              <w:pStyle w:val="Compact"/>
            </w:pPr>
            <w:r>
              <w:t xml:space="preserve">282</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0.76 (0.67–0.87)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0.68 (0.51–0.91)</w:t>
            </w:r>
          </w:p>
        </w:tc>
        <w:tc>
          <w:tcPr/>
          <w:p>
            <w:pPr>
              <w:pStyle w:val="Compact"/>
            </w:pPr>
            <w:r>
              <w:t xml:space="preserve">0.009</w:t>
            </w:r>
          </w:p>
        </w:tc>
      </w:tr>
      <w:tr>
        <w:tc>
          <w:tcPr/>
          <w:p>
            <w:pPr>
              <w:pStyle w:val="Compact"/>
            </w:pPr>
            <w:r>
              <w:t xml:space="preserve">MIGS vs URPS (at 2018)</w:t>
            </w:r>
          </w:p>
        </w:tc>
        <w:tc>
          <w:tcPr/>
          <w:p>
            <w:pPr>
              <w:pStyle w:val="Compact"/>
            </w:pPr>
            <w:r>
              <w:t xml:space="preserve">0.85 (0.55–1.32)</w:t>
            </w:r>
          </w:p>
        </w:tc>
        <w:tc>
          <w:tcPr/>
          <w:p>
            <w:pPr>
              <w:pStyle w:val="Compact"/>
            </w:pPr>
            <w:r>
              <w:t xml:space="preserve">0.466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0.516</w:t>
            </w:r>
          </w:p>
        </w:tc>
      </w:tr>
      <w:tr>
        <w:tc>
          <w:tcPr/>
          <w:p>
            <w:pPr>
              <w:pStyle w:val="Compact"/>
            </w:pPr>
            <w:r>
              <w:t xml:space="preserve">Annual trend, urology</w:t>
            </w:r>
          </w:p>
        </w:tc>
        <w:tc>
          <w:tcPr/>
          <w:p>
            <w:pPr>
              <w:pStyle w:val="Compact"/>
            </w:pPr>
            <w:r>
              <w:t xml:space="preserve">0.987 (0.973-1.002)</w:t>
            </w:r>
          </w:p>
        </w:tc>
        <w:tc>
          <w:tcPr/>
          <w:p>
            <w:pPr>
              <w:pStyle w:val="Compact"/>
            </w:pPr>
            <w:r>
              <w:t xml:space="preserve">0.091</w:t>
            </w:r>
          </w:p>
        </w:tc>
      </w:tr>
      <w:tr>
        <w:tc>
          <w:tcPr/>
          <w:p>
            <w:pPr>
              <w:pStyle w:val="Compact"/>
            </w:pPr>
            <w:r>
              <w:t xml:space="preserve">Annual trend, General OB/GYN</w:t>
            </w:r>
          </w:p>
        </w:tc>
        <w:tc>
          <w:tcPr/>
          <w:p>
            <w:pPr>
              <w:pStyle w:val="Compact"/>
            </w:pPr>
            <w:r>
              <w:t xml:space="preserve">0.997 (0.974-1.019)</w:t>
            </w:r>
          </w:p>
        </w:tc>
        <w:tc>
          <w:tcPr/>
          <w:p>
            <w:pPr>
              <w:pStyle w:val="Compact"/>
            </w:pPr>
            <w:r>
              <w:t xml:space="preserve">0.761</w:t>
            </w:r>
          </w:p>
        </w:tc>
      </w:tr>
      <w:tr>
        <w:tc>
          <w:tcPr/>
          <w:p>
            <w:pPr>
              <w:pStyle w:val="Compact"/>
            </w:pPr>
            <w:r>
              <w:t xml:space="preserve">Annual trend, MIGS</w:t>
            </w:r>
          </w:p>
        </w:tc>
        <w:tc>
          <w:tcPr/>
          <w:p>
            <w:pPr>
              <w:pStyle w:val="Compact"/>
            </w:pPr>
            <w:r>
              <w:t xml:space="preserve">1.084 (1.030-1.141)</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r>
        <w:pict>
          <v:rect style="width:0;height:1.5pt" o:hralign="center" o:hrstd="t" o:hr="t"/>
        </w:pict>
      </w:r>
    </w:p>
    <w:bookmarkEnd w:id="33"/>
    <w:bookmarkStart w:id="40"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(-12.6% versus -25.5%) because the fee-for-service population contracted by -14.7%; the linear trend in the rate was not significant (p = 0.139).</w:t>
      </w:r>
    </w:p>
    <w:p>
      <w:pPr>
        <w:pStyle w:val="BodyText"/>
      </w:pPr>
      <w:r>
        <w:drawing>
          <wp:inline>
            <wp:extent cx="5334000" cy="3333750"/>
            <wp:effectExtent b="0" l="0" r="0" t="0"/>
            <wp:docPr descr="" title="" id="38" name="Picture"/>
            <a:graphic>
              <a:graphicData uri="http://schemas.openxmlformats.org/drawingml/2006/picture">
                <pic:pic>
                  <pic:nvPicPr>
                    <pic:cNvPr descr="/Users/tylermuffly/sling-volume-patterns/output/figures/figure_1_market_share.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The URPS share increased under every classification scenario. Fixed membership (all-pathway URPS share 53.4% to 63.8%; +0.90 percentage points/year) and certification-gated classification (URPS share 42.2% to 62.8%; +1.52 percentage points/year) differ in the estimated rate of increase and converge by 2023.</w:t>
      </w:r>
    </w:p>
    <w:p>
      <w:r>
        <w:pict>
          <v:rect style="width:0;height:1.5pt" o:hralign="center" o:hrstd="t" o:hr="t"/>
        </w:pict>
      </w:r>
    </w:p>
    <w:bookmarkEnd w:id="40"/>
    <w:bookmarkStart w:id="41"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0.53</w:t>
            </w:r>
          </w:p>
        </w:tc>
        <w:tc>
          <w:tcPr/>
          <w:p>
            <w:pPr>
              <w:pStyle w:val="Compact"/>
            </w:pPr>
            <w:r>
              <w:t xml:space="preserve">0.59</w:t>
            </w:r>
          </w:p>
        </w:tc>
        <w:tc>
          <w:tcPr/>
          <w:p>
            <w:pPr>
              <w:pStyle w:val="Compact"/>
            </w:pPr>
            <w:r>
              <w:t xml:space="preserve">0.63</w:t>
            </w:r>
          </w:p>
        </w:tc>
        <w:tc>
          <w:tcPr/>
          <w:p>
            <w:pPr>
              <w:pStyle w:val="Compact"/>
            </w:pPr>
            <w:r>
              <w:t xml:space="preserve">35</w:t>
            </w:r>
          </w:p>
        </w:tc>
        <w:tc>
          <w:tcPr/>
          <w:p>
            <w:pPr>
              <w:pStyle w:val="Compact"/>
            </w:pPr>
            <w:r>
              <w:t xml:space="preserve">32</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Newly observable episodes by specialty: URPS, 480; urology, 421; General OB/GYN, 205; MIGS, 8.</w:t>
      </w:r>
    </w:p>
    <w:p>
      <w:r>
        <w:pict>
          <v:rect style="width:0;height:1.5pt" o:hralign="center" o:hrstd="t" o:hr="t"/>
        </w:pict>
      </w:r>
    </w:p>
    <w:bookmarkEnd w:id="41"/>
    <w:bookmarkStart w:id="54" w:name="supplementary-figures"/>
    <w:p>
      <w:pPr>
        <w:pStyle w:val="Heading2"/>
      </w:pPr>
      <w:r>
        <w:t xml:space="preserve">Supplementary Figures</w:t>
      </w:r>
    </w:p>
    <w:p>
      <w:pPr>
        <w:pStyle w:val="FirstParagraph"/>
      </w:pPr>
      <w:r>
        <w:drawing>
          <wp:inline>
            <wp:extent cx="5334000" cy="3810000"/>
            <wp:effectExtent b="0" l="0" r="0" t="0"/>
            <wp:docPr descr="" title="" id="43" name="Picture"/>
            <a:graphic>
              <a:graphicData uri="http://schemas.openxmlformats.org/drawingml/2006/picture">
                <pic:pic>
                  <pic:nvPicPr>
                    <pic:cNvPr descr="/Users/tylermuffly/sling-volume-patterns/output/figures/figure_2_volume_distribution.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6" name="Picture"/>
            <a:graphic>
              <a:graphicData uri="http://schemas.openxmlformats.org/drawingml/2006/picture">
                <pic:pic>
                  <pic:nvPicPr>
                    <pic:cNvPr descr="/Users/tylermuffly/sling-volume-patterns/output/figures/figure_3_lorenz_curve.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49" name="Picture"/>
            <a:graphic>
              <a:graphicData uri="http://schemas.openxmlformats.org/drawingml/2006/picture">
                <pic:pic>
                  <pic:nvPicPr>
                    <pic:cNvPr descr="/Users/tylermuffly/sling-volume-patterns/output/figures/figure_4_concentration_trends.png" id="50" name="Picture"/>
                    <pic:cNvPicPr>
                      <a:picLocks noChangeArrowheads="1" noChangeAspect="1"/>
                    </pic:cNvPicPr>
                  </pic:nvPicPr>
                  <pic:blipFill>
                    <a:blip r:embed="rId48"/>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2" name="Picture"/>
            <a:graphic>
              <a:graphicData uri="http://schemas.openxmlformats.org/drawingml/2006/picture">
                <pic:pic>
                  <pic:nvPicPr>
                    <pic:cNvPr descr="/Users/tylermuffly/sling-volume-patterns/output/figures/figure_5_supply_trends.png" id="53" name="Picture"/>
                    <pic:cNvPicPr>
                      <a:picLocks noChangeArrowheads="1" noChangeAspect="1"/>
                    </pic:cNvPicPr>
                  </pic:nvPicPr>
                  <pic:blipFill>
                    <a:blip r:embed="rId51"/>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2026-07-22T20:21:14Z</dcterms:created>
  <dcterms:modified xsi:type="dcterms:W3CDTF">2026-07-22T20:21:14Z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