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48.png" ContentType="image/png"/>
  <Override PartName="/word/media/rId51.png" ContentType="image/png"/>
  <Override PartName="/word/media/rId54.png" ContentType="image/png"/>
  <Override PartName="/word/media/rId40.png" ContentType="image/png"/>
  <Override PartName="/word/media/rId37.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Specialty Distribution and Surgeon-Level Concentration of Sling Surgery for Stress Urinary Incontinence in Fee-for-Service Medicare, 2013–2023</w:t>
      </w:r>
    </w:p>
    <w:p>
      <w:pPr>
        <w:pStyle w:val="Author"/>
      </w:pPr>
      <w:r>
        <w:t xml:space="preserve">Tyler Muffly, MD</w:t>
      </w:r>
    </w:p>
    <w:p>
      <w:pPr>
        <w:pStyle w:val="FirstParagraph"/>
      </w:pPr>
      <w:r>
        <w:rPr>
          <w:b/>
          <w:bCs/>
        </w:rPr>
        <w:t xml:space="preserve">Author:</w:t>
      </w:r>
      <w:r>
        <w:t xml:space="preserve"> </w:t>
      </w:r>
      <w:r>
        <w:t xml:space="preserve">Tyler Muffly, MD</w:t>
      </w:r>
      <w:r>
        <w:rPr>
          <w:vertAlign w:val="superscript"/>
        </w:rPr>
        <w:t xml:space="preserve">1</w:t>
      </w:r>
    </w:p>
    <w:p>
      <w:pPr>
        <w:pStyle w:val="BodyText"/>
      </w:pPr>
      <w:r>
        <w:rPr>
          <w:vertAlign w:val="superscript"/>
        </w:rPr>
        <w:t xml:space="preserve">1</w:t>
      </w:r>
      <w:r>
        <w:t xml:space="preserve"> </w:t>
      </w:r>
      <w:r>
        <w:rPr>
          <w:i/>
          <w:iCs/>
        </w:rPr>
        <w:t xml:space="preserve">[Affiliation to be completed: division, department, institution, city, state]</w:t>
      </w:r>
    </w:p>
    <w:p>
      <w:pPr>
        <w:pStyle w:val="BodyText"/>
      </w:pPr>
      <w:r>
        <w:rPr>
          <w:b/>
          <w:bCs/>
        </w:rPr>
        <w:t xml:space="preserve">Corresponding author:</w:t>
      </w:r>
      <w:r>
        <w:t xml:space="preserve"> </w:t>
      </w:r>
      <w:r>
        <w:t xml:space="preserve">Tyler Muffly, MD.</w:t>
      </w:r>
      <w:r>
        <w:t xml:space="preserve"> </w:t>
      </w:r>
      <w:r>
        <w:rPr>
          <w:i/>
          <w:iCs/>
        </w:rPr>
        <w:t xml:space="preserve">[mailing address, telephone, and email to be completed]</w:t>
      </w:r>
    </w:p>
    <w:p>
      <w:pPr>
        <w:pStyle w:val="BodyText"/>
      </w:pPr>
      <w:r>
        <w:rPr>
          <w:b/>
          <w:bCs/>
        </w:rPr>
        <w:t xml:space="preserve">Funding:</w:t>
      </w:r>
      <w:r>
        <w:t xml:space="preserve"> </w:t>
      </w:r>
      <w:r>
        <w:rPr>
          <w:i/>
          <w:iCs/>
        </w:rPr>
        <w:t xml:space="preserve">[to be completed; state</w:t>
      </w:r>
      <w:r>
        <w:rPr>
          <w:i/>
          <w:iCs/>
        </w:rPr>
        <w:t xml:space="preserve"> </w:t>
      </w:r>
      <w:r>
        <w:rPr>
          <w:i/>
          <w:iCs/>
        </w:rPr>
        <w:t xml:space="preserve">“None”</w:t>
      </w:r>
      <w:r>
        <w:rPr>
          <w:i/>
          <w:iCs/>
        </w:rPr>
        <w:t xml:space="preserve"> </w:t>
      </w:r>
      <w:r>
        <w:rPr>
          <w:i/>
          <w:iCs/>
        </w:rPr>
        <w:t xml:space="preserve">if not applicable]</w:t>
      </w:r>
    </w:p>
    <w:p>
      <w:pPr>
        <w:pStyle w:val="BodyText"/>
      </w:pPr>
      <w:r>
        <w:rPr>
          <w:b/>
          <w:bCs/>
        </w:rPr>
        <w:t xml:space="preserve">Conflicts of interest:</w:t>
      </w:r>
      <w:r>
        <w:t xml:space="preserve"> </w:t>
      </w:r>
      <w:r>
        <w:rPr>
          <w:i/>
          <w:iCs/>
        </w:rPr>
        <w:t xml:space="preserve">[to be completed; state</w:t>
      </w:r>
      <w:r>
        <w:rPr>
          <w:i/>
          <w:iCs/>
        </w:rPr>
        <w:t xml:space="preserve"> </w:t>
      </w:r>
      <w:r>
        <w:rPr>
          <w:i/>
          <w:iCs/>
        </w:rPr>
        <w:t xml:space="preserve">“The author reports no conflicts of interest”</w:t>
      </w:r>
      <w:r>
        <w:rPr>
          <w:i/>
          <w:iCs/>
        </w:rPr>
        <w:t xml:space="preserve"> </w:t>
      </w:r>
      <w:r>
        <w:rPr>
          <w:i/>
          <w:iCs/>
        </w:rPr>
        <w:t xml:space="preserve">if applicable]</w:t>
      </w:r>
    </w:p>
    <w:p>
      <w:pPr>
        <w:pStyle w:val="BodyText"/>
      </w:pPr>
      <w:r>
        <w:rPr>
          <w:b/>
          <w:bCs/>
        </w:rPr>
        <w:t xml:space="preserve">Acknowledgments:</w:t>
      </w:r>
      <w:r>
        <w:t xml:space="preserve"> </w:t>
      </w:r>
      <w:r>
        <w:rPr>
          <w:i/>
          <w:iCs/>
        </w:rPr>
        <w:t xml:space="preserve">[to be completed]</w:t>
      </w:r>
    </w:p>
    <w:p>
      <w:pPr>
        <w:pStyle w:val="BodyText"/>
      </w:pPr>
      <w:r>
        <w:rPr>
          <w:b/>
          <w:bCs/>
        </w:rPr>
        <w:t xml:space="preserve">Data and code availability:</w:t>
      </w:r>
      <w:r>
        <w:t xml:space="preserve"> </w:t>
      </w:r>
      <w:r>
        <w:t xml:space="preserve">The complete, reproducible analytic pipeline and this manuscript source are available at</w:t>
      </w:r>
      <w:r>
        <w:t xml:space="preserve"> </w:t>
      </w:r>
      <w:hyperlink r:id="rId9">
        <w:r>
          <w:rPr>
            <w:rStyle w:val="Hyperlink"/>
          </w:rPr>
          <w:t xml:space="preserve">https://github.com/mufflyt/sling-volume-patterns</w:t>
        </w:r>
      </w:hyperlink>
      <w:r>
        <w:t xml:space="preserve">. The CMS Medicare Physician and Other Practitioners Public Use File and the CMS Program Statistics Original Medicare Enrollment tables are publicly available from data.cms.gov.</w:t>
      </w:r>
    </w:p>
    <w:p>
      <w:pPr>
        <w:pStyle w:val="BodyText"/>
      </w:pPr>
      <w:r>
        <w:rPr>
          <w:b/>
          <w:bCs/>
        </w:rPr>
        <w:t xml:space="preserve">Word count (abstract):</w:t>
      </w:r>
      <w:r>
        <w:t xml:space="preserve"> </w:t>
      </w:r>
      <w:r>
        <w:t xml:space="preserve">approximately 250.</w:t>
      </w:r>
      <w:r>
        <w:t xml:space="preserve"> </w:t>
      </w:r>
      <w:r>
        <w:rPr>
          <w:b/>
          <w:bCs/>
        </w:rPr>
        <w:t xml:space="preserve">Manuscript type:</w:t>
      </w:r>
      <w:r>
        <w:t xml:space="preserve"> </w:t>
      </w:r>
      <w:r>
        <w:t xml:space="preserve">Original research.</w:t>
      </w:r>
    </w:p>
    <w:p>
      <w:r>
        <w:pict>
          <v:rect style="width:0;height:1.5pt" o:hralign="center" o:hrstd="t" o:hr="t"/>
        </w:pict>
      </w:r>
    </w:p>
    <w:bookmarkStart w:id="10" w:name="abstract"/>
    <w:p>
      <w:pPr>
        <w:pStyle w:val="Heading2"/>
      </w:pPr>
      <w:r>
        <w:t xml:space="preserve">Abstract</w:t>
      </w:r>
    </w:p>
    <w:p>
      <w:pPr>
        <w:pStyle w:val="FirstParagraph"/>
      </w:pPr>
      <w:r>
        <w:rPr>
          <w:b/>
          <w:bCs/>
        </w:rPr>
        <w:t xml:space="preserve">Objectives:</w:t>
      </w:r>
      <w:r>
        <w:t xml:space="preserve"> </w:t>
      </w:r>
      <w:r>
        <w:t xml:space="preserve">To describe the specialty distribution, surgeon volume, and concentration of clinicians performing sling surgery for stress urinary incontinence (CPT 57288) in fee-for-service Medicare, 2013 through 2023.</w:t>
      </w:r>
    </w:p>
    <w:p>
      <w:pPr>
        <w:pStyle w:val="BodyText"/>
      </w:pPr>
      <w:r>
        <w:rPr>
          <w:b/>
          <w:bCs/>
        </w:rPr>
        <w:t xml:space="preserve">Methods:</w:t>
      </w:r>
      <w:r>
        <w:t xml:space="preserve"> </w:t>
      </w:r>
      <w:r>
        <w:t xml:space="preserve">Using the CMS Medicare Physician and Other Practitioners Public Use File (all 11 years), we classified clinicians billing CPT 57288 as Urogynecology and Reconstructive Pelvic Surgery (URPS, both certification pathways), Minimally Invasive Gynecologic Surgery, other non-URPS OB/GYN, or non-URPS urology; facilities and unclassifiable billers formed a separate group. Utilization was modeled with a denominator offset (female Part B fee-for-service enrollment), annual volume with a Poisson generalized estimating equation clustered by NPI, and the URPS share with a quasibinomial model; concentration used the Gini coefficient with bootstrap confidence intervals.</w:t>
      </w:r>
    </w:p>
    <w:p>
      <w:pPr>
        <w:pStyle w:val="BodyText"/>
      </w:pPr>
      <w:r>
        <w:rPr>
          <w:b/>
          <w:bCs/>
        </w:rPr>
        <w:t xml:space="preserve">Results:</w:t>
      </w:r>
      <w:r>
        <w:t xml:space="preserve"> </w:t>
      </w:r>
      <w:r>
        <w:t xml:space="preserve">1,666 clinicians performed 141,009 observable services. OB/GYN-pathway URPS was the largest group (55%), with urology-pathway URPS a further 8.7% (together 63.7%), followed by non-URPS urology (14.5%) and other non-URPS OB/GYN (13%). Raw services fell -27.7%, but in a denominator-offset model the observable utilization rate declined -1.9% per year (about -17.3% over the decade; p = 0.119), a meaningful but not statistically robust decline. Adjusted volume was higher for OB/GYN-pathway URPS than for the other groups. Within-year concentration was low and stable (annual Gini 0.22–0.28). In a quasibinomial model the OB/GYN-pathway URPS share rose 1.44 percentage points/year (48.3% to 62.6%; p &lt; 0.001); the urology pathway was roughly stable.</w:t>
      </w:r>
    </w:p>
    <w:p>
      <w:pPr>
        <w:pStyle w:val="BodyText"/>
      </w:pPr>
      <w:r>
        <w:rPr>
          <w:b/>
          <w:bCs/>
        </w:rPr>
        <w:t xml:space="preserve">Conclusions:</w:t>
      </w:r>
      <w:r>
        <w:t xml:space="preserve"> </w:t>
      </w:r>
      <w:r>
        <w:t xml:space="preserve">In observable fee-for-service Medicare, all-pathway URPS physicians performed most sling surgery for stress urinary incontinence, and their share rose as non-URPS participation declined, not through rising concentration. These findings describe observable Medicare service patterns, not the national surgical workforce; outcome and access studies are needed before credentialing implications.</w:t>
      </w:r>
    </w:p>
    <w:p>
      <w:pPr>
        <w:pStyle w:val="BodyText"/>
      </w:pPr>
      <w:r>
        <w:rPr>
          <w:b/>
          <w:bCs/>
        </w:rPr>
        <w:t xml:space="preserve">Keywords:</w:t>
      </w:r>
      <w:r>
        <w:t xml:space="preserve"> </w:t>
      </w:r>
      <w:r>
        <w:t xml:space="preserve">stress urinary incontinence; sling surgery; urogynecology; Medicare; surgical workforce; procedural concentration.</w:t>
      </w:r>
    </w:p>
    <w:p>
      <w:r>
        <w:pict>
          <v:rect style="width:0;height:1.5pt" o:hralign="center" o:hrstd="t" o:hr="t"/>
        </w:pict>
      </w:r>
    </w:p>
    <w:bookmarkEnd w:id="10"/>
    <w:bookmarkStart w:id="11" w:name="simply-stated"/>
    <w:p>
      <w:pPr>
        <w:pStyle w:val="Heading2"/>
      </w:pPr>
      <w:r>
        <w:t xml:space="preserve">Simply Stated</w:t>
      </w:r>
    </w:p>
    <w:p>
      <w:pPr>
        <w:pStyle w:val="FirstParagraph"/>
      </w:pPr>
      <w:r>
        <w:t xml:space="preserve">Sling surgery is a common operation for stress urinary incontinence, a condition that causes urine leakage with coughing, laughing, or exercise. Several kinds of doctors perform this surgery, including urogynecologists (subspecialists in pelvic floor surgery), general obstetrician-gynecologists, and urologists. Using national Medicare billing records from 2013 to 2023, we looked at who performs these operations and how the work is spread among surgeons. Urogynecologists performed most of the operations, and their share grew over the decade. The total number of billed operations fell, but much of that drop reflects that fewer older adults are now in traditional Medicare; after accounting for that shrinking population, a smaller real decline may remain, though the data cannot pin it down precisely. No small group of very high-volume surgeons dominated the work. These findings describe the traditional Medicare workforce and cannot, by themselves, tell us who should be allowed to perform the surgery.</w:t>
      </w:r>
    </w:p>
    <w:bookmarkEnd w:id="11"/>
    <w:bookmarkStart w:id="12" w:name="why-this-matters"/>
    <w:p>
      <w:pPr>
        <w:pStyle w:val="Heading2"/>
      </w:pPr>
      <w:r>
        <w:t xml:space="preserve">Why This Matters</w:t>
      </w:r>
    </w:p>
    <w:p>
      <w:pPr>
        <w:pStyle w:val="FirstParagraph"/>
      </w:pPr>
      <w:r>
        <w:t xml:space="preserve">The mix of specialties performing stress-incontinence surgery bears on training, credentialing, and patient access, yet national Medicare data on it are limited. This study adds two things. First, it identifies urogynecologists through both the obstetrics-gynecology and urology certification pathways, which avoids undercounting the subspecialty. Second, it shows that raw fee-for-service counts can be misleading: after accounting for the shrinking traditional-Medicare population, the apparent decline in sling surgery largely disappears, and within-year concentration among surgeons stayed low and stable. For clinicians and policymakers, the practical message is that observed shifts reflect changing workforce composition, not consolidation of care into a few hands, and that claims databases must be paired with enrollment denominators and outcome data before they can support credentialing or access decisions.</w:t>
      </w:r>
    </w:p>
    <w:p>
      <w:r>
        <w:pict>
          <v:rect style="width:0;height:1.5pt" o:hralign="center" o:hrstd="t" o:hr="t"/>
        </w:pict>
      </w:r>
    </w:p>
    <w:bookmarkEnd w:id="12"/>
    <w:bookmarkStart w:id="13" w:name="introduction"/>
    <w:p>
      <w:pPr>
        <w:pStyle w:val="Heading2"/>
      </w:pPr>
      <w:r>
        <w:t xml:space="preserve">Introduction</w:t>
      </w:r>
    </w:p>
    <w:p>
      <w:pPr>
        <w:pStyle w:val="FirstParagraph"/>
      </w:pPr>
      <w:r>
        <w:t xml:space="preserve">Sling surgery is a common operation for stress urinary incontinence (SUI) and remains a standard surgical treatment when conservative care fails.</w:t>
      </w:r>
      <w:r>
        <w:rPr>
          <w:vertAlign w:val="superscript"/>
        </w:rPr>
        <w:t xml:space="preserve">1,2</w:t>
      </w:r>
      <w:r>
        <w:t xml:space="preserve"> </w:t>
      </w:r>
      <w:r>
        <w:t xml:space="preserve">These operations are reported under CPT 57288, whose descriptor is</w:t>
      </w:r>
      <w:r>
        <w:t xml:space="preserve"> </w:t>
      </w:r>
      <w:r>
        <w:t xml:space="preserve">“sling operation for stress incontinence (eg, fascia or synthetic).”</w:t>
      </w:r>
      <w:r>
        <w:t xml:space="preserve"> </w:t>
      </w:r>
      <w:r>
        <w:t xml:space="preserve">The code therefore captures autologous fascial and synthetic sling operations together and does not identify the sling material or distinguish retropubic, transobturator, single-incision, or pubovaginal technique. Despite the procedure’s widespread use, little is known about which specialties perform these operations in the Medicare population or how volume is distributed among surgeons.</w:t>
      </w:r>
    </w:p>
    <w:p>
      <w:pPr>
        <w:pStyle w:val="BodyText"/>
      </w:pPr>
      <w:r>
        <w:t xml:space="preserve">These questions matter for surgical quality, training, and workforce planning. Across surgery, higher surgeon and hospital volume is generally associated with better outcomes.</w:t>
      </w:r>
      <w:r>
        <w:rPr>
          <w:vertAlign w:val="superscript"/>
        </w:rPr>
        <w:t xml:space="preserve">4,5</w:t>
      </w:r>
      <w:r>
        <w:t xml:space="preserve"> </w:t>
      </w:r>
      <w:r>
        <w:t xml:space="preserve">Evidence for procedure-specific volume thresholds in sling surgery is more limited. The specialty mix has also changed during the past decade.</w:t>
      </w:r>
    </w:p>
    <w:p>
      <w:pPr>
        <w:pStyle w:val="BodyText"/>
      </w:pPr>
      <w:r>
        <w:t xml:space="preserve">Three developments make this analysis timely. First, Female Pelvic Medicine and Reconstructive Surgery, now named Urogynecology and Reconstructive Pelvic Surgery (URPS), has grown since receiving American Board of Medical Specialties recognition in 2013.</w:t>
      </w:r>
      <w:r>
        <w:rPr>
          <w:vertAlign w:val="superscript"/>
        </w:rPr>
        <w:t xml:space="preserve">6</w:t>
      </w:r>
      <w:r>
        <w:t xml:space="preserve"> </w:t>
      </w:r>
      <w:r>
        <w:t xml:space="preserve">Certification is available through both obstetrics and gynecology (ABOG) and urology (ABU) pathways. Second, US Food and Drug Administration actions on urogynecologic mesh changed public perception of mesh and may have affected sling use.</w:t>
      </w:r>
      <w:r>
        <w:rPr>
          <w:vertAlign w:val="superscript"/>
        </w:rPr>
        <w:t xml:space="preserve">7</w:t>
      </w:r>
      <w:r>
        <w:t xml:space="preserve"> </w:t>
      </w:r>
      <w:r>
        <w:t xml:space="preserve">The 2019 FDA order concerned transvaginal mesh for pelvic organ prolapse and did not remove synthetic midurethral slings for stress incontinence from the market; the two devices are frequently conflated in public discussion. Third, procedural concentration, the extent to which a relatively small group of clinicians performs a large share of procedures, has become relevant to quality improvement and resource allocation.</w:t>
      </w:r>
      <w:r>
        <w:rPr>
          <w:vertAlign w:val="superscript"/>
        </w:rPr>
        <w:t xml:space="preserve">8</w:t>
      </w:r>
    </w:p>
    <w:p>
      <w:pPr>
        <w:pStyle w:val="BodyText"/>
      </w:pPr>
      <w:r>
        <w:t xml:space="preserve">We therefore characterized specialty distribution, annual surgeon volume, and surgeon-level concentration among physicians performing sling surgery for stress urinary incontinence in fee-for-service Medicare from 2013 through 2023. We also evaluated changes in each specialty’s share of reported services over time.</w:t>
      </w:r>
    </w:p>
    <w:bookmarkEnd w:id="13"/>
    <w:bookmarkStart w:id="18" w:name="materials-and-methods"/>
    <w:p>
      <w:pPr>
        <w:pStyle w:val="Heading2"/>
      </w:pPr>
      <w:r>
        <w:t xml:space="preserve">Materials and Methods</w:t>
      </w:r>
    </w:p>
    <w:bookmarkStart w:id="14" w:name="study-design-and-data-source"/>
    <w:p>
      <w:pPr>
        <w:pStyle w:val="Heading3"/>
      </w:pPr>
      <w:r>
        <w:t xml:space="preserve">Study Design and Data Source</w:t>
      </w:r>
    </w:p>
    <w:p>
      <w:pPr>
        <w:pStyle w:val="FirstParagraph"/>
      </w:pPr>
      <w:r>
        <w:t xml:space="preserve">We conducted a repeated cross-sectional analysis of the Centers for Medicare &amp; Medicaid Services (CMS) Medicare Physician and Other Practitioners Public Use File (PUF) from 2013 through 2023. The PUF contains all fee-for-service Medicare Part B claims aggregated to the provider-service level. Each row represents a unique combination of National Provider Identifier (NPI), Healthcare Common Procedure Coding System code, place of service, and calendar year. Because the dataset is publicly available and contains no protected health information, institutional review board approval was not required.</w:t>
      </w:r>
    </w:p>
    <w:p>
      <w:pPr>
        <w:pStyle w:val="BodyText"/>
      </w:pPr>
      <w:r>
        <w:t xml:space="preserve">All 11 annual PUF releases (2013 through 2023) were verified against the CMS file specifications for completeness before analysis.</w:t>
      </w:r>
    </w:p>
    <w:bookmarkEnd w:id="14"/>
    <w:bookmarkStart w:id="15" w:name="specialty-classification"/>
    <w:p>
      <w:pPr>
        <w:pStyle w:val="Heading3"/>
      </w:pPr>
      <w:r>
        <w:t xml:space="preserve">Specialty Classification</w:t>
      </w:r>
    </w:p>
    <w:p>
      <w:pPr>
        <w:pStyle w:val="FirstParagraph"/>
      </w:pPr>
      <w:r>
        <w:t xml:space="preserve">Providers were assigned to four mutually exclusive groups: URPS, MIGS, General OB/GYN, or non-URPS urology. We first used the annual CMS provider type (Rndrng_Prvdr_Type), which may vary by year, to identify OB/GYN, urology, or another specialty. Among OB/GYN physicians, the ABOG subspecialty registry (a snapshot of ABOG-certified diplomates linked to NPIs primarily by exact NPI match and, when needed, by full name and practice state) identified</w:t>
      </w:r>
      <w:r>
        <w:t xml:space="preserve"> </w:t>
      </w:r>
      <w:r>
        <w:t xml:space="preserve">“Female Pelvic Medicine and Reconstructive Surgery”</w:t>
      </w:r>
      <w:r>
        <w:t xml:space="preserve"> </w:t>
      </w:r>
      <w:r>
        <w:t xml:space="preserve">as URPS and</w:t>
      </w:r>
      <w:r>
        <w:t xml:space="preserve"> </w:t>
      </w:r>
      <w:r>
        <w:t xml:space="preserve">“MIG”</w:t>
      </w:r>
      <w:r>
        <w:t xml:space="preserve"> </w:t>
      </w:r>
      <w:r>
        <w:t xml:space="preserve">as MIGS; all other OB/GYN physicians were classified as General OB/GYN. This yielded 1666-cohort assignments of URPS, MIGS, and General OB/GYN through the OB/GYN pathway.</w:t>
      </w:r>
    </w:p>
    <w:p>
      <w:pPr>
        <w:pStyle w:val="BodyText"/>
      </w:pPr>
      <w:r>
        <w:t xml:space="preserve">Billers of CPT 57288 who had neither an OB/GYN nor urology CMS provider type and were not in the ABOG registry (323 NPIs) were predominantly facilities (ambulatory surgical centers) and non-physician clinicians (physician assistants, nurse practitioners), not urologists; none matched the ABU roster. We therefore did not assign them to urology. Organizational NPIs (NPPES entity type 2, flagged in the Public Use File by a rendering-provider entity code of</w:t>
      </w:r>
      <w:r>
        <w:t xml:space="preserve"> </w:t>
      </w:r>
      <w:r>
        <w:t xml:space="preserve">“O”</w:t>
      </w:r>
      <w:r>
        <w:t xml:space="preserve">: ambulatory surgical centers, hospitals, laboratories, and groups; 123 NPIs) were excluded because they identify a billing organization rather than an individual clinician and cannot be given a physician specialty. The remaining 200 individual non-physician or unclassifiable clinicians were placed in a distinct</w:t>
      </w:r>
      <w:r>
        <w:t xml:space="preserve"> </w:t>
      </w:r>
      <w:r>
        <w:t xml:space="preserve">“Other/uncertain”</w:t>
      </w:r>
      <w:r>
        <w:t xml:space="preserve"> </w:t>
      </w:r>
      <w:r>
        <w:t xml:space="preserve">group (8.2% of observable services). The full classification flow, with counts at each step, is shown in Figure 3. We report the specialty distribution under three handlings of these billers, as a sensitivity analysis (Supplementary Table S11): the primary</w:t>
      </w:r>
      <w:r>
        <w:t xml:space="preserve"> </w:t>
      </w:r>
      <w:r>
        <w:t xml:space="preserve">“Other/uncertain”</w:t>
      </w:r>
      <w:r>
        <w:t xml:space="preserve"> </w:t>
      </w:r>
      <w:r>
        <w:t xml:space="preserve">grouping, exclusion, and the legacy assignment to urology; the latter inflates the apparent non-URPS urology share roughly two-fold and is not used. A further small number of provider-year records from ABOG-registered NPIs with a miscellaneous CMS type remained</w:t>
      </w:r>
      <w:r>
        <w:t xml:space="preserve"> </w:t>
      </w:r>
      <w:r>
        <w:t xml:space="preserve">“Other”</w:t>
      </w:r>
      <w:r>
        <w:t xml:space="preserve"> </w:t>
      </w:r>
      <w:r>
        <w:t xml:space="preserve">and were excluded.</w:t>
      </w:r>
    </w:p>
    <w:p>
      <w:pPr>
        <w:pStyle w:val="BodyText"/>
      </w:pPr>
      <w:r>
        <w:t xml:space="preserve">We then cross-referenced the American Board of Urology roster (355 urology-pathway urogynecologist NPIs) to identify urology-pathway urogynecologists; 151 cohort physicians matched. These physicians were combined with ABOG-certified urogynecologists into a single all-pathway URPS group; all remaining urologists were classified as non-URPS urology. Without this step, fellowship-trained urology-pathway urogynecologists would appear only as</w:t>
      </w:r>
      <w:r>
        <w:t xml:space="preserve"> </w:t>
      </w:r>
      <w:r>
        <w:t xml:space="preserve">“Urology”</w:t>
      </w:r>
      <w:r>
        <w:t xml:space="preserve"> </w:t>
      </w:r>
      <w:r>
        <w:t xml:space="preserve">in the PUF. Because an all-pathway URPS group includes urology-trained subspecialists who are not gynecologists, we report the all-pathway URPS share separately from the OB/GYN-based share (URPS plus MIGS plus General OB/GYN, restricted to the OB/GYN training pathway), rather than a single</w:t>
      </w:r>
      <w:r>
        <w:t xml:space="preserve"> </w:t>
      </w:r>
      <w:r>
        <w:t xml:space="preserve">“gynecologic”</w:t>
      </w:r>
      <w:r>
        <w:t xml:space="preserve"> </w:t>
      </w:r>
      <w:r>
        <w:t xml:space="preserve">share.</w:t>
      </w:r>
    </w:p>
    <w:p>
      <w:pPr>
        <w:pStyle w:val="BodyText"/>
      </w:pPr>
      <w:r>
        <w:t xml:space="preserve">Specialty assignment could affect the estimated market-share trend because 45% of URPS physicians in the cohort were certified after 2013. We therefore examined two plausible classification scenarios that make opposite assumptions about pre-certification practice years. Fixed-membership classification assigns each physician’s eventual subspecialty to every study year; because it counts physicians as URPS before certification, it tends to produce a shallower estimated slope.</w:t>
      </w:r>
    </w:p>
    <w:p>
      <w:pPr>
        <w:pStyle w:val="BodyText"/>
      </w:pPr>
      <w:r>
        <w:t xml:space="preserve">Time-varying, certification-gated classification counts a physician as URPS or MIGS only beginning in the ABOG subspecialty certification year (sub1startdate, 2013–2024, distinct from the initial OB/GYN board date). Earlier years are classified by that year’s CMS provider type. Because certification generally follows the start of subspecialty practice (the 2013 examination certified physicians already practicing urogynecology, and later diplomates also practiced before certification), this scenario removes some genuine pre-certification practice from the early URPS count and tends to produce a steeper estimated slope. We present these as plausible scenarios rather than formal statistical bounds, because neither assumption is guaranteed to bracket the true trend.</w:t>
      </w:r>
    </w:p>
    <w:p>
      <w:pPr>
        <w:pStyle w:val="BodyText"/>
      </w:pPr>
      <w:r>
        <w:t xml:space="preserve">Modal and ever-URPS/MIGS classifications were additional sensitivity analyses. Urology-pathway URPS classification remained fixed because no urology subspecialty certification date was available. For the whole-period distribution, concentration, and volume analyses (Tables 1–3), each physician was assigned to the eventual combined subspecialty.</w:t>
      </w:r>
    </w:p>
    <w:bookmarkEnd w:id="15"/>
    <w:bookmarkStart w:id="16" w:name="cms-data-suppression"/>
    <w:p>
      <w:pPr>
        <w:pStyle w:val="Heading3"/>
      </w:pPr>
      <w:r>
        <w:t xml:space="preserve">CMS Data Suppression</w:t>
      </w:r>
    </w:p>
    <w:p>
      <w:pPr>
        <w:pStyle w:val="FirstParagraph"/>
      </w:pPr>
      <w:r>
        <w:t xml:space="preserve">CMS suppresses provider-service data when a provider treats fewer than 11 Medicare beneficiaries for a given code in a calendar year. Every observable provider in this study therefore treated at least 11 Medicare beneficiaries for CPT 57288 that year. Providers below the threshold are not observed, so the true number of low-volume surgeons is unknown. Suppression removes the lowest-volume physician-years and can bias the Gini coefficient and HHI in different directions, so the full-market concentration cannot be identified from the Public Use File. We therefore report bootstrap confidence intervals for the Gini coefficient and a sensitivity analysis that adds hypothetical suppressed low-volume providers before recomputing concentration.</w:t>
      </w:r>
    </w:p>
    <w:bookmarkEnd w:id="16"/>
    <w:bookmarkStart w:id="17" w:name="X46ca734e3ebd5db0ec3b7b3638b7437bae62243"/>
    <w:p>
      <w:pPr>
        <w:pStyle w:val="Heading3"/>
      </w:pPr>
      <w:r>
        <w:t xml:space="preserve">Outcome Measures and Statistical Analysis</w:t>
      </w:r>
    </w:p>
    <w:p>
      <w:pPr>
        <w:pStyle w:val="FirstParagraph"/>
      </w:pPr>
      <w:r>
        <w:t xml:space="preserve">The primary surgeon-level outcome was the annual number of CPT 57288 services per provider (Tot_Srvcs, reported services). To describe population utilization over time, we also computed the annual rate of CPT 57288 services per 100,000 female Part B fee-for-service Medicare beneficiaries, using the CMS Program Statistics Original Medicare Enrollment counts (table MDCR ENROLL AB 11, Sex = Female, Part B) as the denominator; absolute service counts are reported as a secondary measure. Because the Public Use File records no beneficiary age for the numerator, the rate is crude and is not age-standardized. We measured surgeon-level concentration with complementary metrics. The Gini coefficient summarizes inequality across the full surgeon-volume distribution, and we bootstrapped its 95% confidence interval by resampling providers. The Herfindahl–Hirschman Index (HHI) sums squared surgeon shares on a 0–10,000 scale and is more sensitive to the largest-volume surgeons. Because the minimum attainable HHI depends on the number of providers, we do not compare raw HHI directly across groups of very different size (URPS 616, General OB/GYN 336, MIGS 10 physicians); we also report the size-adjusted normalized HHI and the effective number of providers (1 divided by the sum of squared shares). Within-year concentration, computed separately for each calendar year, was the primary concentration measure; pooled multi-year values are secondary because they mix annual volume with how many years each physician remained observable.</w:t>
      </w:r>
    </w:p>
    <w:p>
      <w:pPr>
        <w:pStyle w:val="BodyText"/>
      </w:pPr>
      <w:r>
        <w:t xml:space="preserve">The physician was the operative production unit in these calculations. Thus, HHI describes surgeon-level procedural concentration rather than hospital or health-system market competition and should not be interpreted using FTC/DOJ antitrust thresholds.</w:t>
      </w:r>
    </w:p>
    <w:p>
      <w:pPr>
        <w:pStyle w:val="BodyText"/>
      </w:pPr>
      <w:r>
        <w:t xml:space="preserve">Because each physician contributed as many as eleven annual observations, physician-year records were correlated. We modeled the annual count of reported services, conditional on the physician-year being observable (above the CMS suppression threshold), with a Poisson generalized estimating equation clustered by NPI, using an exchangeable working correlation and robust standard errors. Fixed effects were specialty (URPS reference), calendar year centered at 2018, a specialty-by-year interaction, and a 2020 COVID indicator. Centering at mid-study makes the specialty main effects the adjusted rate ratios at 2018; because the interaction makes the year term specialty-specific, we report each specialty’s annual slope as a marginal linear contrast (the year term plus its interaction) rather than a single overall time effect. We report adjusted rate ratios with 95% CIs. A negative-binomial mixed model with a random intercept for NPI was fit as a sensitivity analysis, and its estimates are reported alongside the GEE. Additional sensitivity analyses excluded calendar year 2020 and restricted the cohort to physicians observable in at least two years.</w:t>
      </w:r>
    </w:p>
    <w:p>
      <w:pPr>
        <w:pStyle w:val="BodyText"/>
      </w:pPr>
      <w:r>
        <w:t xml:space="preserve">As a secondary analysis with one independent observation per physician, we compared each physician’s median annual volume across specialties using the Kruskal-Wallis test and Bonferroni-adjusted pairwise Wilcoxon tests.</w:t>
      </w:r>
    </w:p>
    <w:p>
      <w:pPr>
        <w:pStyle w:val="BodyText"/>
      </w:pPr>
      <w:r>
        <w:t xml:space="preserve">To estimate the URPS market-share trend, we modeled URPS services as a proportion of all annual services with a quasibinomial generalized linear model on calendar year (centered at 2018), which respects the compositional structure that separate ordinary least-squares regressions on annual percentages ignore. We express the trend as an odds ratio per year and as the marginal percentage-point change per year. Separate ordinary least-squares regressions of each specialty’s annual percentage share (URPS, urology, General OB/GYN) are reported as a descriptive sensitivity. MIGS was described without formal emphasis because only 10 physicians were identified.</w:t>
      </w:r>
    </w:p>
    <w:p>
      <w:pPr>
        <w:pStyle w:val="BodyText"/>
      </w:pPr>
      <w:r>
        <w:t xml:space="preserve">To describe observable participation transitions, we used a two-year washout. A surgeon was counted as newly observable in a given year when present but absent in both prior observable years; as continuing when present and not newly observable; and as no longer observable when absent in both subsequent observable years. We tabulated the share of annual volume performed by newly observable surgeons, their median volume, and their distribution by specialty. Because CMS suppression removes providers below 11 beneficiaries, these transitions describe when a surgeon crosses the reporting threshold, not genuine entry into or exit from practice; a surgeon may become unobservable and later reappear. Counts of newly observable surgeons by specialty are episode counts (a physician observed as newly observable in more than one year, after an intervening gap, contributes more than once), not counts of unique physicians.</w:t>
      </w:r>
    </w:p>
    <w:p>
      <w:pPr>
        <w:pStyle w:val="BodyText"/>
      </w:pPr>
      <w:r>
        <w:t xml:space="preserve">In a secondary geographic analysis, we tabulated observable surgeons and URPS share by practice state and identified states with no observable URPS surgeon performing at least 11 Medicare slings in any study year. We did not calculate state-level population-based rates because state-by-sex fee-for-service enrollment denominators were outside the scope of this analysis; the national utilization rate above uses the national female Part B fee-for-service denominator.</w:t>
      </w:r>
    </w:p>
    <w:p>
      <w:pPr>
        <w:pStyle w:val="BodyText"/>
      </w:pPr>
      <w:r>
        <w:t xml:space="preserve">Analyses were performed in R 4.4, with package versions locked through renv. The complete analytic pipeline is available at</w:t>
      </w:r>
      <w:r>
        <w:t xml:space="preserve"> </w:t>
      </w:r>
      <w:hyperlink r:id="rId9">
        <w:r>
          <w:rPr>
            <w:rStyle w:val="Hyperlink"/>
          </w:rPr>
          <w:t xml:space="preserve">https://github.com/mufflyt/sling-volume-patterns</w:t>
        </w:r>
      </w:hyperlink>
      <w:r>
        <w:t xml:space="preserve">.</w:t>
      </w:r>
    </w:p>
    <w:bookmarkEnd w:id="17"/>
    <w:bookmarkEnd w:id="18"/>
    <w:bookmarkStart w:id="23" w:name="results"/>
    <w:p>
      <w:pPr>
        <w:pStyle w:val="Heading2"/>
      </w:pPr>
      <w:r>
        <w:t xml:space="preserve">Results</w:t>
      </w:r>
    </w:p>
    <w:bookmarkStart w:id="19" w:name="cohort-and-annual-volume"/>
    <w:p>
      <w:pPr>
        <w:pStyle w:val="Heading3"/>
      </w:pPr>
      <w:r>
        <w:t xml:space="preserve">Cohort and Annual Volume</w:t>
      </w:r>
    </w:p>
    <w:p>
      <w:pPr>
        <w:pStyle w:val="FirstParagraph"/>
      </w:pPr>
      <w:r>
        <w:t xml:space="preserve">Across the full 11-year window, 1,666 physicians billed CPT 57288, accounting for 141,009 observed services in 6,569 physician-year observations. Participation was intermittent: 505 physicians (30%) appeared in one year, 707 (42%) in 2–5 years, 349 (21%) in 6–10 years, and 105 (6%) in all 11 years. Thus, only a small proportion maintained an observable Medicare sling practice throughout the study window.</w:t>
      </w:r>
    </w:p>
    <w:p>
      <w:pPr>
        <w:pStyle w:val="BodyText"/>
      </w:pPr>
      <w:r>
        <w:t xml:space="preserve">The observed count of reported services fell from 15,872 in 2013 to 11,470 in 2023 (-27.7%). Over the same period the female Part B fee-for-service population contracted from 18.35 million to 15.65 million beneficiaries (-14.7%). In a Poisson model of the annual service count with log fee-for-service enrollment as an offset and a 2020 indicator, the observable utilization rate declined -1.9% per year (rate ratio 0.981, 95% CI 0.961-1.002; about -17.3% over the decade), but with only 11 annual observations and the pandemic interruption this trend was not statistically robust (dispersion-adjusted p = 0.119). The rate reached a low of 49.8 per 100,000 in 2020, consistent with pandemic-related deferral of elective surgery, then partially recovered. The number of observable surgeons also fell, from 779 to 522. A clinically meaningful decline in observable utilization thus remains possible, but the raw service-count drop overstates it because much of that drop reflects the shrinking fee-for-service denominator; because CMS suppresses low-volume physician-years, this is an observable-services rate, not the total national fee-for-service rate.</w:t>
      </w:r>
    </w:p>
    <w:bookmarkEnd w:id="19"/>
    <w:bookmarkStart w:id="20" w:name="specialty-distribution-and-trends"/>
    <w:p>
      <w:pPr>
        <w:pStyle w:val="Heading3"/>
      </w:pPr>
      <w:r>
        <w:t xml:space="preserve">Specialty Distribution and Trends</w:t>
      </w:r>
    </w:p>
    <w:p>
      <w:pPr>
        <w:pStyle w:val="FirstParagraph"/>
      </w:pPr>
      <w:r>
        <w:t xml:space="preserve">We separated URPS into its two certification pathways (Table 1). OB/GYN-pathway URPS (ABOG-certified) was the largest single group: 616 physicians, 77,501 services (55%), median annual volume 19 (p25–p75, 14–29). Urology-pathway URPS (ABU roster) added 151 physicians and 12,272 services (8.7%; median 16), so the two URPS pathways together performed 63.7% of observable services. Non-URPS urology included 366 physicians and 20,475 services (14.5%; median 15), other non-URPS OB/GYN 336 physicians and 18,316 services (13%; median 15), the Other/uncertain group 200 clinicians (8.2%), and MIGS 10 physicians (0.7%; median 16).</w:t>
      </w:r>
    </w:p>
    <w:p>
      <w:pPr>
        <w:pStyle w:val="BodyText"/>
      </w:pPr>
      <w:r>
        <w:t xml:space="preserve">Because 13 clinicians changed specialty groups across years, specialty-specific counts exceed the unique cohort total. The urology-pathway URPS group (151 physicians, 12,272 services) would otherwise be classified as general urology, understating the subspecialty and overstating non-URPS urology.</w:t>
      </w:r>
    </w:p>
    <w:p>
      <w:pPr>
        <w:pStyle w:val="BodyText"/>
      </w:pPr>
      <w:r>
        <w:t xml:space="preserve">Annual market shares moved in different directions (Table 1). URPS increased from 45.8% in 2013 to 60.6% in 2023 (+1.42 percentage points/year; 95% CI 1.03 to 1.80; p &lt; 0.001). Urology decreased from 22.4% to 8.3% (-1.28 percentage points/year; 95% CI -1.57 to -0.99; p &lt; 0.001), and General OB/GYN decreased from 16.3% to 13.1% (-0.40 percentage points/year; 95% CI -0.66 to -0.13; p = 0.008). MIGS increased descriptively from 0.2% to 0.9% (+0.08 percentage points/year), but this estimate is based on only 10 physicians. In the quasibinomial model of URPS services out of all annual services, which respects the compositional structure, the URPS share rose from a fitted 48.3% in 2013 to 62.6% in 2023 (odds ratio 1.060 (95% CI 1.046-1.074) per year; 1.44 percentage points per year; p &lt; 0.001), consistent with the descriptive ordinary least-squares estimate. Because total service counts declined, these changes represent redistribution among specialties rather than growth in services.</w:t>
      </w:r>
    </w:p>
    <w:p>
      <w:pPr>
        <w:pStyle w:val="BodyText"/>
      </w:pPr>
      <w:r>
        <w:t xml:space="preserve">The URPS increase was significant under every classification scenario, which differed in the estimated slope (Table 4). Fixed membership gave the shallower estimate because it counts physicians as URPS before certification: the all-pathway URPS share rose from 55.1% to 68% (+1.12 percentage points/year), and the OB/GYN-based share from 16.5% to 13.9% (+-0.32 percentage points/year). Certification-gated classification gave the steeper estimate, from 43.6% to 66.9% (+1.76 percentage points/year), because it removes not-yet-certified physicians from the early URPS count; the two estimates converged near 66.9% by 2023.</w:t>
      </w:r>
    </w:p>
    <w:p>
      <w:pPr>
        <w:pStyle w:val="BodyText"/>
      </w:pPr>
      <w:r>
        <w:t xml:space="preserve">In the Poisson GEE clustered by NPI (reference = OB/GYN-pathway URPS; calendar year centered at 2018), adjusted annual volume at mid-study was lower than OB/GYN-pathway URPS for every other group, including urology-pathway URPS (RR 0.76 (0.68–0.84)), non-URPS urology (RR 0.71 (0.59–0.85)), other non-URPS OB/GYN (RR 0.63 (0.44–0.90)), and MIGS (RR 0.81 (0.51–1.29)) (Table 3). Annual volume was approximately 11% lower in 2020 (RR 0.88 (0.85–0.91); p &lt; 0.001). The specialty-by-year interaction showed that per-physician volume was essentially flat over time for the well-populated groups (OB/GYN-pathway URPS RR 0.999 (0.990-1.007), p = 0.776; urology-pathway URPS RR 0.988 (0.974-1.002), p = 0.089; non-URPS urology RR 0.986 (0.968-1.004), p = 0.137; other OB/GYN RR 0.996 (0.973-1.020), p = 0.760), increasing only for the 10-physician MIGS group (RR 1.085 (1.031-1.142); p = 0.002) (Table 3). A negative-binomial mixed model with a random intercept per NPI reproduced the direction but with attenuated magnitude (urology RR 0.78 (0.74–0.82), General OB/GYN RR 0.81 (0.77–0.85), 2020 RR 0.90 (0.87–0.93)); the attenuation is expected because the GEE estimates a population-averaged (marginal) rate ratio whereas the mixed model estimates a physician-conditional one. The one-observation-per-physician secondary analysis agreed (Kruskal-Wallis H = 97.4, df = 5, p &lt; 0.001); URPS volume exceeded urology and other OB/GYN in pairwise comparisons (p &lt; 0.001), with no significant URPS-MIGS difference. Because these models condition on the physician-year being observable above the CMS reporting threshold, the estimand is annual service volume among observable physician-years, not full-workforce practice volume; if non-URPS physicians more often fall below the threshold, the URPS volume advantage may be overstated.</w:t>
      </w:r>
    </w:p>
    <w:bookmarkEnd w:id="20"/>
    <w:bookmarkStart w:id="21" w:name="surgeon-volume-and-concentration"/>
    <w:p>
      <w:pPr>
        <w:pStyle w:val="Heading3"/>
      </w:pPr>
      <w:r>
        <w:t xml:space="preserve">Surgeon Volume and Concentration</w:t>
      </w:r>
    </w:p>
    <w:p>
      <w:pPr>
        <w:pStyle w:val="FirstParagraph"/>
      </w:pPr>
      <w:r>
        <w:t xml:space="preserve">The primary concentration analysis was within-year. Within-year concentration was low and stable across the study period: the annual Gini ranged from 0.26 to 0.28, with no temporal trend (p = 0.451), and the annual top 20% performed approximately 38% of cases. No specialty-specific annual Gini changed significantly (all p &gt; 0.15). Thus, care did not become concentrated among a smaller group of high-volume surgeons as the observable surgeon pool contracted.</w:t>
      </w:r>
    </w:p>
    <w:p>
      <w:pPr>
        <w:pStyle w:val="BodyText"/>
      </w:pPr>
      <w:r>
        <w:t xml:space="preserve">Pooled multi-year concentration was modest for every group: URPS Gini 0.51 (95% CI 0.48-0.53), urology Gini 0.52 (95% CI 0.49-0.55), and other non-URPS OB/GYN Gini 0.56 (95% CI 0.52-0.60) (Table 2). Because overlapping individual confidence intervals are not a test of between-group difference, we bootstrapped the pairwise differences: URPS and urology did not differ (Gini difference -0.016 (95% CI -0.050 to +0.021)), whereas URPS was modestly less concentrated than other OB/GYN (-0.056 (95% CI -0.098 to -0.006), confidence interval excluding zero). The size-adjusted normalized HHI was near zero for every group (URPS 0.002, urology 0.004, other OB/GYN 0.006 on a 0–1 scale). The effective number of providers, expressed as a fraction of the actual provider count, showed a gradient (URPS 305 of 616, 50%; urology 42%; other OB/GYN 33%), indicating that sling volume was distributed across many surgeons rather than dominated by a few, though somewhat less evenly in the smaller groups. Because the specialties differ several-fold in provider count, raw HHI is not directly comparable across them (Table 2). Adding hypothetical suppressed low-volume providers raised the Gini (Supplementary Table S8): under the 50% scenario the URPS Gini rose from 0.51 toward the mid-0.6 range, so the sensitivity supports only the narrower claim that observed services were not dominated by a handful of surgeons, not a precise estimate of the full-market distribution. URPS had the highest median annual volume and upper quartile (median 19; p75 29). MIGS was excluded from these comparisons because only 10 physicians were identified (1–4 per year); its estimates are exploratory.</w:t>
      </w:r>
    </w:p>
    <w:bookmarkEnd w:id="21"/>
    <w:bookmarkStart w:id="22" w:name="workforce-entry-and-exit"/>
    <w:p>
      <w:pPr>
        <w:pStyle w:val="Heading3"/>
      </w:pPr>
      <w:r>
        <w:t xml:space="preserve">Workforce Entry and Exit</w:t>
      </w:r>
    </w:p>
    <w:p>
      <w:pPr>
        <w:pStyle w:val="FirstParagraph"/>
      </w:pPr>
      <w:r>
        <w:t xml:space="preserve">Using the two-year washout (Supplementary Table S9), 46–150 surgeons became newly observable each year and performed 7.4%–21.7% of annual volume. Their median volume was low, at approximately 13 services, consistent with surgeons appearing just above the CMS suppression threshold. Newly observable counts fell to 46 surgeons (7.4% of volume) in 2020, then rebounded to 150 (21.7%) in 2022; the 2022 rebound may partly reflect re-observation of surgeons who fell below the threshold during the pandemic rather than genuinely new surgeons. Continuing surgeons (357–559 per year) performed most annual services, while surgeons no longer observable ranged from 64 to 212 per year.</w:t>
      </w:r>
    </w:p>
    <w:p>
      <w:pPr>
        <w:pStyle w:val="BodyText"/>
      </w:pPr>
      <w:r>
        <w:t xml:space="preserve">Across the study period, URPS accounted for the most newly observable episodes (480), followed by urology (165), General OB/GYN (205), and MIGS (8); these are episode counts, not unique physicians. The rising URPS share coincided with the largest inflow of newly observable surgeons together with a relatively stable continuing-URPS base (URPS surgeon count 304 to 293; per-physician volume unchanged). Urology showed substantial turnover with net decline, and General OB/GYN declined in both observable surgeons and market share.</w:t>
      </w:r>
    </w:p>
    <w:p>
      <w:pPr>
        <w:pStyle w:val="BodyText"/>
      </w:pPr>
      <w:r>
        <w:t xml:space="preserve">Because total service counts declined, the growth in URPS share represents a redistribution of a shrinking service pool toward URPS, not new procedure growth. These transitions describe crossings of the CMS reporting threshold, not definitive entry into or exit from practice.</w:t>
      </w:r>
    </w:p>
    <w:p>
      <w:pPr>
        <w:pStyle w:val="BodyText"/>
      </w:pPr>
      <w:r>
        <w:t xml:space="preserve">Observable surgeons and the URPS share by practice state are reported as an exploratory secondary analysis in Supplementary Table S7. Because state-by-sex fee-for-service denominators were not available and CMS suppression removes low-volume providers, we do not draw access conclusions from these counts; population-based geographic analysis is reserved for a separate access-focused study.</w:t>
      </w:r>
    </w:p>
    <w:bookmarkEnd w:id="22"/>
    <w:bookmarkEnd w:id="23"/>
    <w:bookmarkStart w:id="29" w:name="discussion"/>
    <w:p>
      <w:pPr>
        <w:pStyle w:val="Heading2"/>
      </w:pPr>
      <w:r>
        <w:t xml:space="preserve">Discussion</w:t>
      </w:r>
    </w:p>
    <w:p>
      <w:pPr>
        <w:pStyle w:val="FirstParagraph"/>
      </w:pPr>
      <w:r>
        <w:t xml:space="preserve">This national Medicare analysis produced three main findings. First, OB/GYN-pathway URPS was the largest single group (55%) and had the highest adjusted per-physician volume, and the two URPS pathways together performed the majority (63.7%) of observable services. Second, the OB/GYN-pathway URPS share increased over the decade, coinciding with more URPS surgeons becoming observable and fewer non-URPS surgeons remaining observable, while the urology-pathway URPS share was roughly stable. Third, surgeon-level concentration remained low and stable despite a shrinking observable surgeon pool. Together, these findings indicate a change in the composition of observable fee-for-service practice rather than intensification of individual practice or concentration of care; they are best read as a practice-pattern study, not a study of entry into or exit from the clinical workforce.</w:t>
      </w:r>
    </w:p>
    <w:bookmarkStart w:id="24" w:name="X91e1c95b037f473535ecf00410a7735e835e926"/>
    <w:p>
      <w:pPr>
        <w:pStyle w:val="Heading3"/>
      </w:pPr>
      <w:r>
        <w:t xml:space="preserve">Specialty Distribution and the Historical Reversal</w:t>
      </w:r>
    </w:p>
    <w:p>
      <w:pPr>
        <w:pStyle w:val="FirstParagraph"/>
      </w:pPr>
      <w:r>
        <w:t xml:space="preserve">The two URPS pathways together performed approximately three-fifths of observable fee-for-service Medicare slings (63.7%; OB/GYN pathway 55%, urology pathway 8.7%), and non-URPS urologists a much smaller share (14.5%). Because the all-pathway URPS group also includes urology-trained subspecialists, the URPS share is not equivalent to a gynecologist share. The apparent non-URPS urology share is sensitive to classification: a naive provider-type approach that assigns ambulatory surgical centers and non-physician billers to urology roughly doubles it (Supplementary Table S11), which likely explains why some earlier analyses reported a larger urology share. Direct comparison with prior studies is limited because they used different datasets, specialty definitions, and care settings. In ACS-NSQIP data from 2006 through 2013, James et al. reported that gynecologists performed 74.2% of sling procedures and urologists 25.8%;</w:t>
      </w:r>
      <w:r>
        <w:rPr>
          <w:vertAlign w:val="superscript"/>
        </w:rPr>
        <w:t xml:space="preserve">9</w:t>
      </w:r>
      <w:r>
        <w:t xml:space="preserve"> </w:t>
      </w:r>
      <w:r>
        <w:t xml:space="preserve">Cantrell et al. found urogynecologists performed 54% of stress-incontinence procedures at academic centers from 2009 through 2014;</w:t>
      </w:r>
      <w:r>
        <w:rPr>
          <w:vertAlign w:val="superscript"/>
        </w:rPr>
        <w:t xml:space="preserve">10</w:t>
      </w:r>
      <w:r>
        <w:t xml:space="preserve"> </w:t>
      </w:r>
      <w:r>
        <w:t xml:space="preserve">and in Medicare data from 2002 through 2007, Rogo-Gupta et al. found urologists performed most sling operations.</w:t>
      </w:r>
      <w:r>
        <w:rPr>
          <w:vertAlign w:val="superscript"/>
        </w:rPr>
        <w:t xml:space="preserve">11</w:t>
      </w:r>
      <w:r>
        <w:t xml:space="preserve"> </w:t>
      </w:r>
      <w:r>
        <w:t xml:space="preserve">Rather than asserting a single historical reversal across these heterogeneous sources, we conclude more cautiously that OB/GYN-pathway URPS was the largest single contemporary fee-for-service Medicare group performing this procedure.</w:t>
      </w:r>
    </w:p>
    <w:p>
      <w:pPr>
        <w:pStyle w:val="BodyText"/>
      </w:pPr>
      <w:r>
        <w:t xml:space="preserve">Including both certification pathways was essential to this result. Cross-referencing the ABU roster reassigned 151 urology-typed physicians, representing 8.7% of all sling procedures, to URPS. The concentration estimate was robust: the pooled URPS Gini changed only from 0.51 to 0.52. A pathway-neutral definition also reflects differences in operative case volume between urology- and gynecology-based URPS fellowships</w:t>
      </w:r>
      <w:r>
        <w:rPr>
          <w:vertAlign w:val="superscript"/>
        </w:rPr>
        <w:t xml:space="preserve">14</w:t>
      </w:r>
      <w:r>
        <w:t xml:space="preserve"> </w:t>
      </w:r>
      <w:r>
        <w:t xml:space="preserve">and variable FPMRS exposure during urology residency.</w:t>
      </w:r>
      <w:r>
        <w:rPr>
          <w:vertAlign w:val="superscript"/>
        </w:rPr>
        <w:t xml:space="preserve">15</w:t>
      </w:r>
      <w:r>
        <w:t xml:space="preserve"> </w:t>
      </w:r>
      <w:r>
        <w:t xml:space="preserve">Classifying urology-pathway urogynecologists as general urologists would therefore understate the true subspecialty share.</w:t>
      </w:r>
    </w:p>
    <w:bookmarkEnd w:id="24"/>
    <w:bookmarkStart w:id="25" w:name="X20e52b27fb040b539cc76dcaad27d56a4599e1f"/>
    <w:p>
      <w:pPr>
        <w:pStyle w:val="Heading3"/>
      </w:pPr>
      <w:r>
        <w:t xml:space="preserve">Procedural Concentration and the Volume–Outcome Relationship</w:t>
      </w:r>
    </w:p>
    <w:p>
      <w:pPr>
        <w:pStyle w:val="FirstParagraph"/>
      </w:pPr>
      <w:r>
        <w:t xml:space="preserve">The Gini coefficient and HHI provide complementary views of concentration, and both supported the same conclusion. Moderate inequality across the full distribution (Gini 0.51–0.56, with overlapping confidence intervals across the well-populated groups) coexisted with size-adjusted normalized HHI values near zero and effective provider counts in the hundreds. In other words, sling volume was distributed unevenly across many surgeons but was not dominated by a few, and the well-populated specialties did not differ meaningfully in concentration. Because the physician was the production unit, these values describe surgeon-level procedural concentration rather than market competition, and they should not be interpreted using antitrust thresholds.</w:t>
      </w:r>
    </w:p>
    <w:p>
      <w:pPr>
        <w:pStyle w:val="BodyText"/>
      </w:pPr>
      <w:r>
        <w:t xml:space="preserve">These patterns matter because greater surgeon volume has been associated with better outcomes after midurethral sling surgery. Berger et al. reported a lower adjusted risk of reoperation for sling failure among higher-volume surgeons.</w:t>
      </w:r>
      <w:r>
        <w:rPr>
          <w:vertAlign w:val="superscript"/>
        </w:rPr>
        <w:t xml:space="preserve">16</w:t>
      </w:r>
      <w:r>
        <w:t xml:space="preserve"> </w:t>
      </w:r>
      <w:r>
        <w:t xml:space="preserve">A systematic review by Cartier et al. found that low-volume surgeons had higher odds of mesh revision and repeat incontinence procedures.</w:t>
      </w:r>
      <w:r>
        <w:rPr>
          <w:vertAlign w:val="superscript"/>
        </w:rPr>
        <w:t xml:space="preserve">17</w:t>
      </w:r>
      <w:r>
        <w:t xml:space="preserve"> </w:t>
      </w:r>
      <w:r>
        <w:t xml:space="preserve">Brennand and Quan observed lower revision odds above approximately 50 cases per year,</w:t>
      </w:r>
      <w:r>
        <w:rPr>
          <w:vertAlign w:val="superscript"/>
        </w:rPr>
        <w:t xml:space="preserve">18</w:t>
      </w:r>
      <w:r>
        <w:t xml:space="preserve"> </w:t>
      </w:r>
      <w:r>
        <w:t xml:space="preserve">and Holdø and Svenningsen found better objective cure rates with greater surgeon experience and annual volume.</w:t>
      </w:r>
      <w:r>
        <w:rPr>
          <w:vertAlign w:val="superscript"/>
        </w:rPr>
        <w:t xml:space="preserve">19</w:t>
      </w:r>
      <w:r>
        <w:t xml:space="preserve"> </w:t>
      </w:r>
      <w:r>
        <w:t xml:space="preserve">The observed fee-for-service Medicare medians of 15–19 services per year cannot be compared directly with all-payer thresholds such as approximately 50 operations per year, because the PUF omits commercially insured, Medicare Advantage, and younger patients and providers below the CMS suppression threshold; total surgeon experience is therefore higher than the observed Medicare median, and Medicare PUF volume is an incomplete proxy for it.</w:t>
      </w:r>
    </w:p>
    <w:bookmarkEnd w:id="25"/>
    <w:bookmarkStart w:id="26" w:name="X72407f3d2516cff3e371fde2da482981afe0115"/>
    <w:p>
      <w:pPr>
        <w:pStyle w:val="Heading3"/>
      </w:pPr>
      <w:r>
        <w:t xml:space="preserve">Temporal Trends, Workforce Dynamics, and the Evolving SUI Landscape</w:t>
      </w:r>
    </w:p>
    <w:p>
      <w:pPr>
        <w:pStyle w:val="FirstParagraph"/>
      </w:pPr>
      <w:r>
        <w:t xml:space="preserve">The repeated-measures model and turnover analysis clarify why the URPS share increased. Individual physician volume did not change over time, but the number of non-URPS surgeons fell while the URPS pool remained comparatively stable. URPS also contributed the largest inflow of newly observable surgeons, whereas urology had substantial turnover but a net decline. The market-share shift therefore reflects workforce composition within a shrinking procedure pool, not increasing individual volume or concentration.</w:t>
      </w:r>
    </w:p>
    <w:p>
      <w:pPr>
        <w:pStyle w:val="BodyText"/>
      </w:pPr>
      <w:r>
        <w:t xml:space="preserve">This mechanism is consistent with prior work. Siegal et al. found that the post-2011 decline in sling placement was driven mainly by non-FPMRS providers, while FPMRS providers maintained their volumes.</w:t>
      </w:r>
      <w:r>
        <w:rPr>
          <w:vertAlign w:val="superscript"/>
        </w:rPr>
        <w:t xml:space="preserve">12</w:t>
      </w:r>
      <w:r>
        <w:t xml:space="preserve"> </w:t>
      </w:r>
      <w:r>
        <w:t xml:space="preserve">Lee et al. documented an approximately 50% national decline in incontinence surgery from 2004 through 2013.</w:t>
      </w:r>
      <w:r>
        <w:rPr>
          <w:vertAlign w:val="superscript"/>
        </w:rPr>
        <w:t xml:space="preserve">13</w:t>
      </w:r>
      <w:r>
        <w:t xml:space="preserve"> </w:t>
      </w:r>
      <w:r>
        <w:t xml:space="preserve">The 2020 decline in our study (RR 0.88) is consistent with pandemic-related deferral of elective surgery and remained robust when 2020 was excluded.</w:t>
      </w:r>
    </w:p>
    <w:p>
      <w:pPr>
        <w:pStyle w:val="BodyText"/>
      </w:pPr>
      <w:r>
        <w:t xml:space="preserve">The SUI treatment landscape also continues to change. Urethral bulking agents are now positioned alongside slings as a first-line surgical option,</w:t>
      </w:r>
      <w:r>
        <w:rPr>
          <w:vertAlign w:val="superscript"/>
        </w:rPr>
        <w:t xml:space="preserve">3,20</w:t>
      </w:r>
      <w:r>
        <w:t xml:space="preserve"> </w:t>
      </w:r>
      <w:r>
        <w:t xml:space="preserve">and ongoing surveillance is needed to determine whether this shift affects specialty-specific sling volume.</w:t>
      </w:r>
    </w:p>
    <w:bookmarkEnd w:id="26"/>
    <w:bookmarkStart w:id="27" w:name="limitations"/>
    <w:p>
      <w:pPr>
        <w:pStyle w:val="Heading3"/>
      </w:pPr>
      <w:r>
        <w:t xml:space="preserve">Limitations</w:t>
      </w:r>
    </w:p>
    <w:p>
      <w:pPr>
        <w:pStyle w:val="FirstParagraph"/>
      </w:pPr>
      <w:r>
        <w:t xml:space="preserve">This study has five limitations. First, CMS suppresses provider-level data for fewer than 11 beneficiaries, so the lowest-volume surgeons are not observed; suppression can bias the Gini coefficient and HHI in different directions, and the full-market concentration cannot be identified from the Public Use File, although a sensitivity analysis adding hypothetical suppressed providers left the low-concentration conclusion unchanged. Second, the PUF includes only fee-for-service Medicare Part B claims; younger patients and those covered by Medicare Advantage, Medicaid, commercial insurance, or no insurance are not represented.</w:t>
      </w:r>
    </w:p>
    <w:p>
      <w:pPr>
        <w:pStyle w:val="BodyText"/>
      </w:pPr>
      <w:r>
        <w:t xml:space="preserve">Third, specialty classification depends on CMS provider type and the ABOG/ABU rosters. Physicians who completed URPS fellowship but were not board-certified may therefore be misclassified, and the 323 providers reclassified from an adjacent provider type to urology could be misassigned. Fourth, the market-share trend is estimated under plausible classification scenarios rather than point-identified. Certification follows the start of subspecialty practice, so the certification-gated scenario assigns some pre-certification practice years to General OB/GYN or urology, whereas fixed membership assigns physicians to URPS before they subspecialized. We present these as plausible scenarios, not formal bounds; point identification would require unavailable fellowship-completion dates.</w:t>
      </w:r>
    </w:p>
    <w:p>
      <w:pPr>
        <w:pStyle w:val="BodyText"/>
      </w:pPr>
      <w:r>
        <w:t xml:space="preserve">Approximately 8% of URPS physicians could not be matched to a certification year, and urology-pathway URPS classification remained fixed because no urology subspecialty date was available; both features narrow the certification-gated estimate. Fifth, Tot_Srvcs may include bilateral or modifier-inflated services.</w:t>
      </w:r>
    </w:p>
    <w:bookmarkEnd w:id="27"/>
    <w:bookmarkStart w:id="28" w:name="strengths"/>
    <w:p>
      <w:pPr>
        <w:pStyle w:val="Heading3"/>
      </w:pPr>
      <w:r>
        <w:t xml:space="preserve">Strengths</w:t>
      </w:r>
    </w:p>
    <w:p>
      <w:pPr>
        <w:pStyle w:val="FirstParagraph"/>
      </w:pPr>
      <w:r>
        <w:t xml:space="preserve">Strengths include a national sample of all publicly reported, nonsuppressed fee-for-service provider-service records; identification of urogynecologists through both certification pathways; complementary surgeon-level concentration measures with bootstrap confidence intervals, calculated both overall and by year; models that account for repeated observations within physicians; transparent handling of ambiguous and facility billers with sensitivity analyses; and a fully reproducible analytic pipeline.</w:t>
      </w:r>
    </w:p>
    <w:bookmarkEnd w:id="28"/>
    <w:bookmarkEnd w:id="29"/>
    <w:bookmarkStart w:id="30" w:name="conclusions"/>
    <w:p>
      <w:pPr>
        <w:pStyle w:val="Heading2"/>
      </w:pPr>
      <w:r>
        <w:t xml:space="preserve">Conclusions</w:t>
      </w:r>
    </w:p>
    <w:p>
      <w:pPr>
        <w:pStyle w:val="FirstParagraph"/>
      </w:pPr>
      <w:r>
        <w:t xml:space="preserve">Among observable fee-for-service Medicare claims, the proportion of sling services for stress urinary incontinence performed by all-pathway URPS physicians increased between 2013 and 2023, while observable participation by non-URPS physicians declined. Within-year surgeon-level concentration remained low and stable and did not differ meaningfully across the well-populated specialties. Because the data exclude low-volume physician-years and Medicare Advantage claims and do not distinguish synthetic midurethral from fascial sling procedures, these findings describe changes in the observable fee-for-service workforce rather than the entire national sling market. They may inform workforce surveillance and fellowship planning; studies linking all-payer volume, geographic access, and patient outcomes are needed before drawing credentialing implications.</w:t>
      </w:r>
    </w:p>
    <w:bookmarkEnd w:id="30"/>
    <w:bookmarkStart w:id="32" w:name="references"/>
    <w:p>
      <w:pPr>
        <w:pStyle w:val="Heading2"/>
      </w:pPr>
      <w:r>
        <w:t xml:space="preserve">References</w:t>
      </w:r>
    </w:p>
    <w:p>
      <w:pPr>
        <w:pStyle w:val="Compact"/>
        <w:numPr>
          <w:ilvl w:val="0"/>
          <w:numId w:val="1001"/>
        </w:numPr>
      </w:pPr>
      <w:r>
        <w:t xml:space="preserve">Wu JM. Stress incontinence in women. N Engl J Med. 2021;384(25):2428-2436.</w:t>
      </w:r>
    </w:p>
    <w:p>
      <w:pPr>
        <w:pStyle w:val="Compact"/>
        <w:numPr>
          <w:ilvl w:val="0"/>
          <w:numId w:val="1001"/>
        </w:numPr>
      </w:pPr>
      <w:r>
        <w:t xml:space="preserve">Ford AA, Rogerson L, Cody JD, Aluko P, Ogah JA. Mid-urethral sling operations for stress urinary incontinence in women. Cochrane Database Syst Rev. 2017;7(7):CD006375.</w:t>
      </w:r>
    </w:p>
    <w:p>
      <w:pPr>
        <w:pStyle w:val="Compact"/>
        <w:numPr>
          <w:ilvl w:val="0"/>
          <w:numId w:val="1001"/>
        </w:numPr>
      </w:pPr>
      <w:r>
        <w:t xml:space="preserve">Kobashi KC, Vasavada S, Bloschichak A, et al. Updates to surgical treatment of female stress urinary incontinence (SUI): AUA/SUFU guideline (2023). J Urol. 2023;209(6):1091-1098.</w:t>
      </w:r>
    </w:p>
    <w:p>
      <w:pPr>
        <w:pStyle w:val="Compact"/>
        <w:numPr>
          <w:ilvl w:val="0"/>
          <w:numId w:val="1001"/>
        </w:numPr>
      </w:pPr>
      <w:r>
        <w:t xml:space="preserve">Birkmeyer JD, Stukel TA, Siewers AE, Goodney PP, Wennberg DE, Lucas FL. Surgeon volume and operative mortality in the United States. N Engl J Med. 2003;349(22):2117-2127.</w:t>
      </w:r>
    </w:p>
    <w:p>
      <w:pPr>
        <w:pStyle w:val="Compact"/>
        <w:numPr>
          <w:ilvl w:val="0"/>
          <w:numId w:val="1001"/>
        </w:numPr>
      </w:pPr>
      <w:r>
        <w:t xml:space="preserve">Reames BN, Ghaferi AA, Birkmeyer JD, Dimick JB. Hospital volume and operative mortality in the modern era. Ann Surg. 2014;260(2):244-251.</w:t>
      </w:r>
    </w:p>
    <w:p>
      <w:pPr>
        <w:pStyle w:val="Compact"/>
        <w:numPr>
          <w:ilvl w:val="0"/>
          <w:numId w:val="1001"/>
        </w:numPr>
      </w:pPr>
      <w:r>
        <w:t xml:space="preserve">American Board of Medical Specialties. ABMS announces approval of new subspecialty certificate in female pelvic medicine and reconstructive surgery. 2011. Available at:</w:t>
      </w:r>
      <w:r>
        <w:t xml:space="preserve"> </w:t>
      </w:r>
      <w:hyperlink r:id="rId31">
        <w:r>
          <w:rPr>
            <w:rStyle w:val="Hyperlink"/>
          </w:rPr>
          <w:t xml:space="preserve">https://www.abms.org</w:t>
        </w:r>
      </w:hyperlink>
      <w:r>
        <w:t xml:space="preserve">.</w:t>
      </w:r>
    </w:p>
    <w:p>
      <w:pPr>
        <w:pStyle w:val="Compact"/>
        <w:numPr>
          <w:ilvl w:val="0"/>
          <w:numId w:val="1001"/>
        </w:numPr>
      </w:pPr>
      <w:r>
        <w:t xml:space="preserve">Berger AA, Tan-Kim J, Menefee SA. The impact of the 2011 US Food and Drug Administration transvaginal mesh communication on utilization of synthetic mid-urethral sling procedures. Int Urogynecol J. 2021;32(8):2227-2231.</w:t>
      </w:r>
    </w:p>
    <w:p>
      <w:pPr>
        <w:pStyle w:val="Compact"/>
        <w:numPr>
          <w:ilvl w:val="0"/>
          <w:numId w:val="1001"/>
        </w:numPr>
      </w:pPr>
      <w:r>
        <w:t xml:space="preserve">Stitzenberg KB, Sigurdson ER, Egleston BL, Starkey RB, Meropol NJ. Centralization of cancer surgery: implications for patient access to optimal care. J Clin Oncol. 2009;27(28):4671-4678.</w:t>
      </w:r>
    </w:p>
    <w:p>
      <w:pPr>
        <w:pStyle w:val="Compact"/>
        <w:numPr>
          <w:ilvl w:val="0"/>
          <w:numId w:val="1001"/>
        </w:numPr>
      </w:pPr>
      <w:r>
        <w:t xml:space="preserve">James MB, Theofanides MC, Sui W, Onyeji I, Badalato GM, Chung DE. Sling procedures for the treatment of stress urinary incontinence: comparison of national practice patterns between urologists and gynecologists. J Urol. 2017;198(6):1386-1391.</w:t>
      </w:r>
    </w:p>
    <w:p>
      <w:pPr>
        <w:pStyle w:val="Compact"/>
        <w:numPr>
          <w:ilvl w:val="0"/>
          <w:numId w:val="1001"/>
        </w:numPr>
      </w:pPr>
      <w:r>
        <w:t xml:space="preserve">Cantrell AB, Rothschild J, Durbin-Johnson B, Gonzalez R, Kurzrock EA. Surgical trends in the correction of female stress urinary incontinence in academic centers within the United States. Neurourol Urodyn. 2017;36(2):394-398.</w:t>
      </w:r>
    </w:p>
    <w:p>
      <w:pPr>
        <w:pStyle w:val="Compact"/>
        <w:numPr>
          <w:ilvl w:val="0"/>
          <w:numId w:val="1001"/>
        </w:numPr>
      </w:pPr>
      <w:r>
        <w:t xml:space="preserve">Rogo-Gupta L, Litwin MS, Saigal CS, Anger JT; Urologic Diseases in America Project. Trends in the surgical management of stress urinary incontinence among female Medicare beneficiaries, 2002-2007. Urology. 2013;82(1):38-41.</w:t>
      </w:r>
    </w:p>
    <w:p>
      <w:pPr>
        <w:pStyle w:val="Compact"/>
        <w:numPr>
          <w:ilvl w:val="0"/>
          <w:numId w:val="1001"/>
        </w:numPr>
      </w:pPr>
      <w:r>
        <w:t xml:space="preserve">Siegal AR, Huang Z, Gross MD, Mehraban-Far S, Weissbart SJ, Kim JM. Trends of mesh utilization for stress urinary incontinence before and after the 2011 Food and Drug Administration notification between FPMRS-certified and non-FPMRS-certified physicians: a statewide all-payer database analysis. Urology. 2021;150:151-157.</w:t>
      </w:r>
    </w:p>
    <w:p>
      <w:pPr>
        <w:pStyle w:val="Compact"/>
        <w:numPr>
          <w:ilvl w:val="0"/>
          <w:numId w:val="1001"/>
        </w:numPr>
      </w:pPr>
      <w:r>
        <w:t xml:space="preserve">Lee UJ, Feinstein L, Ward JB, et al; Urologic Diseases in America Project. National trends in the surgical management of urinary incontinence among insured women, 2004 to 2013. J Urol. 2020;203(2):365-371.</w:t>
      </w:r>
    </w:p>
    <w:p>
      <w:pPr>
        <w:pStyle w:val="Compact"/>
        <w:numPr>
          <w:ilvl w:val="0"/>
          <w:numId w:val="1001"/>
        </w:numPr>
      </w:pPr>
      <w:r>
        <w:t xml:space="preserve">Tabakin AL, Sawhney R, Daily AM, Winkler HA, Shalom DF, Tam J, Lee W. Case log trends of urogynecology and reconstructive pelvic surgery fellows: a comparison of urology- and gynecology-based fellowship programs. Neurourol Urodyn. 2024;43(8):1970-1976.</w:t>
      </w:r>
    </w:p>
    <w:p>
      <w:pPr>
        <w:pStyle w:val="Compact"/>
        <w:numPr>
          <w:ilvl w:val="0"/>
          <w:numId w:val="1001"/>
        </w:numPr>
      </w:pPr>
      <w:r>
        <w:t xml:space="preserve">Wang CN, Su IW, Smith AL, Badalato GM, Chung DE. Current exposure to female pelvic medicine and reconstructive surgery faculty during urology residency. Neurourol Urodyn. 2023;42(7):1569-1573.</w:t>
      </w:r>
    </w:p>
    <w:p>
      <w:pPr>
        <w:pStyle w:val="Compact"/>
        <w:numPr>
          <w:ilvl w:val="0"/>
          <w:numId w:val="1001"/>
        </w:numPr>
      </w:pPr>
      <w:r>
        <w:t xml:space="preserve">Berger AA, Tan-Kim J, Menefee SA. Surgeon volume and reoperation risk after midurethral sling surgery. Am J Obstet Gynecol. 2019;221(5):523.e1-523.e8.</w:t>
      </w:r>
    </w:p>
    <w:p>
      <w:pPr>
        <w:pStyle w:val="Compact"/>
        <w:numPr>
          <w:ilvl w:val="0"/>
          <w:numId w:val="1001"/>
        </w:numPr>
      </w:pPr>
      <w:r>
        <w:t xml:space="preserve">Cartier S, Cerantola GM, Leung AA, Brennand E. The impact of surgeon operative volume on risk of reoperation within 5 years of mid-urethral sling: a systematic review. Int Urogynecol J. 2023;34(5):981-992.</w:t>
      </w:r>
    </w:p>
    <w:p>
      <w:pPr>
        <w:pStyle w:val="Compact"/>
        <w:numPr>
          <w:ilvl w:val="0"/>
          <w:numId w:val="1001"/>
        </w:numPr>
      </w:pPr>
      <w:r>
        <w:t xml:space="preserve">Brennand EA, Quan H. Evaluation of the effect of surgeon’s operative volume and specialty on likelihood of revision after mesh midurethral sling placement. Obstet Gynecol. 2019;133(6):1099-1108.</w:t>
      </w:r>
    </w:p>
    <w:p>
      <w:pPr>
        <w:pStyle w:val="Compact"/>
        <w:numPr>
          <w:ilvl w:val="0"/>
          <w:numId w:val="1001"/>
        </w:numPr>
      </w:pPr>
      <w:r>
        <w:t xml:space="preserve">Holdø B, Svenningsen R. The impact from surgical experience on short- and long-term success rates after mid-urethral sling surgery. Int Urogynecol J. 2026 (epub ahead of print).</w:t>
      </w:r>
    </w:p>
    <w:p>
      <w:pPr>
        <w:pStyle w:val="Compact"/>
        <w:numPr>
          <w:ilvl w:val="0"/>
          <w:numId w:val="1001"/>
        </w:numPr>
      </w:pPr>
      <w:r>
        <w:t xml:space="preserve">Gallo K, Weiner H, Mishra K. An update on surgical management for stress urinary incontinence. Curr Opin Obstet Gynecol. 2024;36(6):433-438.</w:t>
      </w:r>
    </w:p>
    <w:p>
      <w:r>
        <w:pict>
          <v:rect style="width:0;height:1.5pt" o:hralign="center" o:hrstd="t" o:hr="t"/>
        </w:pict>
      </w:r>
    </w:p>
    <w:bookmarkEnd w:id="32"/>
    <w:bookmarkStart w:id="33" w:name="tables"/>
    <w:p>
      <w:pPr>
        <w:pStyle w:val="Heading2"/>
      </w:pPr>
      <w:r>
        <w:t xml:space="preserve">Tables</w:t>
      </w:r>
    </w:p>
    <w:p>
      <w:pPr>
        <w:pStyle w:val="FirstParagraph"/>
      </w:pPr>
      <w:r>
        <w:rPr>
          <w:b/>
          <w:bCs/>
        </w:rPr>
        <w:t xml:space="preserve">Table 1.</w:t>
      </w:r>
      <w:r>
        <w:t xml:space="preserve"> </w:t>
      </w:r>
      <w:r>
        <w:t xml:space="preserve">Specialty distribution and market-share trends among clinicians billing CPT 57288, Medicare PUF 2013–2023, with URPS split by certification pathway. Δ share is the annual percentage-point change from ordinary least-squares regression on calendar year. Specialty-specific physician counts exceed 1,666 because 13 physicians changed groups across years. *MIGS estimates are descriptive because only 10 physicians were identified.</w:t>
      </w:r>
    </w:p>
    <w:tbl>
      <w:tblPr>
        <w:tblStyle w:val="Table"/>
        <w:tblW w:type="pct" w:w="5000"/>
        <w:tblLayout w:type="fixed"/>
        <w:tblLook w:firstRow="1" w:lastRow="0" w:firstColumn="0" w:lastColumn="0" w:noHBand="0" w:noVBand="0" w:val="0020"/>
      </w:tblPr>
      <w:tblGrid>
        <w:gridCol w:w="1090"/>
        <w:gridCol w:w="901"/>
        <w:gridCol w:w="806"/>
        <w:gridCol w:w="901"/>
        <w:gridCol w:w="474"/>
        <w:gridCol w:w="1043"/>
        <w:gridCol w:w="569"/>
        <w:gridCol w:w="569"/>
        <w:gridCol w:w="1185"/>
        <w:gridCol w:w="379"/>
      </w:tblGrid>
      <w:tr>
        <w:trPr>
          <w:tblHeader w:val="on"/>
        </w:trPr>
        <w:tc>
          <w:tcPr/>
          <w:p>
            <w:pPr>
              <w:pStyle w:val="Compact"/>
            </w:pPr>
            <w:r>
              <w:t xml:space="preserve">Specialty</w:t>
            </w:r>
          </w:p>
        </w:tc>
        <w:tc>
          <w:tcPr/>
          <w:p>
            <w:pPr>
              <w:pStyle w:val="Compact"/>
            </w:pPr>
            <w:r>
              <w:t xml:space="preserve">Unique physicians</w:t>
            </w:r>
          </w:p>
        </w:tc>
        <w:tc>
          <w:tcPr/>
          <w:p>
            <w:pPr>
              <w:pStyle w:val="Compact"/>
            </w:pPr>
            <w:r>
              <w:t xml:space="preserve">Physician-years</w:t>
            </w:r>
          </w:p>
        </w:tc>
        <w:tc>
          <w:tcPr/>
          <w:p>
            <w:pPr>
              <w:pStyle w:val="Compact"/>
            </w:pPr>
            <w:r>
              <w:t xml:space="preserve">Reported services</w:t>
            </w:r>
          </w:p>
        </w:tc>
        <w:tc>
          <w:tcPr/>
          <w:p>
            <w:pPr>
              <w:pStyle w:val="Compact"/>
            </w:pPr>
            <w:r>
              <w:t xml:space="preserve">% of all</w:t>
            </w:r>
          </w:p>
        </w:tc>
        <w:tc>
          <w:tcPr/>
          <w:p>
            <w:pPr>
              <w:pStyle w:val="Compact"/>
            </w:pPr>
            <w:r>
              <w:t xml:space="preserve">Median vol (p25-p75)</w:t>
            </w:r>
          </w:p>
        </w:tc>
        <w:tc>
          <w:tcPr/>
          <w:p>
            <w:pPr>
              <w:pStyle w:val="Compact"/>
            </w:pPr>
            <w:r>
              <w:t xml:space="preserve">2013 share</w:t>
            </w:r>
          </w:p>
        </w:tc>
        <w:tc>
          <w:tcPr/>
          <w:p>
            <w:pPr>
              <w:pStyle w:val="Compact"/>
            </w:pPr>
            <w:r>
              <w:t xml:space="preserve">2023 share</w:t>
            </w:r>
          </w:p>
        </w:tc>
        <w:tc>
          <w:tcPr/>
          <w:p>
            <w:pPr>
              <w:pStyle w:val="Compact"/>
            </w:pPr>
            <w:r>
              <w:t xml:space="preserve">Delta share/yr (95% CI)</w:t>
            </w:r>
          </w:p>
        </w:tc>
        <w:tc>
          <w:tcPr/>
          <w:p>
            <w:pPr>
              <w:pStyle w:val="Compact"/>
            </w:pPr>
            <w:r>
              <w:t xml:space="preserve">p</w:t>
            </w:r>
          </w:p>
        </w:tc>
      </w:tr>
      <w:tr>
        <w:tc>
          <w:tcPr/>
          <w:p>
            <w:pPr>
              <w:pStyle w:val="Compact"/>
            </w:pPr>
            <w:r>
              <w:t xml:space="preserve">URPS, OB/GYN pathway</w:t>
            </w:r>
          </w:p>
        </w:tc>
        <w:tc>
          <w:tcPr/>
          <w:p>
            <w:pPr>
              <w:pStyle w:val="Compact"/>
            </w:pPr>
            <w:r>
              <w:t xml:space="preserve">616</w:t>
            </w:r>
          </w:p>
        </w:tc>
        <w:tc>
          <w:tcPr/>
          <w:p>
            <w:pPr>
              <w:pStyle w:val="Compact"/>
            </w:pPr>
            <w:r>
              <w:t xml:space="preserve">3,272</w:t>
            </w:r>
          </w:p>
        </w:tc>
        <w:tc>
          <w:tcPr/>
          <w:p>
            <w:pPr>
              <w:pStyle w:val="Compact"/>
            </w:pPr>
            <w:r>
              <w:t xml:space="preserve">77,501</w:t>
            </w:r>
          </w:p>
        </w:tc>
        <w:tc>
          <w:tcPr/>
          <w:p>
            <w:pPr>
              <w:pStyle w:val="Compact"/>
            </w:pPr>
            <w:r>
              <w:t xml:space="preserve">55.0%</w:t>
            </w:r>
          </w:p>
        </w:tc>
        <w:tc>
          <w:tcPr/>
          <w:p>
            <w:pPr>
              <w:pStyle w:val="Compact"/>
            </w:pPr>
            <w:r>
              <w:t xml:space="preserve">19 (14–29)</w:t>
            </w:r>
          </w:p>
        </w:tc>
        <w:tc>
          <w:tcPr/>
          <w:p>
            <w:pPr>
              <w:pStyle w:val="Compact"/>
            </w:pPr>
            <w:r>
              <w:t xml:space="preserve">45.8%</w:t>
            </w:r>
          </w:p>
        </w:tc>
        <w:tc>
          <w:tcPr/>
          <w:p>
            <w:pPr>
              <w:pStyle w:val="Compact"/>
            </w:pPr>
            <w:r>
              <w:t xml:space="preserve">60.6%</w:t>
            </w:r>
          </w:p>
        </w:tc>
        <w:tc>
          <w:tcPr/>
          <w:p>
            <w:pPr>
              <w:pStyle w:val="Compact"/>
            </w:pPr>
            <w:r>
              <w:t xml:space="preserve">+1.42 (1.03 to 1.80)</w:t>
            </w:r>
          </w:p>
        </w:tc>
        <w:tc>
          <w:tcPr/>
          <w:p>
            <w:pPr>
              <w:pStyle w:val="Compact"/>
            </w:pPr>
            <w:r>
              <w:t xml:space="preserve">&lt;0.001</w:t>
            </w:r>
          </w:p>
        </w:tc>
      </w:tr>
      <w:tr>
        <w:tc>
          <w:tcPr/>
          <w:p>
            <w:pPr>
              <w:pStyle w:val="Compact"/>
            </w:pPr>
            <w:r>
              <w:t xml:space="preserve">URPS, urology pathway</w:t>
            </w:r>
          </w:p>
        </w:tc>
        <w:tc>
          <w:tcPr/>
          <w:p>
            <w:pPr>
              <w:pStyle w:val="Compact"/>
            </w:pPr>
            <w:r>
              <w:t xml:space="preserve">151</w:t>
            </w:r>
          </w:p>
        </w:tc>
        <w:tc>
          <w:tcPr/>
          <w:p>
            <w:pPr>
              <w:pStyle w:val="Compact"/>
            </w:pPr>
            <w:r>
              <w:t xml:space="preserve">641</w:t>
            </w:r>
          </w:p>
        </w:tc>
        <w:tc>
          <w:tcPr/>
          <w:p>
            <w:pPr>
              <w:pStyle w:val="Compact"/>
            </w:pPr>
            <w:r>
              <w:t xml:space="preserve">12,272</w:t>
            </w:r>
          </w:p>
        </w:tc>
        <w:tc>
          <w:tcPr/>
          <w:p>
            <w:pPr>
              <w:pStyle w:val="Compact"/>
            </w:pPr>
            <w:r>
              <w:t xml:space="preserve">8.7%</w:t>
            </w:r>
          </w:p>
        </w:tc>
        <w:tc>
          <w:tcPr/>
          <w:p>
            <w:pPr>
              <w:pStyle w:val="Compact"/>
            </w:pPr>
            <w:r>
              <w:t xml:space="preserve">16 (13–22)</w:t>
            </w:r>
          </w:p>
        </w:tc>
        <w:tc>
          <w:tcPr/>
          <w:p>
            <w:pPr>
              <w:pStyle w:val="Compact"/>
            </w:pPr>
            <w:r>
              <w:t xml:space="preserve">9.3%</w:t>
            </w:r>
          </w:p>
        </w:tc>
        <w:tc>
          <w:tcPr/>
          <w:p>
            <w:pPr>
              <w:pStyle w:val="Compact"/>
            </w:pPr>
            <w:r>
              <w:t xml:space="preserve">7.4%</w:t>
            </w:r>
          </w:p>
        </w:tc>
        <w:tc>
          <w:tcPr/>
          <w:p>
            <w:pPr>
              <w:pStyle w:val="Compact"/>
            </w:pPr>
            <w:r>
              <w:t xml:space="preserve">-0.30 (-0.45 to -0.15)</w:t>
            </w:r>
          </w:p>
        </w:tc>
        <w:tc>
          <w:tcPr/>
          <w:p>
            <w:pPr>
              <w:pStyle w:val="Compact"/>
            </w:pPr>
            <w:r>
              <w:t xml:space="preserve">0.001</w:t>
            </w:r>
          </w:p>
        </w:tc>
      </w:tr>
      <w:tr>
        <w:tc>
          <w:tcPr/>
          <w:p>
            <w:pPr>
              <w:pStyle w:val="Compact"/>
            </w:pPr>
            <w:r>
              <w:t xml:space="preserve">Urology (non-URPS)</w:t>
            </w:r>
          </w:p>
        </w:tc>
        <w:tc>
          <w:tcPr/>
          <w:p>
            <w:pPr>
              <w:pStyle w:val="Compact"/>
            </w:pPr>
            <w:r>
              <w:t xml:space="preserve">366</w:t>
            </w:r>
          </w:p>
        </w:tc>
        <w:tc>
          <w:tcPr/>
          <w:p>
            <w:pPr>
              <w:pStyle w:val="Compact"/>
            </w:pPr>
            <w:r>
              <w:t xml:space="preserve">1,150</w:t>
            </w:r>
          </w:p>
        </w:tc>
        <w:tc>
          <w:tcPr/>
          <w:p>
            <w:pPr>
              <w:pStyle w:val="Compact"/>
            </w:pPr>
            <w:r>
              <w:t xml:space="preserve">20,475</w:t>
            </w:r>
          </w:p>
        </w:tc>
        <w:tc>
          <w:tcPr/>
          <w:p>
            <w:pPr>
              <w:pStyle w:val="Compact"/>
            </w:pPr>
            <w:r>
              <w:t xml:space="preserve">14.5%</w:t>
            </w:r>
          </w:p>
        </w:tc>
        <w:tc>
          <w:tcPr/>
          <w:p>
            <w:pPr>
              <w:pStyle w:val="Compact"/>
            </w:pPr>
            <w:r>
              <w:t xml:space="preserve">15 (12–20)</w:t>
            </w:r>
          </w:p>
        </w:tc>
        <w:tc>
          <w:tcPr/>
          <w:p>
            <w:pPr>
              <w:pStyle w:val="Compact"/>
            </w:pPr>
            <w:r>
              <w:t xml:space="preserve">22.4%</w:t>
            </w:r>
          </w:p>
        </w:tc>
        <w:tc>
          <w:tcPr/>
          <w:p>
            <w:pPr>
              <w:pStyle w:val="Compact"/>
            </w:pPr>
            <w:r>
              <w:t xml:space="preserve">8.3%</w:t>
            </w:r>
          </w:p>
        </w:tc>
        <w:tc>
          <w:tcPr/>
          <w:p>
            <w:pPr>
              <w:pStyle w:val="Compact"/>
            </w:pPr>
            <w:r>
              <w:t xml:space="preserve">-1.28 (-1.57 to -0.99)</w:t>
            </w:r>
          </w:p>
        </w:tc>
        <w:tc>
          <w:tcPr/>
          <w:p>
            <w:pPr>
              <w:pStyle w:val="Compact"/>
            </w:pPr>
            <w:r>
              <w:t xml:space="preserve">&lt;0.001</w:t>
            </w:r>
          </w:p>
        </w:tc>
      </w:tr>
      <w:tr>
        <w:tc>
          <w:tcPr/>
          <w:p>
            <w:pPr>
              <w:pStyle w:val="Compact"/>
            </w:pPr>
            <w:r>
              <w:t xml:space="preserve">Other non-URPS OB/GYN</w:t>
            </w:r>
          </w:p>
        </w:tc>
        <w:tc>
          <w:tcPr/>
          <w:p>
            <w:pPr>
              <w:pStyle w:val="Compact"/>
            </w:pPr>
            <w:r>
              <w:t xml:space="preserve">336</w:t>
            </w:r>
          </w:p>
        </w:tc>
        <w:tc>
          <w:tcPr/>
          <w:p>
            <w:pPr>
              <w:pStyle w:val="Compact"/>
            </w:pPr>
            <w:r>
              <w:t xml:space="preserve">953</w:t>
            </w:r>
          </w:p>
        </w:tc>
        <w:tc>
          <w:tcPr/>
          <w:p>
            <w:pPr>
              <w:pStyle w:val="Compact"/>
            </w:pPr>
            <w:r>
              <w:t xml:space="preserve">18,316</w:t>
            </w:r>
          </w:p>
        </w:tc>
        <w:tc>
          <w:tcPr/>
          <w:p>
            <w:pPr>
              <w:pStyle w:val="Compact"/>
            </w:pPr>
            <w:r>
              <w:t xml:space="preserve">13.0%</w:t>
            </w:r>
          </w:p>
        </w:tc>
        <w:tc>
          <w:tcPr/>
          <w:p>
            <w:pPr>
              <w:pStyle w:val="Compact"/>
            </w:pPr>
            <w:r>
              <w:t xml:space="preserve">15 (12–22)</w:t>
            </w:r>
          </w:p>
        </w:tc>
        <w:tc>
          <w:tcPr/>
          <w:p>
            <w:pPr>
              <w:pStyle w:val="Compact"/>
            </w:pPr>
            <w:r>
              <w:t xml:space="preserve">16.3%</w:t>
            </w:r>
          </w:p>
        </w:tc>
        <w:tc>
          <w:tcPr/>
          <w:p>
            <w:pPr>
              <w:pStyle w:val="Compact"/>
            </w:pPr>
            <w:r>
              <w:t xml:space="preserve">13.1%</w:t>
            </w:r>
          </w:p>
        </w:tc>
        <w:tc>
          <w:tcPr/>
          <w:p>
            <w:pPr>
              <w:pStyle w:val="Compact"/>
            </w:pPr>
            <w:r>
              <w:t xml:space="preserve">-0.40 (-0.66 to -0.13)</w:t>
            </w:r>
          </w:p>
        </w:tc>
        <w:tc>
          <w:tcPr/>
          <w:p>
            <w:pPr>
              <w:pStyle w:val="Compact"/>
            </w:pPr>
            <w:r>
              <w:t xml:space="preserve">0.008</w:t>
            </w:r>
          </w:p>
        </w:tc>
      </w:tr>
      <w:tr>
        <w:tc>
          <w:tcPr/>
          <w:p>
            <w:pPr>
              <w:pStyle w:val="Compact"/>
            </w:pPr>
            <w:r>
              <w:t xml:space="preserve">Other/uncertain</w:t>
            </w:r>
          </w:p>
        </w:tc>
        <w:tc>
          <w:tcPr/>
          <w:p>
            <w:pPr>
              <w:pStyle w:val="Compact"/>
            </w:pPr>
            <w:r>
              <w:t xml:space="preserve">200</w:t>
            </w:r>
          </w:p>
        </w:tc>
        <w:tc>
          <w:tcPr/>
          <w:p>
            <w:pPr>
              <w:pStyle w:val="Compact"/>
            </w:pPr>
            <w:r>
              <w:t xml:space="preserve">514</w:t>
            </w:r>
          </w:p>
        </w:tc>
        <w:tc>
          <w:tcPr/>
          <w:p>
            <w:pPr>
              <w:pStyle w:val="Compact"/>
            </w:pPr>
            <w:r>
              <w:t xml:space="preserve">11,504</w:t>
            </w:r>
          </w:p>
        </w:tc>
        <w:tc>
          <w:tcPr/>
          <w:p>
            <w:pPr>
              <w:pStyle w:val="Compact"/>
            </w:pPr>
            <w:r>
              <w:t xml:space="preserve">8.2%</w:t>
            </w:r>
          </w:p>
        </w:tc>
        <w:tc>
          <w:tcPr/>
          <w:p>
            <w:pPr>
              <w:pStyle w:val="Compact"/>
            </w:pPr>
            <w:r>
              <w:t xml:space="preserve">18 (13–27)</w:t>
            </w:r>
          </w:p>
        </w:tc>
        <w:tc>
          <w:tcPr/>
          <w:p>
            <w:pPr>
              <w:pStyle w:val="Compact"/>
            </w:pPr>
            <w:r>
              <w:t xml:space="preserve">6.0%</w:t>
            </w:r>
          </w:p>
        </w:tc>
        <w:tc>
          <w:tcPr/>
          <w:p>
            <w:pPr>
              <w:pStyle w:val="Compact"/>
            </w:pPr>
            <w:r>
              <w:t xml:space="preserve">9.8%</w:t>
            </w:r>
          </w:p>
        </w:tc>
        <w:tc>
          <w:tcPr/>
          <w:p>
            <w:pPr>
              <w:pStyle w:val="Compact"/>
            </w:pPr>
            <w:r>
              <w:t xml:space="preserve">+0.49 (0.33 to 0.64)</w:t>
            </w:r>
          </w:p>
        </w:tc>
        <w:tc>
          <w:tcPr/>
          <w:p>
            <w:pPr>
              <w:pStyle w:val="Compact"/>
            </w:pPr>
            <w:r>
              <w:t xml:space="preserve">&lt;0.001</w:t>
            </w:r>
          </w:p>
        </w:tc>
      </w:tr>
      <w:tr>
        <w:tc>
          <w:tcPr/>
          <w:p>
            <w:pPr>
              <w:pStyle w:val="Compact"/>
            </w:pPr>
            <w:r>
              <w:t xml:space="preserve">MIGS</w:t>
            </w:r>
          </w:p>
        </w:tc>
        <w:tc>
          <w:tcPr/>
          <w:p>
            <w:pPr>
              <w:pStyle w:val="Compact"/>
            </w:pPr>
            <w:r>
              <w:t xml:space="preserve">10</w:t>
            </w:r>
          </w:p>
        </w:tc>
        <w:tc>
          <w:tcPr/>
          <w:p>
            <w:pPr>
              <w:pStyle w:val="Compact"/>
            </w:pPr>
            <w:r>
              <w:t xml:space="preserve">39</w:t>
            </w:r>
          </w:p>
        </w:tc>
        <w:tc>
          <w:tcPr/>
          <w:p>
            <w:pPr>
              <w:pStyle w:val="Compact"/>
            </w:pPr>
            <w:r>
              <w:t xml:space="preserve">941</w:t>
            </w:r>
          </w:p>
        </w:tc>
        <w:tc>
          <w:tcPr/>
          <w:p>
            <w:pPr>
              <w:pStyle w:val="Compact"/>
            </w:pPr>
            <w:r>
              <w:t xml:space="preserve">0.7%</w:t>
            </w:r>
          </w:p>
        </w:tc>
        <w:tc>
          <w:tcPr/>
          <w:p>
            <w:pPr>
              <w:pStyle w:val="Compact"/>
            </w:pPr>
            <w:r>
              <w:t xml:space="preserve">16 (12–24)</w:t>
            </w:r>
          </w:p>
        </w:tc>
        <w:tc>
          <w:tcPr/>
          <w:p>
            <w:pPr>
              <w:pStyle w:val="Compact"/>
            </w:pPr>
            <w:r>
              <w:t xml:space="preserve">0.2%</w:t>
            </w:r>
          </w:p>
        </w:tc>
        <w:tc>
          <w:tcPr/>
          <w:p>
            <w:pPr>
              <w:pStyle w:val="Compact"/>
            </w:pPr>
            <w:r>
              <w:t xml:space="preserve">0.9%</w:t>
            </w:r>
          </w:p>
        </w:tc>
        <w:tc>
          <w:tcPr/>
          <w:p>
            <w:pPr>
              <w:pStyle w:val="Compact"/>
            </w:pPr>
            <w:r>
              <w:t xml:space="preserve">+0.08 (0.03 to 0.12)*</w:t>
            </w:r>
          </w:p>
        </w:tc>
        <w:tc>
          <w:tcPr/>
          <w:p>
            <w:pPr>
              <w:pStyle w:val="Compact"/>
            </w:pPr>
            <w:r>
              <w:t xml:space="preserve">0.004</w:t>
            </w:r>
          </w:p>
        </w:tc>
      </w:tr>
      <w:tr>
        <w:tc>
          <w:tcPr/>
          <w:p>
            <w:pPr>
              <w:pStyle w:val="Compact"/>
            </w:pPr>
            <w:r>
              <w:rPr>
                <w:b/>
                <w:bCs/>
              </w:rPr>
              <w:t xml:space="preserve">Total</w:t>
            </w:r>
          </w:p>
        </w:tc>
        <w:tc>
          <w:tcPr/>
          <w:p>
            <w:pPr>
              <w:pStyle w:val="Compact"/>
            </w:pPr>
            <w:r>
              <w:rPr>
                <w:b/>
                <w:bCs/>
              </w:rPr>
              <w:t xml:space="preserve">1,666</w:t>
            </w:r>
          </w:p>
        </w:tc>
        <w:tc>
          <w:tcPr/>
          <w:p>
            <w:pPr>
              <w:pStyle w:val="Compact"/>
            </w:pPr>
            <w:r>
              <w:rPr>
                <w:b/>
                <w:bCs/>
              </w:rPr>
              <w:t xml:space="preserve">6,569</w:t>
            </w:r>
          </w:p>
        </w:tc>
        <w:tc>
          <w:tcPr/>
          <w:p>
            <w:pPr>
              <w:pStyle w:val="Compact"/>
            </w:pPr>
            <w:r>
              <w:rPr>
                <w:b/>
                <w:bCs/>
              </w:rPr>
              <w:t xml:space="preserve">141,009</w:t>
            </w:r>
          </w:p>
        </w:tc>
        <w:tc>
          <w:tcPr/>
          <w:p>
            <w:pPr>
              <w:pStyle w:val="Compact"/>
            </w:pPr>
            <w:r>
              <w:rPr>
                <w:b/>
                <w:bCs/>
              </w:rPr>
              <w:t xml:space="preserve">100%</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r>
    </w:tbl>
    <w:p>
      <w:pPr>
        <w:pStyle w:val="BodyText"/>
      </w:pPr>
      <w:r>
        <w:rPr>
          <w:b/>
          <w:bCs/>
        </w:rPr>
        <w:t xml:space="preserve">Table 2.</w:t>
      </w:r>
      <w:r>
        <w:t xml:space="preserve"> </w:t>
      </w:r>
      <w:r>
        <w:t xml:space="preserve">Surgeon-level procedural concentration by specialty, based on aggregate provider volume. Raw HHI is not comparable across groups of different size; the normalized HHI (0–1) and effective number of providers are size-adjusted companions.</w:t>
      </w:r>
    </w:p>
    <w:tbl>
      <w:tblPr>
        <w:tblStyle w:val="Table"/>
        <w:tblW w:type="pct" w:w="5000"/>
        <w:tblLayout w:type="fixed"/>
        <w:tblLook w:firstRow="1" w:lastRow="0" w:firstColumn="0" w:lastColumn="0" w:noHBand="0" w:noVBand="0" w:val="0020"/>
      </w:tblPr>
      <w:tblGrid>
        <w:gridCol w:w="1480"/>
        <w:gridCol w:w="837"/>
        <w:gridCol w:w="386"/>
        <w:gridCol w:w="1030"/>
        <w:gridCol w:w="1030"/>
        <w:gridCol w:w="1352"/>
        <w:gridCol w:w="901"/>
        <w:gridCol w:w="901"/>
      </w:tblGrid>
      <w:tr>
        <w:trPr>
          <w:tblHeader w:val="on"/>
        </w:trPr>
        <w:tc>
          <w:tcPr/>
          <w:p>
            <w:pPr>
              <w:pStyle w:val="Compact"/>
            </w:pPr>
            <w:r>
              <w:t xml:space="preserve">Specialty</w:t>
            </w:r>
          </w:p>
        </w:tc>
        <w:tc>
          <w:tcPr/>
          <w:p>
            <w:pPr>
              <w:pStyle w:val="Compact"/>
            </w:pPr>
            <w:r>
              <w:t xml:space="preserve">N providers</w:t>
            </w:r>
          </w:p>
        </w:tc>
        <w:tc>
          <w:tcPr/>
          <w:p>
            <w:pPr>
              <w:pStyle w:val="Compact"/>
            </w:pPr>
            <w:r>
              <w:t xml:space="preserve">Gini</w:t>
            </w:r>
          </w:p>
        </w:tc>
        <w:tc>
          <w:tcPr/>
          <w:p>
            <w:pPr>
              <w:pStyle w:val="Compact"/>
            </w:pPr>
            <w:r>
              <w:t xml:space="preserve">HHI (0-10,000)</w:t>
            </w:r>
          </w:p>
        </w:tc>
        <w:tc>
          <w:tcPr/>
          <w:p>
            <w:pPr>
              <w:pStyle w:val="Compact"/>
            </w:pPr>
            <w:r>
              <w:t xml:space="preserve">Normalized HHI</w:t>
            </w:r>
          </w:p>
        </w:tc>
        <w:tc>
          <w:tcPr/>
          <w:p>
            <w:pPr>
              <w:pStyle w:val="Compact"/>
            </w:pPr>
            <w:r>
              <w:t xml:space="preserve">Effective providers</w:t>
            </w:r>
          </w:p>
        </w:tc>
        <w:tc>
          <w:tcPr/>
          <w:p>
            <w:pPr>
              <w:pStyle w:val="Compact"/>
            </w:pPr>
            <w:r>
              <w:t xml:space="preserve">% by top 10%</w:t>
            </w:r>
          </w:p>
        </w:tc>
        <w:tc>
          <w:tcPr/>
          <w:p>
            <w:pPr>
              <w:pStyle w:val="Compact"/>
            </w:pPr>
            <w:r>
              <w:t xml:space="preserve">% by top 20%</w:t>
            </w:r>
          </w:p>
        </w:tc>
      </w:tr>
      <w:tr>
        <w:tc>
          <w:tcPr/>
          <w:p>
            <w:pPr>
              <w:pStyle w:val="Compact"/>
            </w:pPr>
            <w:r>
              <w:t xml:space="preserve">URPS, OB/GYN pathway</w:t>
            </w:r>
          </w:p>
        </w:tc>
        <w:tc>
          <w:tcPr/>
          <w:p>
            <w:pPr>
              <w:pStyle w:val="Compact"/>
            </w:pPr>
            <w:r>
              <w:t xml:space="preserve">616</w:t>
            </w:r>
          </w:p>
        </w:tc>
        <w:tc>
          <w:tcPr/>
          <w:p>
            <w:pPr>
              <w:pStyle w:val="Compact"/>
            </w:pPr>
            <w:r>
              <w:t xml:space="preserve">0.51</w:t>
            </w:r>
          </w:p>
        </w:tc>
        <w:tc>
          <w:tcPr/>
          <w:p>
            <w:pPr>
              <w:pStyle w:val="Compact"/>
            </w:pPr>
            <w:r>
              <w:t xml:space="preserve">33</w:t>
            </w:r>
          </w:p>
        </w:tc>
        <w:tc>
          <w:tcPr/>
          <w:p>
            <w:pPr>
              <w:pStyle w:val="Compact"/>
            </w:pPr>
            <w:r>
              <w:t xml:space="preserve">0.002</w:t>
            </w:r>
          </w:p>
        </w:tc>
        <w:tc>
          <w:tcPr/>
          <w:p>
            <w:pPr>
              <w:pStyle w:val="Compact"/>
            </w:pPr>
            <w:r>
              <w:t xml:space="preserve">305</w:t>
            </w:r>
          </w:p>
        </w:tc>
        <w:tc>
          <w:tcPr/>
          <w:p>
            <w:pPr>
              <w:pStyle w:val="Compact"/>
            </w:pPr>
            <w:r>
              <w:t xml:space="preserve">33.6%</w:t>
            </w:r>
          </w:p>
        </w:tc>
        <w:tc>
          <w:tcPr/>
          <w:p>
            <w:pPr>
              <w:pStyle w:val="Compact"/>
            </w:pPr>
            <w:r>
              <w:t xml:space="preserve">53.0%</w:t>
            </w:r>
          </w:p>
        </w:tc>
      </w:tr>
      <w:tr>
        <w:tc>
          <w:tcPr/>
          <w:p>
            <w:pPr>
              <w:pStyle w:val="Compact"/>
            </w:pPr>
            <w:r>
              <w:t xml:space="preserve">URPS, urology pathway</w:t>
            </w:r>
          </w:p>
        </w:tc>
        <w:tc>
          <w:tcPr/>
          <w:p>
            <w:pPr>
              <w:pStyle w:val="Compact"/>
            </w:pPr>
            <w:r>
              <w:t xml:space="preserve">151</w:t>
            </w:r>
          </w:p>
        </w:tc>
        <w:tc>
          <w:tcPr/>
          <w:p>
            <w:pPr>
              <w:pStyle w:val="Compact"/>
            </w:pPr>
            <w:r>
              <w:t xml:space="preserve">0.53</w:t>
            </w:r>
          </w:p>
        </w:tc>
        <w:tc>
          <w:tcPr/>
          <w:p>
            <w:pPr>
              <w:pStyle w:val="Compact"/>
            </w:pPr>
            <w:r>
              <w:t xml:space="preserve">149</w:t>
            </w:r>
          </w:p>
        </w:tc>
        <w:tc>
          <w:tcPr/>
          <w:p>
            <w:pPr>
              <w:pStyle w:val="Compact"/>
            </w:pPr>
            <w:r>
              <w:t xml:space="preserve">0.008</w:t>
            </w:r>
          </w:p>
        </w:tc>
        <w:tc>
          <w:tcPr/>
          <w:p>
            <w:pPr>
              <w:pStyle w:val="Compact"/>
            </w:pPr>
            <w:r>
              <w:t xml:space="preserve">67</w:t>
            </w:r>
          </w:p>
        </w:tc>
        <w:tc>
          <w:tcPr/>
          <w:p>
            <w:pPr>
              <w:pStyle w:val="Compact"/>
            </w:pPr>
            <w:r>
              <w:t xml:space="preserve">36.2%</w:t>
            </w:r>
          </w:p>
        </w:tc>
        <w:tc>
          <w:tcPr/>
          <w:p>
            <w:pPr>
              <w:pStyle w:val="Compact"/>
            </w:pPr>
            <w:r>
              <w:t xml:space="preserve">56.9%</w:t>
            </w:r>
          </w:p>
        </w:tc>
      </w:tr>
      <w:tr>
        <w:tc>
          <w:tcPr/>
          <w:p>
            <w:pPr>
              <w:pStyle w:val="Compact"/>
            </w:pPr>
            <w:r>
              <w:t xml:space="preserve">Urology (non-URPS)</w:t>
            </w:r>
          </w:p>
        </w:tc>
        <w:tc>
          <w:tcPr/>
          <w:p>
            <w:pPr>
              <w:pStyle w:val="Compact"/>
            </w:pPr>
            <w:r>
              <w:t xml:space="preserve">366</w:t>
            </w:r>
          </w:p>
        </w:tc>
        <w:tc>
          <w:tcPr/>
          <w:p>
            <w:pPr>
              <w:pStyle w:val="Compact"/>
            </w:pPr>
            <w:r>
              <w:t xml:space="preserve">0.52</w:t>
            </w:r>
          </w:p>
        </w:tc>
        <w:tc>
          <w:tcPr/>
          <w:p>
            <w:pPr>
              <w:pStyle w:val="Compact"/>
            </w:pPr>
            <w:r>
              <w:t xml:space="preserve">65</w:t>
            </w:r>
          </w:p>
        </w:tc>
        <w:tc>
          <w:tcPr/>
          <w:p>
            <w:pPr>
              <w:pStyle w:val="Compact"/>
            </w:pPr>
            <w:r>
              <w:t xml:space="preserve">0.004</w:t>
            </w:r>
          </w:p>
        </w:tc>
        <w:tc>
          <w:tcPr/>
          <w:p>
            <w:pPr>
              <w:pStyle w:val="Compact"/>
            </w:pPr>
            <w:r>
              <w:t xml:space="preserve">155</w:t>
            </w:r>
          </w:p>
        </w:tc>
        <w:tc>
          <w:tcPr/>
          <w:p>
            <w:pPr>
              <w:pStyle w:val="Compact"/>
            </w:pPr>
            <w:r>
              <w:t xml:space="preserve">38.6%</w:t>
            </w:r>
          </w:p>
        </w:tc>
        <w:tc>
          <w:tcPr/>
          <w:p>
            <w:pPr>
              <w:pStyle w:val="Compact"/>
            </w:pPr>
            <w:r>
              <w:t xml:space="preserve">58.1%</w:t>
            </w:r>
          </w:p>
        </w:tc>
      </w:tr>
      <w:tr>
        <w:tc>
          <w:tcPr/>
          <w:p>
            <w:pPr>
              <w:pStyle w:val="Compact"/>
            </w:pPr>
            <w:r>
              <w:t xml:space="preserve">Other non-URPS OB/GYN</w:t>
            </w:r>
          </w:p>
        </w:tc>
        <w:tc>
          <w:tcPr/>
          <w:p>
            <w:pPr>
              <w:pStyle w:val="Compact"/>
            </w:pPr>
            <w:r>
              <w:t xml:space="preserve">336</w:t>
            </w:r>
          </w:p>
        </w:tc>
        <w:tc>
          <w:tcPr/>
          <w:p>
            <w:pPr>
              <w:pStyle w:val="Compact"/>
            </w:pPr>
            <w:r>
              <w:t xml:space="preserve">0.56</w:t>
            </w:r>
          </w:p>
        </w:tc>
        <w:tc>
          <w:tcPr/>
          <w:p>
            <w:pPr>
              <w:pStyle w:val="Compact"/>
            </w:pPr>
            <w:r>
              <w:t xml:space="preserve">89</w:t>
            </w:r>
          </w:p>
        </w:tc>
        <w:tc>
          <w:tcPr/>
          <w:p>
            <w:pPr>
              <w:pStyle w:val="Compact"/>
            </w:pPr>
            <w:r>
              <w:t xml:space="preserve">0.006</w:t>
            </w:r>
          </w:p>
        </w:tc>
        <w:tc>
          <w:tcPr/>
          <w:p>
            <w:pPr>
              <w:pStyle w:val="Compact"/>
            </w:pPr>
            <w:r>
              <w:t xml:space="preserve">112</w:t>
            </w:r>
          </w:p>
        </w:tc>
        <w:tc>
          <w:tcPr/>
          <w:p>
            <w:pPr>
              <w:pStyle w:val="Compact"/>
            </w:pPr>
            <w:r>
              <w:t xml:space="preserve">44.4%</w:t>
            </w:r>
          </w:p>
        </w:tc>
        <w:tc>
          <w:tcPr/>
          <w:p>
            <w:pPr>
              <w:pStyle w:val="Compact"/>
            </w:pPr>
            <w:r>
              <w:t xml:space="preserve">62.2%</w:t>
            </w:r>
          </w:p>
        </w:tc>
      </w:tr>
      <w:tr>
        <w:tc>
          <w:tcPr/>
          <w:p>
            <w:pPr>
              <w:pStyle w:val="Compact"/>
            </w:pPr>
            <w:r>
              <w:t xml:space="preserve">MIGS</w:t>
            </w:r>
          </w:p>
        </w:tc>
        <w:tc>
          <w:tcPr/>
          <w:p>
            <w:pPr>
              <w:pStyle w:val="Compact"/>
            </w:pPr>
            <w:r>
              <w:t xml:space="preserve">10</w:t>
            </w:r>
          </w:p>
        </w:tc>
        <w:tc>
          <w:tcPr/>
          <w:p>
            <w:pPr>
              <w:pStyle w:val="Compact"/>
            </w:pPr>
            <w:r>
              <w:t xml:space="preserve">0.61</w:t>
            </w:r>
          </w:p>
        </w:tc>
        <w:tc>
          <w:tcPr/>
          <w:p>
            <w:pPr>
              <w:pStyle w:val="Compact"/>
            </w:pPr>
            <w:r>
              <w:t xml:space="preserve">3,036</w:t>
            </w:r>
          </w:p>
        </w:tc>
        <w:tc>
          <w:tcPr/>
          <w:p>
            <w:pPr>
              <w:pStyle w:val="Compact"/>
            </w:pPr>
            <w:r>
              <w:t xml:space="preserve">0.226</w:t>
            </w:r>
          </w:p>
        </w:tc>
        <w:tc>
          <w:tcPr/>
          <w:p>
            <w:pPr>
              <w:pStyle w:val="Compact"/>
            </w:pPr>
            <w:r>
              <w:t xml:space="preserve">3</w:t>
            </w:r>
          </w:p>
        </w:tc>
        <w:tc>
          <w:tcPr/>
          <w:p>
            <w:pPr>
              <w:pStyle w:val="Compact"/>
            </w:pPr>
            <w:r>
              <w:t xml:space="preserve">49.8%</w:t>
            </w:r>
          </w:p>
        </w:tc>
        <w:tc>
          <w:tcPr/>
          <w:p>
            <w:pPr>
              <w:pStyle w:val="Compact"/>
            </w:pPr>
            <w:r>
              <w:t xml:space="preserve">69.3%</w:t>
            </w:r>
          </w:p>
        </w:tc>
      </w:tr>
    </w:tbl>
    <w:p>
      <w:pPr>
        <w:pStyle w:val="BodyText"/>
      </w:pPr>
      <w:r>
        <w:rPr>
          <w:b/>
          <w:bCs/>
        </w:rPr>
        <w:t xml:space="preserve">Table 3.</w:t>
      </w:r>
      <w:r>
        <w:t xml:space="preserve"> </w:t>
      </w:r>
      <w:r>
        <w:t xml:space="preserve">Adjusted rate ratios for annual reported services from a Poisson GEE clustered by NPI (OB/GYN-pathway URPS reference; calendar year centered at 2018; exchangeable correlation; robust standard errors). The first block gives specialty contrasts at mid-study and the 2020 effect; the second block gives each specialty’s annual trend as a marginal contrast (the year term plus its specialty-by-year interaction).</w:t>
      </w:r>
    </w:p>
    <w:tbl>
      <w:tblPr>
        <w:tblStyle w:val="Table"/>
        <w:tblW w:type="pct" w:w="5000"/>
        <w:tblLayout w:type="fixed"/>
        <w:tblLook w:firstRow="1" w:lastRow="0" w:firstColumn="0" w:lastColumn="0" w:noHBand="0" w:noVBand="0" w:val="0020"/>
      </w:tblPr>
      <w:tblGrid>
        <w:gridCol w:w="4873"/>
        <w:gridCol w:w="2132"/>
        <w:gridCol w:w="913"/>
      </w:tblGrid>
      <w:tr>
        <w:trPr>
          <w:tblHeader w:val="on"/>
        </w:trPr>
        <w:tc>
          <w:tcPr/>
          <w:p>
            <w:pPr>
              <w:pStyle w:val="Compact"/>
            </w:pPr>
            <w:r>
              <w:t xml:space="preserve">Term</w:t>
            </w:r>
          </w:p>
        </w:tc>
        <w:tc>
          <w:tcPr/>
          <w:p>
            <w:pPr>
              <w:pStyle w:val="Compact"/>
            </w:pPr>
            <w:r>
              <w:t xml:space="preserve">Rate ratio (95% CI)</w:t>
            </w:r>
          </w:p>
        </w:tc>
        <w:tc>
          <w:tcPr/>
          <w:p>
            <w:pPr>
              <w:pStyle w:val="Compact"/>
            </w:pPr>
            <w:r>
              <w:t xml:space="preserve">p-value</w:t>
            </w:r>
          </w:p>
        </w:tc>
      </w:tr>
      <w:tr>
        <w:tc>
          <w:tcPr/>
          <w:p>
            <w:pPr>
              <w:pStyle w:val="Compact"/>
            </w:pPr>
            <w:r>
              <w:t xml:space="preserve">URPS urology vs URPS OB/GYN (at 2018)</w:t>
            </w:r>
          </w:p>
        </w:tc>
        <w:tc>
          <w:tcPr/>
          <w:p>
            <w:pPr>
              <w:pStyle w:val="Compact"/>
            </w:pPr>
            <w:r>
              <w:t xml:space="preserve">0.76 (0.68–0.84)</w:t>
            </w:r>
          </w:p>
        </w:tc>
        <w:tc>
          <w:tcPr/>
          <w:p>
            <w:pPr>
              <w:pStyle w:val="Compact"/>
            </w:pPr>
            <w:r>
              <w:t xml:space="preserve">&lt;0.001</w:t>
            </w:r>
          </w:p>
        </w:tc>
      </w:tr>
      <w:tr>
        <w:tc>
          <w:tcPr/>
          <w:p>
            <w:pPr>
              <w:pStyle w:val="Compact"/>
            </w:pPr>
            <w:r>
              <w:t xml:space="preserve">Non-URPS urology vs URPS OB/GYN (at 2018)</w:t>
            </w:r>
          </w:p>
        </w:tc>
        <w:tc>
          <w:tcPr/>
          <w:p>
            <w:pPr>
              <w:pStyle w:val="Compact"/>
            </w:pPr>
            <w:r>
              <w:t xml:space="preserve">0.71 (0.59–0.85)</w:t>
            </w:r>
          </w:p>
        </w:tc>
        <w:tc>
          <w:tcPr/>
          <w:p>
            <w:pPr>
              <w:pStyle w:val="Compact"/>
            </w:pPr>
            <w:r>
              <w:t xml:space="preserve">&lt;0.001</w:t>
            </w:r>
          </w:p>
        </w:tc>
      </w:tr>
      <w:tr>
        <w:tc>
          <w:tcPr/>
          <w:p>
            <w:pPr>
              <w:pStyle w:val="Compact"/>
            </w:pPr>
            <w:r>
              <w:t xml:space="preserve">Other non-URPS OB/GYN vs URPS OB/GYN (at 2018)</w:t>
            </w:r>
          </w:p>
        </w:tc>
        <w:tc>
          <w:tcPr/>
          <w:p>
            <w:pPr>
              <w:pStyle w:val="Compact"/>
            </w:pPr>
            <w:r>
              <w:t xml:space="preserve">0.63 (0.44–0.90)</w:t>
            </w:r>
          </w:p>
        </w:tc>
        <w:tc>
          <w:tcPr/>
          <w:p>
            <w:pPr>
              <w:pStyle w:val="Compact"/>
            </w:pPr>
            <w:r>
              <w:t xml:space="preserve">0.011</w:t>
            </w:r>
          </w:p>
        </w:tc>
      </w:tr>
      <w:tr>
        <w:tc>
          <w:tcPr/>
          <w:p>
            <w:pPr>
              <w:pStyle w:val="Compact"/>
            </w:pPr>
            <w:r>
              <w:t xml:space="preserve">MIGS vs URPS OB/GYN (at 2018)</w:t>
            </w:r>
          </w:p>
        </w:tc>
        <w:tc>
          <w:tcPr/>
          <w:p>
            <w:pPr>
              <w:pStyle w:val="Compact"/>
            </w:pPr>
            <w:r>
              <w:t xml:space="preserve">0.81 (0.51–1.29)</w:t>
            </w:r>
          </w:p>
        </w:tc>
        <w:tc>
          <w:tcPr/>
          <w:p>
            <w:pPr>
              <w:pStyle w:val="Compact"/>
            </w:pPr>
            <w:r>
              <w:t xml:space="preserve">0.379</w:t>
            </w:r>
          </w:p>
        </w:tc>
      </w:tr>
      <w:tr>
        <w:tc>
          <w:tcPr/>
          <w:p>
            <w:pPr>
              <w:pStyle w:val="Compact"/>
            </w:pPr>
            <w:r>
              <w:t xml:space="preserve">2020 (COVID) indicator</w:t>
            </w:r>
          </w:p>
        </w:tc>
        <w:tc>
          <w:tcPr/>
          <w:p>
            <w:pPr>
              <w:pStyle w:val="Compact"/>
            </w:pPr>
            <w:r>
              <w:t xml:space="preserve">0.88 (0.85–0.91)</w:t>
            </w:r>
          </w:p>
        </w:tc>
        <w:tc>
          <w:tcPr/>
          <w:p>
            <w:pPr>
              <w:pStyle w:val="Compact"/>
            </w:pPr>
            <w:r>
              <w:t xml:space="preserve">&lt;0.001</w:t>
            </w:r>
          </w:p>
        </w:tc>
      </w:tr>
      <w:tr>
        <w:tc>
          <w:tcPr/>
          <w:p>
            <w:pPr>
              <w:pStyle w:val="Compact"/>
            </w:pPr>
            <w:r>
              <w:t xml:space="preserve">Annual trend, URPS (OB/GYN)</w:t>
            </w:r>
          </w:p>
        </w:tc>
        <w:tc>
          <w:tcPr/>
          <w:p>
            <w:pPr>
              <w:pStyle w:val="Compact"/>
            </w:pPr>
            <w:r>
              <w:t xml:space="preserve">0.999 (0.990-1.007)</w:t>
            </w:r>
          </w:p>
        </w:tc>
        <w:tc>
          <w:tcPr/>
          <w:p>
            <w:pPr>
              <w:pStyle w:val="Compact"/>
            </w:pPr>
            <w:r>
              <w:t xml:space="preserve">0.776</w:t>
            </w:r>
          </w:p>
        </w:tc>
      </w:tr>
      <w:tr>
        <w:tc>
          <w:tcPr/>
          <w:p>
            <w:pPr>
              <w:pStyle w:val="Compact"/>
            </w:pPr>
            <w:r>
              <w:t xml:space="preserve">Annual trend, URPS (urology)</w:t>
            </w:r>
          </w:p>
        </w:tc>
        <w:tc>
          <w:tcPr/>
          <w:p>
            <w:pPr>
              <w:pStyle w:val="Compact"/>
            </w:pPr>
            <w:r>
              <w:t xml:space="preserve">0.988 (0.974-1.002)</w:t>
            </w:r>
          </w:p>
        </w:tc>
        <w:tc>
          <w:tcPr/>
          <w:p>
            <w:pPr>
              <w:pStyle w:val="Compact"/>
            </w:pPr>
            <w:r>
              <w:t xml:space="preserve">0.089</w:t>
            </w:r>
          </w:p>
        </w:tc>
      </w:tr>
      <w:tr>
        <w:tc>
          <w:tcPr/>
          <w:p>
            <w:pPr>
              <w:pStyle w:val="Compact"/>
            </w:pPr>
            <w:r>
              <w:t xml:space="preserve">Annual trend, non-URPS urology</w:t>
            </w:r>
          </w:p>
        </w:tc>
        <w:tc>
          <w:tcPr/>
          <w:p>
            <w:pPr>
              <w:pStyle w:val="Compact"/>
            </w:pPr>
            <w:r>
              <w:t xml:space="preserve">0.986 (0.968-1.004)</w:t>
            </w:r>
          </w:p>
        </w:tc>
        <w:tc>
          <w:tcPr/>
          <w:p>
            <w:pPr>
              <w:pStyle w:val="Compact"/>
            </w:pPr>
            <w:r>
              <w:t xml:space="preserve">0.137</w:t>
            </w:r>
          </w:p>
        </w:tc>
      </w:tr>
      <w:tr>
        <w:tc>
          <w:tcPr/>
          <w:p>
            <w:pPr>
              <w:pStyle w:val="Compact"/>
            </w:pPr>
            <w:r>
              <w:t xml:space="preserve">Annual trend, other non-URPS OB/GYN</w:t>
            </w:r>
          </w:p>
        </w:tc>
        <w:tc>
          <w:tcPr/>
          <w:p>
            <w:pPr>
              <w:pStyle w:val="Compact"/>
            </w:pPr>
            <w:r>
              <w:t xml:space="preserve">0.996 (0.973-1.020)</w:t>
            </w:r>
          </w:p>
        </w:tc>
        <w:tc>
          <w:tcPr/>
          <w:p>
            <w:pPr>
              <w:pStyle w:val="Compact"/>
            </w:pPr>
            <w:r>
              <w:t xml:space="preserve">0.760</w:t>
            </w:r>
          </w:p>
        </w:tc>
      </w:tr>
      <w:tr>
        <w:tc>
          <w:tcPr/>
          <w:p>
            <w:pPr>
              <w:pStyle w:val="Compact"/>
            </w:pPr>
            <w:r>
              <w:t xml:space="preserve">Annual trend, MIGS</w:t>
            </w:r>
          </w:p>
        </w:tc>
        <w:tc>
          <w:tcPr/>
          <w:p>
            <w:pPr>
              <w:pStyle w:val="Compact"/>
            </w:pPr>
            <w:r>
              <w:t xml:space="preserve">1.085 (1.031-1.142)</w:t>
            </w:r>
          </w:p>
        </w:tc>
        <w:tc>
          <w:tcPr/>
          <w:p>
            <w:pPr>
              <w:pStyle w:val="Compact"/>
            </w:pPr>
            <w:r>
              <w:t xml:space="preserve">0.002</w:t>
            </w:r>
          </w:p>
        </w:tc>
      </w:tr>
    </w:tbl>
    <w:p>
      <w:pPr>
        <w:pStyle w:val="BodyText"/>
      </w:pPr>
      <w:r>
        <w:rPr>
          <w:b/>
          <w:bCs/>
        </w:rPr>
        <w:t xml:space="preserve">Table 4.</w:t>
      </w:r>
      <w:r>
        <w:t xml:space="preserve"> </w:t>
      </w:r>
      <w:r>
        <w:t xml:space="preserve">All-pathway URPS and OB/GYN-based market-share trends under alternative classification scenarios. The scenarios differ in the estimated rate of increase: fixed membership gives the shallower slope because it counts physicians as URPS before certification, and certification-gated classification gives the steeper slope because it removes not-yet-certified physicians from the early URPS count. The 2023 levels converge. These are plausible scenarios rather than formal statistical bounds. All estimated trends are positive and statistically significant.</w:t>
      </w:r>
    </w:p>
    <w:tbl>
      <w:tblPr>
        <w:tblStyle w:val="Table"/>
        <w:tblW w:type="pct" w:w="5000"/>
        <w:tblLayout w:type="fixed"/>
        <w:tblLook w:firstRow="1" w:lastRow="0" w:firstColumn="0" w:lastColumn="0" w:noHBand="0" w:noVBand="0" w:val="0020"/>
      </w:tblPr>
      <w:tblGrid>
        <w:gridCol w:w="4698"/>
        <w:gridCol w:w="1275"/>
        <w:gridCol w:w="1141"/>
        <w:gridCol w:w="805"/>
      </w:tblGrid>
      <w:tr>
        <w:trPr>
          <w:tblHeader w:val="on"/>
        </w:trPr>
        <w:tc>
          <w:tcPr/>
          <w:p>
            <w:pPr>
              <w:pStyle w:val="Compact"/>
            </w:pPr>
            <w:r>
              <w:t xml:space="preserve">Analysis</w:t>
            </w:r>
          </w:p>
        </w:tc>
        <w:tc>
          <w:tcPr/>
          <w:p>
            <w:pPr>
              <w:pStyle w:val="Compact"/>
            </w:pPr>
            <w:r>
              <w:t xml:space="preserve">2013 -&gt; 2023</w:t>
            </w:r>
          </w:p>
        </w:tc>
        <w:tc>
          <w:tcPr/>
          <w:p>
            <w:pPr>
              <w:pStyle w:val="Compact"/>
            </w:pPr>
            <w:r>
              <w:t xml:space="preserve">Slope (pp/year)</w:t>
            </w:r>
          </w:p>
        </w:tc>
        <w:tc>
          <w:tcPr/>
          <w:p>
            <w:pPr>
              <w:pStyle w:val="Compact"/>
            </w:pPr>
            <w:r>
              <w:t xml:space="preserve">p-value</w:t>
            </w:r>
          </w:p>
        </w:tc>
      </w:tr>
      <w:tr>
        <w:tc>
          <w:tcPr/>
          <w:p>
            <w:pPr>
              <w:pStyle w:val="Compact"/>
            </w:pPr>
            <w:r>
              <w:t xml:space="preserve">Fixed membership: OB/GYN-based share (ABOG-URPS + MIGS + Gen OB/GYN)</w:t>
            </w:r>
          </w:p>
        </w:tc>
        <w:tc>
          <w:tcPr/>
          <w:p>
            <w:pPr>
              <w:pStyle w:val="Compact"/>
            </w:pPr>
            <w:r>
              <w:t xml:space="preserve">16.5% → 13.9%</w:t>
            </w:r>
          </w:p>
        </w:tc>
        <w:tc>
          <w:tcPr/>
          <w:p>
            <w:pPr>
              <w:pStyle w:val="Compact"/>
            </w:pPr>
            <w:r>
              <w:t xml:space="preserve">-0.32</w:t>
            </w:r>
          </w:p>
        </w:tc>
        <w:tc>
          <w:tcPr/>
          <w:p>
            <w:pPr>
              <w:pStyle w:val="Compact"/>
            </w:pPr>
            <w:r>
              <w:t xml:space="preserve">0.019</w:t>
            </w:r>
          </w:p>
        </w:tc>
      </w:tr>
      <w:tr>
        <w:tc>
          <w:tcPr/>
          <w:p>
            <w:pPr>
              <w:pStyle w:val="Compact"/>
            </w:pPr>
            <w:r>
              <w:t xml:space="preserve">Fixed membership: all-pathway URPS share</w:t>
            </w:r>
          </w:p>
        </w:tc>
        <w:tc>
          <w:tcPr/>
          <w:p>
            <w:pPr>
              <w:pStyle w:val="Compact"/>
            </w:pPr>
            <w:r>
              <w:t xml:space="preserve">55.1% → 68.0%</w:t>
            </w:r>
          </w:p>
        </w:tc>
        <w:tc>
          <w:tcPr/>
          <w:p>
            <w:pPr>
              <w:pStyle w:val="Compact"/>
            </w:pPr>
            <w:r>
              <w:t xml:space="preserve">1.12</w:t>
            </w:r>
          </w:p>
        </w:tc>
        <w:tc>
          <w:tcPr/>
          <w:p>
            <w:pPr>
              <w:pStyle w:val="Compact"/>
            </w:pPr>
            <w:r>
              <w:t xml:space="preserve">&lt;0.001</w:t>
            </w:r>
          </w:p>
        </w:tc>
      </w:tr>
      <w:tr>
        <w:tc>
          <w:tcPr/>
          <w:p>
            <w:pPr>
              <w:pStyle w:val="Compact"/>
            </w:pPr>
            <w:r>
              <w:t xml:space="preserve">Modal: URPS share</w:t>
            </w:r>
          </w:p>
        </w:tc>
        <w:tc>
          <w:tcPr/>
          <w:p>
            <w:pPr>
              <w:pStyle w:val="Compact"/>
            </w:pPr>
            <w:r>
              <w:t xml:space="preserve">n/a</w:t>
            </w:r>
          </w:p>
        </w:tc>
        <w:tc>
          <w:tcPr/>
          <w:p>
            <w:pPr>
              <w:pStyle w:val="Compact"/>
            </w:pPr>
            <w:r>
              <w:t xml:space="preserve">1.20</w:t>
            </w:r>
          </w:p>
        </w:tc>
        <w:tc>
          <w:tcPr/>
          <w:p>
            <w:pPr>
              <w:pStyle w:val="Compact"/>
            </w:pPr>
            <w:r>
              <w:t xml:space="preserve">&lt;0.001</w:t>
            </w:r>
          </w:p>
        </w:tc>
      </w:tr>
      <w:tr>
        <w:tc>
          <w:tcPr/>
          <w:p>
            <w:pPr>
              <w:pStyle w:val="Compact"/>
            </w:pPr>
            <w:r>
              <w:t xml:space="preserve">Ever-URPS/MIGS: URPS share</w:t>
            </w:r>
          </w:p>
        </w:tc>
        <w:tc>
          <w:tcPr/>
          <w:p>
            <w:pPr>
              <w:pStyle w:val="Compact"/>
            </w:pPr>
            <w:r>
              <w:t xml:space="preserve">n/a</w:t>
            </w:r>
          </w:p>
        </w:tc>
        <w:tc>
          <w:tcPr/>
          <w:p>
            <w:pPr>
              <w:pStyle w:val="Compact"/>
            </w:pPr>
            <w:r>
              <w:t xml:space="preserve">1.17</w:t>
            </w:r>
          </w:p>
        </w:tc>
        <w:tc>
          <w:tcPr/>
          <w:p>
            <w:pPr>
              <w:pStyle w:val="Compact"/>
            </w:pPr>
            <w:r>
              <w:t xml:space="preserve">&lt;0.001</w:t>
            </w:r>
          </w:p>
        </w:tc>
      </w:tr>
      <w:tr>
        <w:tc>
          <w:tcPr/>
          <w:p>
            <w:pPr>
              <w:pStyle w:val="Compact"/>
            </w:pPr>
            <w:r>
              <w:rPr>
                <w:b/>
                <w:bCs/>
              </w:rPr>
              <w:t xml:space="preserve">Certification-gated: URPS share (time-varying)</w:t>
            </w:r>
          </w:p>
        </w:tc>
        <w:tc>
          <w:tcPr/>
          <w:p>
            <w:pPr>
              <w:pStyle w:val="Compact"/>
            </w:pPr>
            <w:r>
              <w:rPr>
                <w:b/>
                <w:bCs/>
              </w:rPr>
              <w:t xml:space="preserve">43.6% → 66.9%</w:t>
            </w:r>
          </w:p>
        </w:tc>
        <w:tc>
          <w:tcPr/>
          <w:p>
            <w:pPr>
              <w:pStyle w:val="Compact"/>
            </w:pPr>
            <w:r>
              <w:rPr>
                <w:b/>
                <w:bCs/>
              </w:rPr>
              <w:t xml:space="preserve">1.76</w:t>
            </w:r>
          </w:p>
        </w:tc>
        <w:tc>
          <w:tcPr/>
          <w:p>
            <w:pPr>
              <w:pStyle w:val="Compact"/>
            </w:pPr>
            <w:r>
              <w:rPr>
                <w:b/>
                <w:bCs/>
              </w:rPr>
              <w:t xml:space="preserve">&lt;0.001</w:t>
            </w:r>
          </w:p>
        </w:tc>
      </w:tr>
      <w:tr>
        <w:tc>
          <w:tcPr/>
          <w:p>
            <w:pPr>
              <w:pStyle w:val="Compact"/>
            </w:pPr>
            <w:r>
              <w:t xml:space="preserve">Certification-gated: OB/GYN-based share (time-varying)</w:t>
            </w:r>
          </w:p>
        </w:tc>
        <w:tc>
          <w:tcPr/>
          <w:p>
            <w:pPr>
              <w:pStyle w:val="Compact"/>
            </w:pPr>
            <w:r>
              <w:t xml:space="preserve">n/a</w:t>
            </w:r>
          </w:p>
        </w:tc>
        <w:tc>
          <w:tcPr/>
          <w:p>
            <w:pPr>
              <w:pStyle w:val="Compact"/>
            </w:pPr>
            <w:r>
              <w:t xml:space="preserve">0.79</w:t>
            </w:r>
          </w:p>
        </w:tc>
        <w:tc>
          <w:tcPr/>
          <w:p>
            <w:pPr>
              <w:pStyle w:val="Compact"/>
            </w:pPr>
            <w:r>
              <w:t xml:space="preserve">&lt;0.001</w:t>
            </w:r>
          </w:p>
        </w:tc>
      </w:tr>
    </w:tbl>
    <w:p>
      <w:r>
        <w:pict>
          <v:rect style="width:0;height:1.5pt" o:hralign="center" o:hrstd="t" o:hr="t"/>
        </w:pict>
      </w:r>
    </w:p>
    <w:bookmarkEnd w:id="33"/>
    <w:bookmarkStart w:id="43" w:name="figures"/>
    <w:p>
      <w:pPr>
        <w:pStyle w:val="Heading2"/>
      </w:pPr>
      <w:r>
        <w:t xml:space="preserve">Figures</w:t>
      </w:r>
    </w:p>
    <w:p>
      <w:pPr>
        <w:pStyle w:val="FirstParagraph"/>
      </w:pPr>
      <w:r>
        <w:drawing>
          <wp:inline>
            <wp:extent cx="5334000" cy="3259666"/>
            <wp:effectExtent b="0" l="0" r="0" t="0"/>
            <wp:docPr descr="" title="" id="35" name="Picture"/>
            <a:graphic>
              <a:graphicData uri="http://schemas.openxmlformats.org/drawingml/2006/picture">
                <pic:pic>
                  <pic:nvPicPr>
                    <pic:cNvPr descr="/Users/tylermuffly/sling-volume-patterns/output/figures/figure_rate_per_100k.png" id="36" name="Picture"/>
                    <pic:cNvPicPr>
                      <a:picLocks noChangeArrowheads="1" noChangeAspect="1"/>
                    </pic:cNvPicPr>
                  </pic:nvPicPr>
                  <pic:blipFill>
                    <a:blip r:embed="rId34"/>
                    <a:stretch>
                      <a:fillRect/>
                    </a:stretch>
                  </pic:blipFill>
                  <pic:spPr bwMode="auto">
                    <a:xfrm>
                      <a:off x="0" y="0"/>
                      <a:ext cx="5334000" cy="3259666"/>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Utilization of sling surgery for stress urinary incontinence (CPT 57288) in fee-for-service Medicare, 2013–2023. Bars show reported services; the line shows the denominator-adjusted rate per 100,000 female Part B fee-for-service beneficiaries. The rate declined less than the raw count (-15.3% versus -27.7%) because the fee-for-service population contracted by -14.7%; the linear trend in the rate was not significant (p = 0.098).</w:t>
      </w:r>
    </w:p>
    <w:p>
      <w:pPr>
        <w:pStyle w:val="BodyText"/>
      </w:pPr>
      <w:r>
        <w:drawing>
          <wp:inline>
            <wp:extent cx="5334000" cy="3368842"/>
            <wp:effectExtent b="0" l="0" r="0" t="0"/>
            <wp:docPr descr="" title="" id="38" name="Picture"/>
            <a:graphic>
              <a:graphicData uri="http://schemas.openxmlformats.org/drawingml/2006/picture">
                <pic:pic>
                  <pic:nvPicPr>
                    <pic:cNvPr descr="/Users/tylermuffly/sling-volume-patterns/output/figures/figure_market_share.png" id="39" name="Picture"/>
                    <pic:cNvPicPr>
                      <a:picLocks noChangeArrowheads="1" noChangeAspect="1"/>
                    </pic:cNvPicPr>
                  </pic:nvPicPr>
                  <pic:blipFill>
                    <a:blip r:embed="rId37"/>
                    <a:stretch>
                      <a:fillRect/>
                    </a:stretch>
                  </pic:blipFill>
                  <pic:spPr bwMode="auto">
                    <a:xfrm>
                      <a:off x="0" y="0"/>
                      <a:ext cx="5334000" cy="3368842"/>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Market share of sling operations for stress urinary incontinence (CPT 57288) by specialty, fee-for-service Medicare PUF 2013–2023. Stacked areas are the fixed-membership specialty shares; the two black lines are the URPS share under fixed-membership (solid) and certification-gated (dashed) classification. Fixed membership (all-pathway URPS share 55.1% to 68%; +1.12 percentage points/year) and certification-gated classification (43.6% to 66.9%; +1.76 percentage points/year) differ in the estimated rate of increase and converge by 2023.</w:t>
      </w:r>
    </w:p>
    <w:p>
      <w:pPr>
        <w:pStyle w:val="BodyText"/>
      </w:pPr>
      <w:r>
        <w:drawing>
          <wp:inline>
            <wp:extent cx="5334000" cy="3879272"/>
            <wp:effectExtent b="0" l="0" r="0" t="0"/>
            <wp:docPr descr="" title="" id="41" name="Picture"/>
            <a:graphic>
              <a:graphicData uri="http://schemas.openxmlformats.org/drawingml/2006/picture">
                <pic:pic>
                  <pic:nvPicPr>
                    <pic:cNvPr descr="/Users/tylermuffly/sling-volume-patterns/output/figures/figure_classification_flow.png" id="42" name="Picture"/>
                    <pic:cNvPicPr>
                      <a:picLocks noChangeArrowheads="1" noChangeAspect="1"/>
                    </pic:cNvPicPr>
                  </pic:nvPicPr>
                  <pic:blipFill>
                    <a:blip r:embed="rId40"/>
                    <a:stretch>
                      <a:fillRect/>
                    </a:stretch>
                  </pic:blipFill>
                  <pic:spPr bwMode="auto">
                    <a:xfrm>
                      <a:off x="0" y="0"/>
                      <a:ext cx="5334000" cy="3879272"/>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Provider-classification flow for CPT 57288. Billers are assigned to specialty groups by CMS provider type cross-referenced with the ABOG and ABU rosters. Billers with neither an OB/GYN nor urology CMS type and no ABOG match (323 NPIs) are predominantly organizations and non-physician clinicians; organizational NPIs (NPPES entity type 2: ambulatory surgical centers, hospitals, laboratories; 123) are excluded and the remaining individual clinicians (200) form an Other/uncertain group, rather than being counted as urologists. Specialty-specific counts exceed the analytic cohort because some physicians changed groups across years.</w:t>
      </w:r>
    </w:p>
    <w:p>
      <w:r>
        <w:pict>
          <v:rect style="width:0;height:1.5pt" o:hralign="center" o:hrstd="t" o:hr="t"/>
        </w:pict>
      </w:r>
    </w:p>
    <w:bookmarkEnd w:id="43"/>
    <w:bookmarkStart w:id="44" w:name="supplementary-information"/>
    <w:p>
      <w:pPr>
        <w:pStyle w:val="Heading2"/>
      </w:pPr>
      <w:r>
        <w:t xml:space="preserve">Supplementary Information</w:t>
      </w:r>
    </w:p>
    <w:p>
      <w:pPr>
        <w:pStyle w:val="FirstParagraph"/>
      </w:pPr>
      <w:r>
        <w:t xml:space="preserve">Supplementary tables are generated by pipeline step 06 from the same frozen cache as the main results, so they remain consistent with the numbers above.</w:t>
      </w:r>
    </w:p>
    <w:p>
      <w:pPr>
        <w:pStyle w:val="BodyText"/>
      </w:pPr>
      <w:r>
        <w:rPr>
          <w:b/>
          <w:bCs/>
        </w:rPr>
        <w:t xml:space="preserve">Supplementary Table S1.</w:t>
      </w:r>
      <w:r>
        <w:t xml:space="preserve"> </w:t>
      </w:r>
      <w:r>
        <w:t xml:space="preserve">Annual procedural concentration by calendar year and specialty. Total procedures, observable surgeons, median annual volume, Gini coefficient, HHI, and top-decile, top-quintile, and bottom-half shares are reported for every year. Within-year concentration was low and stable across the study period.</w:t>
      </w:r>
    </w:p>
    <w:tbl>
      <w:tblPr>
        <w:tblStyle w:val="Table"/>
        <w:tblW w:type="pct" w:w="5000"/>
        <w:tblLayout w:type="fixed"/>
        <w:tblLook w:firstRow="1" w:lastRow="0" w:firstColumn="0" w:lastColumn="0" w:noHBand="0" w:noVBand="0" w:val="0020"/>
      </w:tblPr>
      <w:tblGrid>
        <w:gridCol w:w="424"/>
        <w:gridCol w:w="1202"/>
        <w:gridCol w:w="848"/>
        <w:gridCol w:w="990"/>
        <w:gridCol w:w="1272"/>
        <w:gridCol w:w="495"/>
        <w:gridCol w:w="565"/>
        <w:gridCol w:w="636"/>
        <w:gridCol w:w="636"/>
        <w:gridCol w:w="848"/>
      </w:tblGrid>
      <w:tr>
        <w:trPr>
          <w:tblHeader w:val="on"/>
        </w:trPr>
        <w:tc>
          <w:tcPr/>
          <w:p>
            <w:pPr>
              <w:pStyle w:val="Compact"/>
            </w:pPr>
            <w:r>
              <w:t xml:space="preserve">Year</w:t>
            </w:r>
          </w:p>
        </w:tc>
        <w:tc>
          <w:tcPr/>
          <w:p>
            <w:pPr>
              <w:pStyle w:val="Compact"/>
            </w:pPr>
            <w:r>
              <w:t xml:space="preserve">Specialty</w:t>
            </w:r>
          </w:p>
        </w:tc>
        <w:tc>
          <w:tcPr/>
          <w:p>
            <w:pPr>
              <w:pStyle w:val="Compact"/>
            </w:pPr>
            <w:r>
              <w:t xml:space="preserve">N surgeons</w:t>
            </w:r>
          </w:p>
        </w:tc>
        <w:tc>
          <w:tcPr/>
          <w:p>
            <w:pPr>
              <w:pStyle w:val="Compact"/>
            </w:pPr>
            <w:r>
              <w:t xml:space="preserve">N procedures</w:t>
            </w:r>
          </w:p>
        </w:tc>
        <w:tc>
          <w:tcPr/>
          <w:p>
            <w:pPr>
              <w:pStyle w:val="Compact"/>
            </w:pPr>
            <w:r>
              <w:t xml:space="preserve">Median (p25–p75)</w:t>
            </w:r>
          </w:p>
        </w:tc>
        <w:tc>
          <w:tcPr/>
          <w:p>
            <w:pPr>
              <w:pStyle w:val="Compact"/>
            </w:pPr>
            <w:r>
              <w:t xml:space="preserve">Gini</w:t>
            </w:r>
          </w:p>
        </w:tc>
        <w:tc>
          <w:tcPr/>
          <w:p>
            <w:pPr>
              <w:pStyle w:val="Compact"/>
            </w:pPr>
            <w:r>
              <w:t xml:space="preserve">HHI</w:t>
            </w:r>
          </w:p>
        </w:tc>
        <w:tc>
          <w:tcPr/>
          <w:p>
            <w:pPr>
              <w:pStyle w:val="Compact"/>
            </w:pPr>
            <w:r>
              <w:t xml:space="preserve">Top 10%</w:t>
            </w:r>
          </w:p>
        </w:tc>
        <w:tc>
          <w:tcPr/>
          <w:p>
            <w:pPr>
              <w:pStyle w:val="Compact"/>
            </w:pPr>
            <w:r>
              <w:t xml:space="preserve">Top 20%</w:t>
            </w:r>
          </w:p>
        </w:tc>
        <w:tc>
          <w:tcPr/>
          <w:p>
            <w:pPr>
              <w:pStyle w:val="Compact"/>
            </w:pPr>
            <w:r>
              <w:t xml:space="preserve">Bottom 50%</w:t>
            </w:r>
          </w:p>
        </w:tc>
      </w:tr>
      <w:tr>
        <w:tc>
          <w:tcPr/>
          <w:p>
            <w:pPr>
              <w:pStyle w:val="Compact"/>
            </w:pPr>
            <w:r>
              <w:t xml:space="preserve">2013</w:t>
            </w:r>
          </w:p>
        </w:tc>
        <w:tc>
          <w:tcPr/>
          <w:p>
            <w:pPr>
              <w:pStyle w:val="Compact"/>
            </w:pPr>
            <w:r>
              <w:t xml:space="preserve">All</w:t>
            </w:r>
          </w:p>
        </w:tc>
        <w:tc>
          <w:tcPr/>
          <w:p>
            <w:pPr>
              <w:pStyle w:val="Compact"/>
            </w:pPr>
            <w:r>
              <w:t xml:space="preserve">779</w:t>
            </w:r>
          </w:p>
        </w:tc>
        <w:tc>
          <w:tcPr/>
          <w:p>
            <w:pPr>
              <w:pStyle w:val="Compact"/>
            </w:pPr>
            <w:r>
              <w:t xml:space="preserve">15872</w:t>
            </w:r>
          </w:p>
        </w:tc>
        <w:tc>
          <w:tcPr/>
          <w:p>
            <w:pPr>
              <w:pStyle w:val="Compact"/>
            </w:pPr>
            <w:r>
              <w:t xml:space="preserve">16 (13–23)</w:t>
            </w:r>
          </w:p>
        </w:tc>
        <w:tc>
          <w:tcPr/>
          <w:p>
            <w:pPr>
              <w:pStyle w:val="Compact"/>
            </w:pPr>
            <w:r>
              <w:t xml:space="preserve">0.275</w:t>
            </w:r>
          </w:p>
        </w:tc>
        <w:tc>
          <w:tcPr/>
          <w:p>
            <w:pPr>
              <w:pStyle w:val="Compact"/>
            </w:pPr>
            <w:r>
              <w:t xml:space="preserve">17.3</w:t>
            </w:r>
          </w:p>
        </w:tc>
        <w:tc>
          <w:tcPr/>
          <w:p>
            <w:pPr>
              <w:pStyle w:val="Compact"/>
            </w:pPr>
            <w:r>
              <w:t xml:space="preserve">24.4%</w:t>
            </w:r>
          </w:p>
        </w:tc>
        <w:tc>
          <w:tcPr/>
          <w:p>
            <w:pPr>
              <w:pStyle w:val="Compact"/>
            </w:pPr>
            <w:r>
              <w:t xml:space="preserve">39.3%</w:t>
            </w:r>
          </w:p>
        </w:tc>
        <w:tc>
          <w:tcPr/>
          <w:p>
            <w:pPr>
              <w:pStyle w:val="Compact"/>
            </w:pPr>
            <w:r>
              <w:t xml:space="preserve">31.5%</w:t>
            </w:r>
          </w:p>
        </w:tc>
      </w:tr>
      <w:tr>
        <w:tc>
          <w:tcPr/>
          <w:p>
            <w:pPr>
              <w:pStyle w:val="Compact"/>
            </w:pPr>
            <w:r>
              <w:t xml:space="preserve">2013</w:t>
            </w:r>
          </w:p>
        </w:tc>
        <w:tc>
          <w:tcPr/>
          <w:p>
            <w:pPr>
              <w:pStyle w:val="Compact"/>
            </w:pPr>
            <w:r>
              <w:t xml:space="preserve">MIGS</w:t>
            </w:r>
          </w:p>
        </w:tc>
        <w:tc>
          <w:tcPr/>
          <w:p>
            <w:pPr>
              <w:pStyle w:val="Compact"/>
            </w:pPr>
            <w:r>
              <w:t xml:space="preserve">3</w:t>
            </w:r>
          </w:p>
        </w:tc>
        <w:tc>
          <w:tcPr/>
          <w:p>
            <w:pPr>
              <w:pStyle w:val="Compact"/>
            </w:pPr>
            <w:r>
              <w:t xml:space="preserve">35</w:t>
            </w:r>
          </w:p>
        </w:tc>
        <w:tc>
          <w:tcPr/>
          <w:p>
            <w:pPr>
              <w:pStyle w:val="Compact"/>
            </w:pPr>
            <w:r>
              <w:t xml:space="preserve">12 (12–12)</w:t>
            </w:r>
          </w:p>
        </w:tc>
        <w:tc>
          <w:tcPr/>
          <w:p>
            <w:pPr>
              <w:pStyle w:val="Compact"/>
            </w:pPr>
            <w:r>
              <w:t xml:space="preserve">0.019</w:t>
            </w:r>
          </w:p>
        </w:tc>
        <w:tc>
          <w:tcPr/>
          <w:p>
            <w:pPr>
              <w:pStyle w:val="Compact"/>
            </w:pPr>
            <w:r>
              <w:t xml:space="preserve">3338.8</w:t>
            </w:r>
          </w:p>
        </w:tc>
        <w:tc>
          <w:tcPr/>
          <w:p>
            <w:pPr>
              <w:pStyle w:val="Compact"/>
            </w:pPr>
            <w:r>
              <w:t xml:space="preserve">34.3%</w:t>
            </w:r>
          </w:p>
        </w:tc>
        <w:tc>
          <w:tcPr/>
          <w:p>
            <w:pPr>
              <w:pStyle w:val="Compact"/>
            </w:pPr>
            <w:r>
              <w:t xml:space="preserve">34.3%</w:t>
            </w:r>
          </w:p>
        </w:tc>
        <w:tc>
          <w:tcPr/>
          <w:p>
            <w:pPr>
              <w:pStyle w:val="Compact"/>
            </w:pPr>
            <w:r>
              <w:t xml:space="preserve">31.4%</w:t>
            </w:r>
          </w:p>
        </w:tc>
      </w:tr>
      <w:tr>
        <w:tc>
          <w:tcPr/>
          <w:p>
            <w:pPr>
              <w:pStyle w:val="Compact"/>
            </w:pPr>
            <w:r>
              <w:t xml:space="preserve">2013</w:t>
            </w:r>
          </w:p>
        </w:tc>
        <w:tc>
          <w:tcPr/>
          <w:p>
            <w:pPr>
              <w:pStyle w:val="Compact"/>
            </w:pPr>
            <w:r>
              <w:t xml:space="preserve">General OB/GYN</w:t>
            </w:r>
          </w:p>
        </w:tc>
        <w:tc>
          <w:tcPr/>
          <w:p>
            <w:pPr>
              <w:pStyle w:val="Compact"/>
            </w:pPr>
            <w:r>
              <w:t xml:space="preserve">142</w:t>
            </w:r>
          </w:p>
        </w:tc>
        <w:tc>
          <w:tcPr/>
          <w:p>
            <w:pPr>
              <w:pStyle w:val="Compact"/>
            </w:pPr>
            <w:r>
              <w:t xml:space="preserve">2580</w:t>
            </w:r>
          </w:p>
        </w:tc>
        <w:tc>
          <w:tcPr/>
          <w:p>
            <w:pPr>
              <w:pStyle w:val="Compact"/>
            </w:pPr>
            <w:r>
              <w:t xml:space="preserve">14 (12–20)</w:t>
            </w:r>
          </w:p>
        </w:tc>
        <w:tc>
          <w:tcPr/>
          <w:p>
            <w:pPr>
              <w:pStyle w:val="Compact"/>
            </w:pPr>
            <w:r>
              <w:t xml:space="preserve">0.257</w:t>
            </w:r>
          </w:p>
        </w:tc>
        <w:tc>
          <w:tcPr/>
          <w:p>
            <w:pPr>
              <w:pStyle w:val="Compact"/>
            </w:pPr>
            <w:r>
              <w:t xml:space="preserve">93.1</w:t>
            </w:r>
          </w:p>
        </w:tc>
        <w:tc>
          <w:tcPr/>
          <w:p>
            <w:pPr>
              <w:pStyle w:val="Compact"/>
            </w:pPr>
            <w:r>
              <w:t xml:space="preserve">25.2%</w:t>
            </w:r>
          </w:p>
        </w:tc>
        <w:tc>
          <w:tcPr/>
          <w:p>
            <w:pPr>
              <w:pStyle w:val="Compact"/>
            </w:pPr>
            <w:r>
              <w:t xml:space="preserve">39.0%</w:t>
            </w:r>
          </w:p>
        </w:tc>
        <w:tc>
          <w:tcPr/>
          <w:p>
            <w:pPr>
              <w:pStyle w:val="Compact"/>
            </w:pPr>
            <w:r>
              <w:t xml:space="preserve">33.1%</w:t>
            </w:r>
          </w:p>
        </w:tc>
      </w:tr>
      <w:tr>
        <w:tc>
          <w:tcPr/>
          <w:p>
            <w:pPr>
              <w:pStyle w:val="Compact"/>
            </w:pPr>
            <w:r>
              <w:t xml:space="preserve">2013</w:t>
            </w:r>
          </w:p>
        </w:tc>
        <w:tc>
          <w:tcPr/>
          <w:p>
            <w:pPr>
              <w:pStyle w:val="Compact"/>
            </w:pPr>
            <w:r>
              <w:t xml:space="preserve">Urology</w:t>
            </w:r>
          </w:p>
        </w:tc>
        <w:tc>
          <w:tcPr/>
          <w:p>
            <w:pPr>
              <w:pStyle w:val="Compact"/>
            </w:pPr>
            <w:r>
              <w:t xml:space="preserve">211</w:t>
            </w:r>
          </w:p>
        </w:tc>
        <w:tc>
          <w:tcPr/>
          <w:p>
            <w:pPr>
              <w:pStyle w:val="Compact"/>
            </w:pPr>
            <w:r>
              <w:t xml:space="preserve">3563</w:t>
            </w:r>
          </w:p>
        </w:tc>
        <w:tc>
          <w:tcPr/>
          <w:p>
            <w:pPr>
              <w:pStyle w:val="Compact"/>
            </w:pPr>
            <w:r>
              <w:t xml:space="preserve">15 (12–19)</w:t>
            </w:r>
          </w:p>
        </w:tc>
        <w:tc>
          <w:tcPr/>
          <w:p>
            <w:pPr>
              <w:pStyle w:val="Compact"/>
            </w:pPr>
            <w:r>
              <w:t xml:space="preserve">0.198</w:t>
            </w:r>
          </w:p>
        </w:tc>
        <w:tc>
          <w:tcPr/>
          <w:p>
            <w:pPr>
              <w:pStyle w:val="Compact"/>
            </w:pPr>
            <w:r>
              <w:t xml:space="preserve">55.9</w:t>
            </w:r>
          </w:p>
        </w:tc>
        <w:tc>
          <w:tcPr/>
          <w:p>
            <w:pPr>
              <w:pStyle w:val="Compact"/>
            </w:pPr>
            <w:r>
              <w:t xml:space="preserve">20.8%</w:t>
            </w:r>
          </w:p>
        </w:tc>
        <w:tc>
          <w:tcPr/>
          <w:p>
            <w:pPr>
              <w:pStyle w:val="Compact"/>
            </w:pPr>
            <w:r>
              <w:t xml:space="preserve">33.7%</w:t>
            </w:r>
          </w:p>
        </w:tc>
        <w:tc>
          <w:tcPr/>
          <w:p>
            <w:pPr>
              <w:pStyle w:val="Compact"/>
            </w:pPr>
            <w:r>
              <w:t xml:space="preserve">36.3%</w:t>
            </w:r>
          </w:p>
        </w:tc>
      </w:tr>
      <w:tr>
        <w:tc>
          <w:tcPr/>
          <w:p>
            <w:pPr>
              <w:pStyle w:val="Compact"/>
            </w:pPr>
            <w:r>
              <w:t xml:space="preserve">2013</w:t>
            </w:r>
          </w:p>
        </w:tc>
        <w:tc>
          <w:tcPr/>
          <w:p>
            <w:pPr>
              <w:pStyle w:val="Compact"/>
            </w:pPr>
            <w:r>
              <w:t xml:space="preserve">Other/uncertain</w:t>
            </w:r>
          </w:p>
        </w:tc>
        <w:tc>
          <w:tcPr/>
          <w:p>
            <w:pPr>
              <w:pStyle w:val="Compact"/>
            </w:pPr>
            <w:r>
              <w:t xml:space="preserve">38</w:t>
            </w:r>
          </w:p>
        </w:tc>
        <w:tc>
          <w:tcPr/>
          <w:p>
            <w:pPr>
              <w:pStyle w:val="Compact"/>
            </w:pPr>
            <w:r>
              <w:t xml:space="preserve">945</w:t>
            </w:r>
          </w:p>
        </w:tc>
        <w:tc>
          <w:tcPr/>
          <w:p>
            <w:pPr>
              <w:pStyle w:val="Compact"/>
            </w:pPr>
            <w:r>
              <w:t xml:space="preserve">15 (12–35)</w:t>
            </w:r>
          </w:p>
        </w:tc>
        <w:tc>
          <w:tcPr/>
          <w:p>
            <w:pPr>
              <w:pStyle w:val="Compact"/>
            </w:pPr>
            <w:r>
              <w:t xml:space="preserve">0.363</w:t>
            </w:r>
          </w:p>
        </w:tc>
        <w:tc>
          <w:tcPr/>
          <w:p>
            <w:pPr>
              <w:pStyle w:val="Compact"/>
            </w:pPr>
            <w:r>
              <w:t xml:space="preserve">408.8</w:t>
            </w:r>
          </w:p>
        </w:tc>
        <w:tc>
          <w:tcPr/>
          <w:p>
            <w:pPr>
              <w:pStyle w:val="Compact"/>
            </w:pPr>
            <w:r>
              <w:t xml:space="preserve">28.5%</w:t>
            </w:r>
          </w:p>
        </w:tc>
        <w:tc>
          <w:tcPr/>
          <w:p>
            <w:pPr>
              <w:pStyle w:val="Compact"/>
            </w:pPr>
            <w:r>
              <w:t xml:space="preserve">47.4%</w:t>
            </w:r>
          </w:p>
        </w:tc>
        <w:tc>
          <w:tcPr/>
          <w:p>
            <w:pPr>
              <w:pStyle w:val="Compact"/>
            </w:pPr>
            <w:r>
              <w:t xml:space="preserve">25.4%</w:t>
            </w:r>
          </w:p>
        </w:tc>
      </w:tr>
      <w:tr>
        <w:tc>
          <w:tcPr/>
          <w:p>
            <w:pPr>
              <w:pStyle w:val="Compact"/>
            </w:pPr>
            <w:r>
              <w:t xml:space="preserve">2013</w:t>
            </w:r>
          </w:p>
        </w:tc>
        <w:tc>
          <w:tcPr/>
          <w:p>
            <w:pPr>
              <w:pStyle w:val="Compact"/>
            </w:pPr>
            <w:r>
              <w:t xml:space="preserve">URPS (OB/GYN)</w:t>
            </w:r>
          </w:p>
        </w:tc>
        <w:tc>
          <w:tcPr/>
          <w:p>
            <w:pPr>
              <w:pStyle w:val="Compact"/>
            </w:pPr>
            <w:r>
              <w:t xml:space="preserve">304</w:t>
            </w:r>
          </w:p>
        </w:tc>
        <w:tc>
          <w:tcPr/>
          <w:p>
            <w:pPr>
              <w:pStyle w:val="Compact"/>
            </w:pPr>
            <w:r>
              <w:t xml:space="preserve">7266</w:t>
            </w:r>
          </w:p>
        </w:tc>
        <w:tc>
          <w:tcPr/>
          <w:p>
            <w:pPr>
              <w:pStyle w:val="Compact"/>
            </w:pPr>
            <w:r>
              <w:t xml:space="preserve">19 (14–29)</w:t>
            </w:r>
          </w:p>
        </w:tc>
        <w:tc>
          <w:tcPr/>
          <w:p>
            <w:pPr>
              <w:pStyle w:val="Compact"/>
            </w:pPr>
            <w:r>
              <w:t xml:space="preserve">0.294</w:t>
            </w:r>
          </w:p>
        </w:tc>
        <w:tc>
          <w:tcPr/>
          <w:p>
            <w:pPr>
              <w:pStyle w:val="Compact"/>
            </w:pPr>
            <w:r>
              <w:t xml:space="preserve">44.3</w:t>
            </w:r>
          </w:p>
        </w:tc>
        <w:tc>
          <w:tcPr/>
          <w:p>
            <w:pPr>
              <w:pStyle w:val="Compact"/>
            </w:pPr>
            <w:r>
              <w:t xml:space="preserve">24.2%</w:t>
            </w:r>
          </w:p>
        </w:tc>
        <w:tc>
          <w:tcPr/>
          <w:p>
            <w:pPr>
              <w:pStyle w:val="Compact"/>
            </w:pPr>
            <w:r>
              <w:t xml:space="preserve">39.4%</w:t>
            </w:r>
          </w:p>
        </w:tc>
        <w:tc>
          <w:tcPr/>
          <w:p>
            <w:pPr>
              <w:pStyle w:val="Compact"/>
            </w:pPr>
            <w:r>
              <w:t xml:space="preserve">29.8%</w:t>
            </w:r>
          </w:p>
        </w:tc>
      </w:tr>
      <w:tr>
        <w:tc>
          <w:tcPr/>
          <w:p>
            <w:pPr>
              <w:pStyle w:val="Compact"/>
            </w:pPr>
            <w:r>
              <w:t xml:space="preserve">2013</w:t>
            </w:r>
          </w:p>
        </w:tc>
        <w:tc>
          <w:tcPr/>
          <w:p>
            <w:pPr>
              <w:pStyle w:val="Compact"/>
            </w:pPr>
            <w:r>
              <w:t xml:space="preserve">URPS (urology)</w:t>
            </w:r>
          </w:p>
        </w:tc>
        <w:tc>
          <w:tcPr/>
          <w:p>
            <w:pPr>
              <w:pStyle w:val="Compact"/>
            </w:pPr>
            <w:r>
              <w:t xml:space="preserve">81</w:t>
            </w:r>
          </w:p>
        </w:tc>
        <w:tc>
          <w:tcPr/>
          <w:p>
            <w:pPr>
              <w:pStyle w:val="Compact"/>
            </w:pPr>
            <w:r>
              <w:t xml:space="preserve">1483</w:t>
            </w:r>
          </w:p>
        </w:tc>
        <w:tc>
          <w:tcPr/>
          <w:p>
            <w:pPr>
              <w:pStyle w:val="Compact"/>
            </w:pPr>
            <w:r>
              <w:t xml:space="preserve">16 (14–20)</w:t>
            </w:r>
          </w:p>
        </w:tc>
        <w:tc>
          <w:tcPr/>
          <w:p>
            <w:pPr>
              <w:pStyle w:val="Compact"/>
            </w:pPr>
            <w:r>
              <w:t xml:space="preserve">0.199</w:t>
            </w:r>
          </w:p>
        </w:tc>
        <w:tc>
          <w:tcPr/>
          <w:p>
            <w:pPr>
              <w:pStyle w:val="Compact"/>
            </w:pPr>
            <w:r>
              <w:t xml:space="preserve">146.1</w:t>
            </w:r>
          </w:p>
        </w:tc>
        <w:tc>
          <w:tcPr/>
          <w:p>
            <w:pPr>
              <w:pStyle w:val="Compact"/>
            </w:pPr>
            <w:r>
              <w:t xml:space="preserve">22.0%</w:t>
            </w:r>
          </w:p>
        </w:tc>
        <w:tc>
          <w:tcPr/>
          <w:p>
            <w:pPr>
              <w:pStyle w:val="Compact"/>
            </w:pPr>
            <w:r>
              <w:t xml:space="preserve">34.3%</w:t>
            </w:r>
          </w:p>
        </w:tc>
        <w:tc>
          <w:tcPr/>
          <w:p>
            <w:pPr>
              <w:pStyle w:val="Compact"/>
            </w:pPr>
            <w:r>
              <w:t xml:space="preserve">36.2%</w:t>
            </w:r>
          </w:p>
        </w:tc>
      </w:tr>
      <w:tr>
        <w:tc>
          <w:tcPr/>
          <w:p>
            <w:pPr>
              <w:pStyle w:val="Compact"/>
            </w:pPr>
            <w:r>
              <w:t xml:space="preserve">2014</w:t>
            </w:r>
          </w:p>
        </w:tc>
        <w:tc>
          <w:tcPr/>
          <w:p>
            <w:pPr>
              <w:pStyle w:val="Compact"/>
            </w:pPr>
            <w:r>
              <w:t xml:space="preserve">All</w:t>
            </w:r>
          </w:p>
        </w:tc>
        <w:tc>
          <w:tcPr/>
          <w:p>
            <w:pPr>
              <w:pStyle w:val="Compact"/>
            </w:pPr>
            <w:r>
              <w:t xml:space="preserve">656</w:t>
            </w:r>
          </w:p>
        </w:tc>
        <w:tc>
          <w:tcPr/>
          <w:p>
            <w:pPr>
              <w:pStyle w:val="Compact"/>
            </w:pPr>
            <w:r>
              <w:t xml:space="preserve">13725</w:t>
            </w:r>
          </w:p>
        </w:tc>
        <w:tc>
          <w:tcPr/>
          <w:p>
            <w:pPr>
              <w:pStyle w:val="Compact"/>
            </w:pPr>
            <w:r>
              <w:t xml:space="preserve">17 (13–24)</w:t>
            </w:r>
          </w:p>
        </w:tc>
        <w:tc>
          <w:tcPr/>
          <w:p>
            <w:pPr>
              <w:pStyle w:val="Compact"/>
            </w:pPr>
            <w:r>
              <w:t xml:space="preserve">0.269</w:t>
            </w:r>
          </w:p>
        </w:tc>
        <w:tc>
          <w:tcPr/>
          <w:p>
            <w:pPr>
              <w:pStyle w:val="Compact"/>
            </w:pPr>
            <w:r>
              <w:t xml:space="preserve">19.9</w:t>
            </w:r>
          </w:p>
        </w:tc>
        <w:tc>
          <w:tcPr/>
          <w:p>
            <w:pPr>
              <w:pStyle w:val="Compact"/>
            </w:pPr>
            <w:r>
              <w:t xml:space="preserve">23.2%</w:t>
            </w:r>
          </w:p>
        </w:tc>
        <w:tc>
          <w:tcPr/>
          <w:p>
            <w:pPr>
              <w:pStyle w:val="Compact"/>
            </w:pPr>
            <w:r>
              <w:t xml:space="preserve">38.5%</w:t>
            </w:r>
          </w:p>
        </w:tc>
        <w:tc>
          <w:tcPr/>
          <w:p>
            <w:pPr>
              <w:pStyle w:val="Compact"/>
            </w:pPr>
            <w:r>
              <w:t xml:space="preserve">31.6%</w:t>
            </w:r>
          </w:p>
        </w:tc>
      </w:tr>
      <w:tr>
        <w:tc>
          <w:tcPr/>
          <w:p>
            <w:pPr>
              <w:pStyle w:val="Compact"/>
            </w:pPr>
            <w:r>
              <w:t xml:space="preserve">2014</w:t>
            </w:r>
          </w:p>
        </w:tc>
        <w:tc>
          <w:tcPr/>
          <w:p>
            <w:pPr>
              <w:pStyle w:val="Compact"/>
            </w:pPr>
            <w:r>
              <w:t xml:space="preserve">MIGS</w:t>
            </w:r>
          </w:p>
        </w:tc>
        <w:tc>
          <w:tcPr/>
          <w:p>
            <w:pPr>
              <w:pStyle w:val="Compact"/>
            </w:pPr>
            <w:r>
              <w:t xml:space="preserve">3</w:t>
            </w:r>
          </w:p>
        </w:tc>
        <w:tc>
          <w:tcPr/>
          <w:p>
            <w:pPr>
              <w:pStyle w:val="Compact"/>
            </w:pPr>
            <w:r>
              <w:t xml:space="preserve">41</w:t>
            </w:r>
          </w:p>
        </w:tc>
        <w:tc>
          <w:tcPr/>
          <w:p>
            <w:pPr>
              <w:pStyle w:val="Compact"/>
            </w:pPr>
            <w:r>
              <w:t xml:space="preserve">13 (12–15)</w:t>
            </w:r>
          </w:p>
        </w:tc>
        <w:tc>
          <w:tcPr/>
          <w:p>
            <w:pPr>
              <w:pStyle w:val="Compact"/>
            </w:pPr>
            <w:r>
              <w:t xml:space="preserve">0.098</w:t>
            </w:r>
          </w:p>
        </w:tc>
        <w:tc>
          <w:tcPr/>
          <w:p>
            <w:pPr>
              <w:pStyle w:val="Compact"/>
            </w:pPr>
            <w:r>
              <w:t xml:space="preserve">3444.4</w:t>
            </w:r>
          </w:p>
        </w:tc>
        <w:tc>
          <w:tcPr/>
          <w:p>
            <w:pPr>
              <w:pStyle w:val="Compact"/>
            </w:pPr>
            <w:r>
              <w:t xml:space="preserve">41.5%</w:t>
            </w:r>
          </w:p>
        </w:tc>
        <w:tc>
          <w:tcPr/>
          <w:p>
            <w:pPr>
              <w:pStyle w:val="Compact"/>
            </w:pPr>
            <w:r>
              <w:t xml:space="preserve">41.5%</w:t>
            </w:r>
          </w:p>
        </w:tc>
        <w:tc>
          <w:tcPr/>
          <w:p>
            <w:pPr>
              <w:pStyle w:val="Compact"/>
            </w:pPr>
            <w:r>
              <w:t xml:space="preserve">26.8%</w:t>
            </w:r>
          </w:p>
        </w:tc>
      </w:tr>
      <w:tr>
        <w:tc>
          <w:tcPr/>
          <w:p>
            <w:pPr>
              <w:pStyle w:val="Compact"/>
            </w:pPr>
            <w:r>
              <w:t xml:space="preserve">2014</w:t>
            </w:r>
          </w:p>
        </w:tc>
        <w:tc>
          <w:tcPr/>
          <w:p>
            <w:pPr>
              <w:pStyle w:val="Compact"/>
            </w:pPr>
            <w:r>
              <w:t xml:space="preserve">General OB/GYN</w:t>
            </w:r>
          </w:p>
        </w:tc>
        <w:tc>
          <w:tcPr/>
          <w:p>
            <w:pPr>
              <w:pStyle w:val="Compact"/>
            </w:pPr>
            <w:r>
              <w:t xml:space="preserve">114</w:t>
            </w:r>
          </w:p>
        </w:tc>
        <w:tc>
          <w:tcPr/>
          <w:p>
            <w:pPr>
              <w:pStyle w:val="Compact"/>
            </w:pPr>
            <w:r>
              <w:t xml:space="preserve">2076</w:t>
            </w:r>
          </w:p>
        </w:tc>
        <w:tc>
          <w:tcPr/>
          <w:p>
            <w:pPr>
              <w:pStyle w:val="Compact"/>
            </w:pPr>
            <w:r>
              <w:t xml:space="preserve">15 (12–21)</w:t>
            </w:r>
          </w:p>
        </w:tc>
        <w:tc>
          <w:tcPr/>
          <w:p>
            <w:pPr>
              <w:pStyle w:val="Compact"/>
            </w:pPr>
            <w:r>
              <w:t xml:space="preserve">0.239</w:t>
            </w:r>
          </w:p>
        </w:tc>
        <w:tc>
          <w:tcPr/>
          <w:p>
            <w:pPr>
              <w:pStyle w:val="Compact"/>
            </w:pPr>
            <w:r>
              <w:t xml:space="preserve">108.2</w:t>
            </w:r>
          </w:p>
        </w:tc>
        <w:tc>
          <w:tcPr/>
          <w:p>
            <w:pPr>
              <w:pStyle w:val="Compact"/>
            </w:pPr>
            <w:r>
              <w:t xml:space="preserve">22.8%</w:t>
            </w:r>
          </w:p>
        </w:tc>
        <w:tc>
          <w:tcPr/>
          <w:p>
            <w:pPr>
              <w:pStyle w:val="Compact"/>
            </w:pPr>
            <w:r>
              <w:t xml:space="preserve">36.6%</w:t>
            </w:r>
          </w:p>
        </w:tc>
        <w:tc>
          <w:tcPr/>
          <w:p>
            <w:pPr>
              <w:pStyle w:val="Compact"/>
            </w:pPr>
            <w:r>
              <w:t xml:space="preserve">33.6%</w:t>
            </w:r>
          </w:p>
        </w:tc>
      </w:tr>
      <w:tr>
        <w:tc>
          <w:tcPr/>
          <w:p>
            <w:pPr>
              <w:pStyle w:val="Compact"/>
            </w:pPr>
            <w:r>
              <w:t xml:space="preserve">2014</w:t>
            </w:r>
          </w:p>
        </w:tc>
        <w:tc>
          <w:tcPr/>
          <w:p>
            <w:pPr>
              <w:pStyle w:val="Compact"/>
            </w:pPr>
            <w:r>
              <w:t xml:space="preserve">Urology</w:t>
            </w:r>
          </w:p>
        </w:tc>
        <w:tc>
          <w:tcPr/>
          <w:p>
            <w:pPr>
              <w:pStyle w:val="Compact"/>
            </w:pPr>
            <w:r>
              <w:t xml:space="preserve">152</w:t>
            </w:r>
          </w:p>
        </w:tc>
        <w:tc>
          <w:tcPr/>
          <w:p>
            <w:pPr>
              <w:pStyle w:val="Compact"/>
            </w:pPr>
            <w:r>
              <w:t xml:space="preserve">2577</w:t>
            </w:r>
          </w:p>
        </w:tc>
        <w:tc>
          <w:tcPr/>
          <w:p>
            <w:pPr>
              <w:pStyle w:val="Compact"/>
            </w:pPr>
            <w:r>
              <w:t xml:space="preserve">15 (12–19)</w:t>
            </w:r>
          </w:p>
        </w:tc>
        <w:tc>
          <w:tcPr/>
          <w:p>
            <w:pPr>
              <w:pStyle w:val="Compact"/>
            </w:pPr>
            <w:r>
              <w:t xml:space="preserve">0.198</w:t>
            </w:r>
          </w:p>
        </w:tc>
        <w:tc>
          <w:tcPr/>
          <w:p>
            <w:pPr>
              <w:pStyle w:val="Compact"/>
            </w:pPr>
            <w:r>
              <w:t xml:space="preserve">77.1</w:t>
            </w:r>
          </w:p>
        </w:tc>
        <w:tc>
          <w:tcPr/>
          <w:p>
            <w:pPr>
              <w:pStyle w:val="Compact"/>
            </w:pPr>
            <w:r>
              <w:t xml:space="preserve">21.0%</w:t>
            </w:r>
          </w:p>
        </w:tc>
        <w:tc>
          <w:tcPr/>
          <w:p>
            <w:pPr>
              <w:pStyle w:val="Compact"/>
            </w:pPr>
            <w:r>
              <w:t xml:space="preserve">33.6%</w:t>
            </w:r>
          </w:p>
        </w:tc>
        <w:tc>
          <w:tcPr/>
          <w:p>
            <w:pPr>
              <w:pStyle w:val="Compact"/>
            </w:pPr>
            <w:r>
              <w:t xml:space="preserve">36.6%</w:t>
            </w:r>
          </w:p>
        </w:tc>
      </w:tr>
      <w:tr>
        <w:tc>
          <w:tcPr/>
          <w:p>
            <w:pPr>
              <w:pStyle w:val="Compact"/>
            </w:pPr>
            <w:r>
              <w:t xml:space="preserve">2014</w:t>
            </w:r>
          </w:p>
        </w:tc>
        <w:tc>
          <w:tcPr/>
          <w:p>
            <w:pPr>
              <w:pStyle w:val="Compact"/>
            </w:pPr>
            <w:r>
              <w:t xml:space="preserve">Other/uncertain</w:t>
            </w:r>
          </w:p>
        </w:tc>
        <w:tc>
          <w:tcPr/>
          <w:p>
            <w:pPr>
              <w:pStyle w:val="Compact"/>
            </w:pPr>
            <w:r>
              <w:t xml:space="preserve">31</w:t>
            </w:r>
          </w:p>
        </w:tc>
        <w:tc>
          <w:tcPr/>
          <w:p>
            <w:pPr>
              <w:pStyle w:val="Compact"/>
            </w:pPr>
            <w:r>
              <w:t xml:space="preserve">762</w:t>
            </w:r>
          </w:p>
        </w:tc>
        <w:tc>
          <w:tcPr/>
          <w:p>
            <w:pPr>
              <w:pStyle w:val="Compact"/>
            </w:pPr>
            <w:r>
              <w:t xml:space="preserve">19 (12–32)</w:t>
            </w:r>
          </w:p>
        </w:tc>
        <w:tc>
          <w:tcPr/>
          <w:p>
            <w:pPr>
              <w:pStyle w:val="Compact"/>
            </w:pPr>
            <w:r>
              <w:t xml:space="preserve">0.341</w:t>
            </w:r>
          </w:p>
        </w:tc>
        <w:tc>
          <w:tcPr/>
          <w:p>
            <w:pPr>
              <w:pStyle w:val="Compact"/>
            </w:pPr>
            <w:r>
              <w:t xml:space="preserve">479.1</w:t>
            </w:r>
          </w:p>
        </w:tc>
        <w:tc>
          <w:tcPr/>
          <w:p>
            <w:pPr>
              <w:pStyle w:val="Compact"/>
            </w:pPr>
            <w:r>
              <w:t xml:space="preserve">30.7%</w:t>
            </w:r>
          </w:p>
        </w:tc>
        <w:tc>
          <w:tcPr/>
          <w:p>
            <w:pPr>
              <w:pStyle w:val="Compact"/>
            </w:pPr>
            <w:r>
              <w:t xml:space="preserve">45.9%</w:t>
            </w:r>
          </w:p>
        </w:tc>
        <w:tc>
          <w:tcPr/>
          <w:p>
            <w:pPr>
              <w:pStyle w:val="Compact"/>
            </w:pPr>
            <w:r>
              <w:t xml:space="preserve">24.4%</w:t>
            </w:r>
          </w:p>
        </w:tc>
      </w:tr>
      <w:tr>
        <w:tc>
          <w:tcPr/>
          <w:p>
            <w:pPr>
              <w:pStyle w:val="Compact"/>
            </w:pPr>
            <w:r>
              <w:t xml:space="preserve">2014</w:t>
            </w:r>
          </w:p>
        </w:tc>
        <w:tc>
          <w:tcPr/>
          <w:p>
            <w:pPr>
              <w:pStyle w:val="Compact"/>
            </w:pPr>
            <w:r>
              <w:t xml:space="preserve">URPS (OB/GYN)</w:t>
            </w:r>
          </w:p>
        </w:tc>
        <w:tc>
          <w:tcPr/>
          <w:p>
            <w:pPr>
              <w:pStyle w:val="Compact"/>
            </w:pPr>
            <w:r>
              <w:t xml:space="preserve">290</w:t>
            </w:r>
          </w:p>
        </w:tc>
        <w:tc>
          <w:tcPr/>
          <w:p>
            <w:pPr>
              <w:pStyle w:val="Compact"/>
            </w:pPr>
            <w:r>
              <w:t xml:space="preserve">6952</w:t>
            </w:r>
          </w:p>
        </w:tc>
        <w:tc>
          <w:tcPr/>
          <w:p>
            <w:pPr>
              <w:pStyle w:val="Compact"/>
            </w:pPr>
            <w:r>
              <w:t xml:space="preserve">20 (15–30)</w:t>
            </w:r>
          </w:p>
        </w:tc>
        <w:tc>
          <w:tcPr/>
          <w:p>
            <w:pPr>
              <w:pStyle w:val="Compact"/>
            </w:pPr>
            <w:r>
              <w:t xml:space="preserve">0.275</w:t>
            </w:r>
          </w:p>
        </w:tc>
        <w:tc>
          <w:tcPr/>
          <w:p>
            <w:pPr>
              <w:pStyle w:val="Compact"/>
            </w:pPr>
            <w:r>
              <w:t xml:space="preserve">44.8</w:t>
            </w:r>
          </w:p>
        </w:tc>
        <w:tc>
          <w:tcPr/>
          <w:p>
            <w:pPr>
              <w:pStyle w:val="Compact"/>
            </w:pPr>
            <w:r>
              <w:t xml:space="preserve">22.7%</w:t>
            </w:r>
          </w:p>
        </w:tc>
        <w:tc>
          <w:tcPr/>
          <w:p>
            <w:pPr>
              <w:pStyle w:val="Compact"/>
            </w:pPr>
            <w:r>
              <w:t xml:space="preserve">37.8%</w:t>
            </w:r>
          </w:p>
        </w:tc>
        <w:tc>
          <w:tcPr/>
          <w:p>
            <w:pPr>
              <w:pStyle w:val="Compact"/>
            </w:pPr>
            <w:r>
              <w:t xml:space="preserve">30.9%</w:t>
            </w:r>
          </w:p>
        </w:tc>
      </w:tr>
      <w:tr>
        <w:tc>
          <w:tcPr/>
          <w:p>
            <w:pPr>
              <w:pStyle w:val="Compact"/>
            </w:pPr>
            <w:r>
              <w:t xml:space="preserve">2014</w:t>
            </w:r>
          </w:p>
        </w:tc>
        <w:tc>
          <w:tcPr/>
          <w:p>
            <w:pPr>
              <w:pStyle w:val="Compact"/>
            </w:pPr>
            <w:r>
              <w:t xml:space="preserve">URPS (urology)</w:t>
            </w:r>
          </w:p>
        </w:tc>
        <w:tc>
          <w:tcPr/>
          <w:p>
            <w:pPr>
              <w:pStyle w:val="Compact"/>
            </w:pPr>
            <w:r>
              <w:t xml:space="preserve">66</w:t>
            </w:r>
          </w:p>
        </w:tc>
        <w:tc>
          <w:tcPr/>
          <w:p>
            <w:pPr>
              <w:pStyle w:val="Compact"/>
            </w:pPr>
            <w:r>
              <w:t xml:space="preserve">1317</w:t>
            </w:r>
          </w:p>
        </w:tc>
        <w:tc>
          <w:tcPr/>
          <w:p>
            <w:pPr>
              <w:pStyle w:val="Compact"/>
            </w:pPr>
            <w:r>
              <w:t xml:space="preserve">16 (13–23)</w:t>
            </w:r>
          </w:p>
        </w:tc>
        <w:tc>
          <w:tcPr/>
          <w:p>
            <w:pPr>
              <w:pStyle w:val="Compact"/>
            </w:pPr>
            <w:r>
              <w:t xml:space="preserve">0.250</w:t>
            </w:r>
          </w:p>
        </w:tc>
        <w:tc>
          <w:tcPr/>
          <w:p>
            <w:pPr>
              <w:pStyle w:val="Compact"/>
            </w:pPr>
            <w:r>
              <w:t xml:space="preserve">188.7</w:t>
            </w:r>
          </w:p>
        </w:tc>
        <w:tc>
          <w:tcPr/>
          <w:p>
            <w:pPr>
              <w:pStyle w:val="Compact"/>
            </w:pPr>
            <w:r>
              <w:t xml:space="preserve">22.9%</w:t>
            </w:r>
          </w:p>
        </w:tc>
        <w:tc>
          <w:tcPr/>
          <w:p>
            <w:pPr>
              <w:pStyle w:val="Compact"/>
            </w:pPr>
            <w:r>
              <w:t xml:space="preserve">38.6%</w:t>
            </w:r>
          </w:p>
        </w:tc>
        <w:tc>
          <w:tcPr/>
          <w:p>
            <w:pPr>
              <w:pStyle w:val="Compact"/>
            </w:pPr>
            <w:r>
              <w:t xml:space="preserve">32.5%</w:t>
            </w:r>
          </w:p>
        </w:tc>
      </w:tr>
      <w:tr>
        <w:tc>
          <w:tcPr/>
          <w:p>
            <w:pPr>
              <w:pStyle w:val="Compact"/>
            </w:pPr>
            <w:r>
              <w:t xml:space="preserve">2015</w:t>
            </w:r>
          </w:p>
        </w:tc>
        <w:tc>
          <w:tcPr/>
          <w:p>
            <w:pPr>
              <w:pStyle w:val="Compact"/>
            </w:pPr>
            <w:r>
              <w:t xml:space="preserve">All</w:t>
            </w:r>
          </w:p>
        </w:tc>
        <w:tc>
          <w:tcPr/>
          <w:p>
            <w:pPr>
              <w:pStyle w:val="Compact"/>
            </w:pPr>
            <w:r>
              <w:t xml:space="preserve">627</w:t>
            </w:r>
          </w:p>
        </w:tc>
        <w:tc>
          <w:tcPr/>
          <w:p>
            <w:pPr>
              <w:pStyle w:val="Compact"/>
            </w:pPr>
            <w:r>
              <w:t xml:space="preserve">12846</w:t>
            </w:r>
          </w:p>
        </w:tc>
        <w:tc>
          <w:tcPr/>
          <w:p>
            <w:pPr>
              <w:pStyle w:val="Compact"/>
            </w:pPr>
            <w:r>
              <w:t xml:space="preserve">16 (13–24)</w:t>
            </w:r>
          </w:p>
        </w:tc>
        <w:tc>
          <w:tcPr/>
          <w:p>
            <w:pPr>
              <w:pStyle w:val="Compact"/>
            </w:pPr>
            <w:r>
              <w:t xml:space="preserve">0.269</w:t>
            </w:r>
          </w:p>
        </w:tc>
        <w:tc>
          <w:tcPr/>
          <w:p>
            <w:pPr>
              <w:pStyle w:val="Compact"/>
            </w:pPr>
            <w:r>
              <w:t xml:space="preserve">21.1</w:t>
            </w:r>
          </w:p>
        </w:tc>
        <w:tc>
          <w:tcPr/>
          <w:p>
            <w:pPr>
              <w:pStyle w:val="Compact"/>
            </w:pPr>
            <w:r>
              <w:t xml:space="preserve">23.4%</w:t>
            </w:r>
          </w:p>
        </w:tc>
        <w:tc>
          <w:tcPr/>
          <w:p>
            <w:pPr>
              <w:pStyle w:val="Compact"/>
            </w:pPr>
            <w:r>
              <w:t xml:space="preserve">38.4%</w:t>
            </w:r>
          </w:p>
        </w:tc>
        <w:tc>
          <w:tcPr/>
          <w:p>
            <w:pPr>
              <w:pStyle w:val="Compact"/>
            </w:pPr>
            <w:r>
              <w:t xml:space="preserve">31.6%</w:t>
            </w:r>
          </w:p>
        </w:tc>
      </w:tr>
      <w:tr>
        <w:tc>
          <w:tcPr/>
          <w:p>
            <w:pPr>
              <w:pStyle w:val="Compact"/>
            </w:pPr>
            <w:r>
              <w:t xml:space="preserve">2015</w:t>
            </w:r>
          </w:p>
        </w:tc>
        <w:tc>
          <w:tcPr/>
          <w:p>
            <w:pPr>
              <w:pStyle w:val="Compact"/>
            </w:pPr>
            <w:r>
              <w:t xml:space="preserve">MIGS</w:t>
            </w:r>
          </w:p>
        </w:tc>
        <w:tc>
          <w:tcPr/>
          <w:p>
            <w:pPr>
              <w:pStyle w:val="Compact"/>
            </w:pPr>
            <w:r>
              <w:t xml:space="preserve">5</w:t>
            </w:r>
          </w:p>
        </w:tc>
        <w:tc>
          <w:tcPr/>
          <w:p>
            <w:pPr>
              <w:pStyle w:val="Compact"/>
            </w:pPr>
            <w:r>
              <w:t xml:space="preserve">66</w:t>
            </w:r>
          </w:p>
        </w:tc>
        <w:tc>
          <w:tcPr/>
          <w:p>
            <w:pPr>
              <w:pStyle w:val="Compact"/>
            </w:pPr>
            <w:r>
              <w:t xml:space="preserve">12 (11–15)</w:t>
            </w:r>
          </w:p>
        </w:tc>
        <w:tc>
          <w:tcPr/>
          <w:p>
            <w:pPr>
              <w:pStyle w:val="Compact"/>
            </w:pPr>
            <w:r>
              <w:t xml:space="preserve">0.097</w:t>
            </w:r>
          </w:p>
        </w:tc>
        <w:tc>
          <w:tcPr/>
          <w:p>
            <w:pPr>
              <w:pStyle w:val="Compact"/>
            </w:pPr>
            <w:r>
              <w:t xml:space="preserve">2066.1</w:t>
            </w:r>
          </w:p>
        </w:tc>
        <w:tc>
          <w:tcPr/>
          <w:p>
            <w:pPr>
              <w:pStyle w:val="Compact"/>
            </w:pPr>
            <w:r>
              <w:t xml:space="preserve">25.8%</w:t>
            </w:r>
          </w:p>
        </w:tc>
        <w:tc>
          <w:tcPr/>
          <w:p>
            <w:pPr>
              <w:pStyle w:val="Compact"/>
            </w:pPr>
            <w:r>
              <w:t xml:space="preserve">25.8%</w:t>
            </w:r>
          </w:p>
        </w:tc>
        <w:tc>
          <w:tcPr/>
          <w:p>
            <w:pPr>
              <w:pStyle w:val="Compact"/>
            </w:pPr>
            <w:r>
              <w:t xml:space="preserve">33.3%</w:t>
            </w:r>
          </w:p>
        </w:tc>
      </w:tr>
      <w:tr>
        <w:tc>
          <w:tcPr/>
          <w:p>
            <w:pPr>
              <w:pStyle w:val="Compact"/>
            </w:pPr>
            <w:r>
              <w:t xml:space="preserve">2015</w:t>
            </w:r>
          </w:p>
        </w:tc>
        <w:tc>
          <w:tcPr/>
          <w:p>
            <w:pPr>
              <w:pStyle w:val="Compact"/>
            </w:pPr>
            <w:r>
              <w:t xml:space="preserve">General OB/GYN</w:t>
            </w:r>
          </w:p>
        </w:tc>
        <w:tc>
          <w:tcPr/>
          <w:p>
            <w:pPr>
              <w:pStyle w:val="Compact"/>
            </w:pPr>
            <w:r>
              <w:t xml:space="preserve">95</w:t>
            </w:r>
          </w:p>
        </w:tc>
        <w:tc>
          <w:tcPr/>
          <w:p>
            <w:pPr>
              <w:pStyle w:val="Compact"/>
            </w:pPr>
            <w:r>
              <w:t xml:space="preserve">1774</w:t>
            </w:r>
          </w:p>
        </w:tc>
        <w:tc>
          <w:tcPr/>
          <w:p>
            <w:pPr>
              <w:pStyle w:val="Compact"/>
            </w:pPr>
            <w:r>
              <w:t xml:space="preserve">15 (12–20)</w:t>
            </w:r>
          </w:p>
        </w:tc>
        <w:tc>
          <w:tcPr/>
          <w:p>
            <w:pPr>
              <w:pStyle w:val="Compact"/>
            </w:pPr>
            <w:r>
              <w:t xml:space="preserve">0.248</w:t>
            </w:r>
          </w:p>
        </w:tc>
        <w:tc>
          <w:tcPr/>
          <w:p>
            <w:pPr>
              <w:pStyle w:val="Compact"/>
            </w:pPr>
            <w:r>
              <w:t xml:space="preserve">135.5</w:t>
            </w:r>
          </w:p>
        </w:tc>
        <w:tc>
          <w:tcPr/>
          <w:p>
            <w:pPr>
              <w:pStyle w:val="Compact"/>
            </w:pPr>
            <w:r>
              <w:t xml:space="preserve">23.7%</w:t>
            </w:r>
          </w:p>
        </w:tc>
        <w:tc>
          <w:tcPr/>
          <w:p>
            <w:pPr>
              <w:pStyle w:val="Compact"/>
            </w:pPr>
            <w:r>
              <w:t xml:space="preserve">37.8%</w:t>
            </w:r>
          </w:p>
        </w:tc>
        <w:tc>
          <w:tcPr/>
          <w:p>
            <w:pPr>
              <w:pStyle w:val="Compact"/>
            </w:pPr>
            <w:r>
              <w:t xml:space="preserve">33.1%</w:t>
            </w:r>
          </w:p>
        </w:tc>
      </w:tr>
      <w:tr>
        <w:tc>
          <w:tcPr/>
          <w:p>
            <w:pPr>
              <w:pStyle w:val="Compact"/>
            </w:pPr>
            <w:r>
              <w:t xml:space="preserve">2015</w:t>
            </w:r>
          </w:p>
        </w:tc>
        <w:tc>
          <w:tcPr/>
          <w:p>
            <w:pPr>
              <w:pStyle w:val="Compact"/>
            </w:pPr>
            <w:r>
              <w:t xml:space="preserve">Urology</w:t>
            </w:r>
          </w:p>
        </w:tc>
        <w:tc>
          <w:tcPr/>
          <w:p>
            <w:pPr>
              <w:pStyle w:val="Compact"/>
            </w:pPr>
            <w:r>
              <w:t xml:space="preserve">129</w:t>
            </w:r>
          </w:p>
        </w:tc>
        <w:tc>
          <w:tcPr/>
          <w:p>
            <w:pPr>
              <w:pStyle w:val="Compact"/>
            </w:pPr>
            <w:r>
              <w:t xml:space="preserve">2109</w:t>
            </w:r>
          </w:p>
        </w:tc>
        <w:tc>
          <w:tcPr/>
          <w:p>
            <w:pPr>
              <w:pStyle w:val="Compact"/>
            </w:pPr>
            <w:r>
              <w:t xml:space="preserve">14 (12–18)</w:t>
            </w:r>
          </w:p>
        </w:tc>
        <w:tc>
          <w:tcPr/>
          <w:p>
            <w:pPr>
              <w:pStyle w:val="Compact"/>
            </w:pPr>
            <w:r>
              <w:t xml:space="preserve">0.196</w:t>
            </w:r>
          </w:p>
        </w:tc>
        <w:tc>
          <w:tcPr/>
          <w:p>
            <w:pPr>
              <w:pStyle w:val="Compact"/>
            </w:pPr>
            <w:r>
              <w:t xml:space="preserve">92.2</w:t>
            </w:r>
          </w:p>
        </w:tc>
        <w:tc>
          <w:tcPr/>
          <w:p>
            <w:pPr>
              <w:pStyle w:val="Compact"/>
            </w:pPr>
            <w:r>
              <w:t xml:space="preserve">20.2%</w:t>
            </w:r>
          </w:p>
        </w:tc>
        <w:tc>
          <w:tcPr/>
          <w:p>
            <w:pPr>
              <w:pStyle w:val="Compact"/>
            </w:pPr>
            <w:r>
              <w:t xml:space="preserve">33.6%</w:t>
            </w:r>
          </w:p>
        </w:tc>
        <w:tc>
          <w:tcPr/>
          <w:p>
            <w:pPr>
              <w:pStyle w:val="Compact"/>
            </w:pPr>
            <w:r>
              <w:t xml:space="preserve">36.5%</w:t>
            </w:r>
          </w:p>
        </w:tc>
      </w:tr>
      <w:tr>
        <w:tc>
          <w:tcPr/>
          <w:p>
            <w:pPr>
              <w:pStyle w:val="Compact"/>
            </w:pPr>
            <w:r>
              <w:t xml:space="preserve">2015</w:t>
            </w:r>
          </w:p>
        </w:tc>
        <w:tc>
          <w:tcPr/>
          <w:p>
            <w:pPr>
              <w:pStyle w:val="Compact"/>
            </w:pPr>
            <w:r>
              <w:t xml:space="preserve">Other/uncertain</w:t>
            </w:r>
          </w:p>
        </w:tc>
        <w:tc>
          <w:tcPr/>
          <w:p>
            <w:pPr>
              <w:pStyle w:val="Compact"/>
            </w:pPr>
            <w:r>
              <w:t xml:space="preserve">41</w:t>
            </w:r>
          </w:p>
        </w:tc>
        <w:tc>
          <w:tcPr/>
          <w:p>
            <w:pPr>
              <w:pStyle w:val="Compact"/>
            </w:pPr>
            <w:r>
              <w:t xml:space="preserve">979</w:t>
            </w:r>
          </w:p>
        </w:tc>
        <w:tc>
          <w:tcPr/>
          <w:p>
            <w:pPr>
              <w:pStyle w:val="Compact"/>
            </w:pPr>
            <w:r>
              <w:t xml:space="preserve">19 (13–31)</w:t>
            </w:r>
          </w:p>
        </w:tc>
        <w:tc>
          <w:tcPr/>
          <w:p>
            <w:pPr>
              <w:pStyle w:val="Compact"/>
            </w:pPr>
            <w:r>
              <w:t xml:space="preserve">0.309</w:t>
            </w:r>
          </w:p>
        </w:tc>
        <w:tc>
          <w:tcPr/>
          <w:p>
            <w:pPr>
              <w:pStyle w:val="Compact"/>
            </w:pPr>
            <w:r>
              <w:t xml:space="preserve">343.6</w:t>
            </w:r>
          </w:p>
        </w:tc>
        <w:tc>
          <w:tcPr/>
          <w:p>
            <w:pPr>
              <w:pStyle w:val="Compact"/>
            </w:pPr>
            <w:r>
              <w:t xml:space="preserve">27.9%</w:t>
            </w:r>
          </w:p>
        </w:tc>
        <w:tc>
          <w:tcPr/>
          <w:p>
            <w:pPr>
              <w:pStyle w:val="Compact"/>
            </w:pPr>
            <w:r>
              <w:t xml:space="preserve">42.7%</w:t>
            </w:r>
          </w:p>
        </w:tc>
        <w:tc>
          <w:tcPr/>
          <w:p>
            <w:pPr>
              <w:pStyle w:val="Compact"/>
            </w:pPr>
            <w:r>
              <w:t xml:space="preserve">27.6%</w:t>
            </w:r>
          </w:p>
        </w:tc>
      </w:tr>
      <w:tr>
        <w:tc>
          <w:tcPr/>
          <w:p>
            <w:pPr>
              <w:pStyle w:val="Compact"/>
            </w:pPr>
            <w:r>
              <w:t xml:space="preserve">2015</w:t>
            </w:r>
          </w:p>
        </w:tc>
        <w:tc>
          <w:tcPr/>
          <w:p>
            <w:pPr>
              <w:pStyle w:val="Compact"/>
            </w:pPr>
            <w:r>
              <w:t xml:space="preserve">URPS (OB/GYN)</w:t>
            </w:r>
          </w:p>
        </w:tc>
        <w:tc>
          <w:tcPr/>
          <w:p>
            <w:pPr>
              <w:pStyle w:val="Compact"/>
            </w:pPr>
            <w:r>
              <w:t xml:space="preserve">290</w:t>
            </w:r>
          </w:p>
        </w:tc>
        <w:tc>
          <w:tcPr/>
          <w:p>
            <w:pPr>
              <w:pStyle w:val="Compact"/>
            </w:pPr>
            <w:r>
              <w:t xml:space="preserve">6678</w:t>
            </w:r>
          </w:p>
        </w:tc>
        <w:tc>
          <w:tcPr/>
          <w:p>
            <w:pPr>
              <w:pStyle w:val="Compact"/>
            </w:pPr>
            <w:r>
              <w:t xml:space="preserve">19 (14–27)</w:t>
            </w:r>
          </w:p>
        </w:tc>
        <w:tc>
          <w:tcPr/>
          <w:p>
            <w:pPr>
              <w:pStyle w:val="Compact"/>
            </w:pPr>
            <w:r>
              <w:t xml:space="preserve">0.278</w:t>
            </w:r>
          </w:p>
        </w:tc>
        <w:tc>
          <w:tcPr/>
          <w:p>
            <w:pPr>
              <w:pStyle w:val="Compact"/>
            </w:pPr>
            <w:r>
              <w:t xml:space="preserve">45.2</w:t>
            </w:r>
          </w:p>
        </w:tc>
        <w:tc>
          <w:tcPr/>
          <w:p>
            <w:pPr>
              <w:pStyle w:val="Compact"/>
            </w:pPr>
            <w:r>
              <w:t xml:space="preserve">22.9%</w:t>
            </w:r>
          </w:p>
        </w:tc>
        <w:tc>
          <w:tcPr/>
          <w:p>
            <w:pPr>
              <w:pStyle w:val="Compact"/>
            </w:pPr>
            <w:r>
              <w:t xml:space="preserve">38.3%</w:t>
            </w:r>
          </w:p>
        </w:tc>
        <w:tc>
          <w:tcPr/>
          <w:p>
            <w:pPr>
              <w:pStyle w:val="Compact"/>
            </w:pPr>
            <w:r>
              <w:t xml:space="preserve">30.8%</w:t>
            </w:r>
          </w:p>
        </w:tc>
      </w:tr>
      <w:tr>
        <w:tc>
          <w:tcPr/>
          <w:p>
            <w:pPr>
              <w:pStyle w:val="Compact"/>
            </w:pPr>
            <w:r>
              <w:t xml:space="preserve">2015</w:t>
            </w:r>
          </w:p>
        </w:tc>
        <w:tc>
          <w:tcPr/>
          <w:p>
            <w:pPr>
              <w:pStyle w:val="Compact"/>
            </w:pPr>
            <w:r>
              <w:t xml:space="preserve">URPS (urology)</w:t>
            </w:r>
          </w:p>
        </w:tc>
        <w:tc>
          <w:tcPr/>
          <w:p>
            <w:pPr>
              <w:pStyle w:val="Compact"/>
            </w:pPr>
            <w:r>
              <w:t xml:space="preserve">67</w:t>
            </w:r>
          </w:p>
        </w:tc>
        <w:tc>
          <w:tcPr/>
          <w:p>
            <w:pPr>
              <w:pStyle w:val="Compact"/>
            </w:pPr>
            <w:r>
              <w:t xml:space="preserve">1240</w:t>
            </w:r>
          </w:p>
        </w:tc>
        <w:tc>
          <w:tcPr/>
          <w:p>
            <w:pPr>
              <w:pStyle w:val="Compact"/>
            </w:pPr>
            <w:r>
              <w:t xml:space="preserve">15 (12–24)</w:t>
            </w:r>
          </w:p>
        </w:tc>
        <w:tc>
          <w:tcPr/>
          <w:p>
            <w:pPr>
              <w:pStyle w:val="Compact"/>
            </w:pPr>
            <w:r>
              <w:t xml:space="preserve">0.236</w:t>
            </w:r>
          </w:p>
        </w:tc>
        <w:tc>
          <w:tcPr/>
          <w:p>
            <w:pPr>
              <w:pStyle w:val="Compact"/>
            </w:pPr>
            <w:r>
              <w:t xml:space="preserve">185.7</w:t>
            </w:r>
          </w:p>
        </w:tc>
        <w:tc>
          <w:tcPr/>
          <w:p>
            <w:pPr>
              <w:pStyle w:val="Compact"/>
            </w:pPr>
            <w:r>
              <w:t xml:space="preserve">21.5%</w:t>
            </w:r>
          </w:p>
        </w:tc>
        <w:tc>
          <w:tcPr/>
          <w:p>
            <w:pPr>
              <w:pStyle w:val="Compact"/>
            </w:pPr>
            <w:r>
              <w:t xml:space="preserve">36.5%</w:t>
            </w:r>
          </w:p>
        </w:tc>
        <w:tc>
          <w:tcPr/>
          <w:p>
            <w:pPr>
              <w:pStyle w:val="Compact"/>
            </w:pPr>
            <w:r>
              <w:t xml:space="preserve">33.1%</w:t>
            </w:r>
          </w:p>
        </w:tc>
      </w:tr>
      <w:tr>
        <w:tc>
          <w:tcPr/>
          <w:p>
            <w:pPr>
              <w:pStyle w:val="Compact"/>
            </w:pPr>
            <w:r>
              <w:t xml:space="preserve">2016</w:t>
            </w:r>
          </w:p>
        </w:tc>
        <w:tc>
          <w:tcPr/>
          <w:p>
            <w:pPr>
              <w:pStyle w:val="Compact"/>
            </w:pPr>
            <w:r>
              <w:t xml:space="preserve">All</w:t>
            </w:r>
          </w:p>
        </w:tc>
        <w:tc>
          <w:tcPr/>
          <w:p>
            <w:pPr>
              <w:pStyle w:val="Compact"/>
            </w:pPr>
            <w:r>
              <w:t xml:space="preserve">665</w:t>
            </w:r>
          </w:p>
        </w:tc>
        <w:tc>
          <w:tcPr/>
          <w:p>
            <w:pPr>
              <w:pStyle w:val="Compact"/>
            </w:pPr>
            <w:r>
              <w:t xml:space="preserve">14322</w:t>
            </w:r>
          </w:p>
        </w:tc>
        <w:tc>
          <w:tcPr/>
          <w:p>
            <w:pPr>
              <w:pStyle w:val="Compact"/>
            </w:pPr>
            <w:r>
              <w:t xml:space="preserve">18 (13–25)</w:t>
            </w:r>
          </w:p>
        </w:tc>
        <w:tc>
          <w:tcPr/>
          <w:p>
            <w:pPr>
              <w:pStyle w:val="Compact"/>
            </w:pPr>
            <w:r>
              <w:t xml:space="preserve">0.270</w:t>
            </w:r>
          </w:p>
        </w:tc>
        <w:tc>
          <w:tcPr/>
          <w:p>
            <w:pPr>
              <w:pStyle w:val="Compact"/>
            </w:pPr>
            <w:r>
              <w:t xml:space="preserve">19.9</w:t>
            </w:r>
          </w:p>
        </w:tc>
        <w:tc>
          <w:tcPr/>
          <w:p>
            <w:pPr>
              <w:pStyle w:val="Compact"/>
            </w:pPr>
            <w:r>
              <w:t xml:space="preserve">23.8%</w:t>
            </w:r>
          </w:p>
        </w:tc>
        <w:tc>
          <w:tcPr/>
          <w:p>
            <w:pPr>
              <w:pStyle w:val="Compact"/>
            </w:pPr>
            <w:r>
              <w:t xml:space="preserve">38.0%</w:t>
            </w:r>
          </w:p>
        </w:tc>
        <w:tc>
          <w:tcPr/>
          <w:p>
            <w:pPr>
              <w:pStyle w:val="Compact"/>
            </w:pPr>
            <w:r>
              <w:t xml:space="preserve">31.5%</w:t>
            </w:r>
          </w:p>
        </w:tc>
      </w:tr>
      <w:tr>
        <w:tc>
          <w:tcPr/>
          <w:p>
            <w:pPr>
              <w:pStyle w:val="Compact"/>
            </w:pPr>
            <w:r>
              <w:t xml:space="preserve">2016</w:t>
            </w:r>
          </w:p>
        </w:tc>
        <w:tc>
          <w:tcPr/>
          <w:p>
            <w:pPr>
              <w:pStyle w:val="Compact"/>
            </w:pPr>
            <w:r>
              <w:t xml:space="preserve">MIGS</w:t>
            </w:r>
          </w:p>
        </w:tc>
        <w:tc>
          <w:tcPr/>
          <w:p>
            <w:pPr>
              <w:pStyle w:val="Compact"/>
            </w:pPr>
            <w:r>
              <w:t xml:space="preserve">4</w:t>
            </w:r>
          </w:p>
        </w:tc>
        <w:tc>
          <w:tcPr/>
          <w:p>
            <w:pPr>
              <w:pStyle w:val="Compact"/>
            </w:pPr>
            <w:r>
              <w:t xml:space="preserve">62</w:t>
            </w:r>
          </w:p>
        </w:tc>
        <w:tc>
          <w:tcPr/>
          <w:p>
            <w:pPr>
              <w:pStyle w:val="Compact"/>
            </w:pPr>
            <w:r>
              <w:t xml:space="preserve">14 (12–18)</w:t>
            </w:r>
          </w:p>
        </w:tc>
        <w:tc>
          <w:tcPr/>
          <w:p>
            <w:pPr>
              <w:pStyle w:val="Compact"/>
            </w:pPr>
            <w:r>
              <w:t xml:space="preserve">0.161</w:t>
            </w:r>
          </w:p>
        </w:tc>
        <w:tc>
          <w:tcPr/>
          <w:p>
            <w:pPr>
              <w:pStyle w:val="Compact"/>
            </w:pPr>
            <w:r>
              <w:t xml:space="preserve">2731.5</w:t>
            </w:r>
          </w:p>
        </w:tc>
        <w:tc>
          <w:tcPr/>
          <w:p>
            <w:pPr>
              <w:pStyle w:val="Compact"/>
            </w:pPr>
            <w:r>
              <w:t xml:space="preserve">37.1%</w:t>
            </w:r>
          </w:p>
        </w:tc>
        <w:tc>
          <w:tcPr/>
          <w:p>
            <w:pPr>
              <w:pStyle w:val="Compact"/>
            </w:pPr>
            <w:r>
              <w:t xml:space="preserve">37.1%</w:t>
            </w:r>
          </w:p>
        </w:tc>
        <w:tc>
          <w:tcPr/>
          <w:p>
            <w:pPr>
              <w:pStyle w:val="Compact"/>
            </w:pPr>
            <w:r>
              <w:t xml:space="preserve">37.1%</w:t>
            </w:r>
          </w:p>
        </w:tc>
      </w:tr>
      <w:tr>
        <w:tc>
          <w:tcPr/>
          <w:p>
            <w:pPr>
              <w:pStyle w:val="Compact"/>
            </w:pPr>
            <w:r>
              <w:t xml:space="preserve">2016</w:t>
            </w:r>
          </w:p>
        </w:tc>
        <w:tc>
          <w:tcPr/>
          <w:p>
            <w:pPr>
              <w:pStyle w:val="Compact"/>
            </w:pPr>
            <w:r>
              <w:t xml:space="preserve">General OB/GYN</w:t>
            </w:r>
          </w:p>
        </w:tc>
        <w:tc>
          <w:tcPr/>
          <w:p>
            <w:pPr>
              <w:pStyle w:val="Compact"/>
            </w:pPr>
            <w:r>
              <w:t xml:space="preserve">97</w:t>
            </w:r>
          </w:p>
        </w:tc>
        <w:tc>
          <w:tcPr/>
          <w:p>
            <w:pPr>
              <w:pStyle w:val="Compact"/>
            </w:pPr>
            <w:r>
              <w:t xml:space="preserve">1858</w:t>
            </w:r>
          </w:p>
        </w:tc>
        <w:tc>
          <w:tcPr/>
          <w:p>
            <w:pPr>
              <w:pStyle w:val="Compact"/>
            </w:pPr>
            <w:r>
              <w:t xml:space="preserve">15 (13–22)</w:t>
            </w:r>
          </w:p>
        </w:tc>
        <w:tc>
          <w:tcPr/>
          <w:p>
            <w:pPr>
              <w:pStyle w:val="Compact"/>
            </w:pPr>
            <w:r>
              <w:t xml:space="preserve">0.247</w:t>
            </w:r>
          </w:p>
        </w:tc>
        <w:tc>
          <w:tcPr/>
          <w:p>
            <w:pPr>
              <w:pStyle w:val="Compact"/>
            </w:pPr>
            <w:r>
              <w:t xml:space="preserve">133.1</w:t>
            </w:r>
          </w:p>
        </w:tc>
        <w:tc>
          <w:tcPr/>
          <w:p>
            <w:pPr>
              <w:pStyle w:val="Compact"/>
            </w:pPr>
            <w:r>
              <w:t xml:space="preserve">23.1%</w:t>
            </w:r>
          </w:p>
        </w:tc>
        <w:tc>
          <w:tcPr/>
          <w:p>
            <w:pPr>
              <w:pStyle w:val="Compact"/>
            </w:pPr>
            <w:r>
              <w:t xml:space="preserve">37.7%</w:t>
            </w:r>
          </w:p>
        </w:tc>
        <w:tc>
          <w:tcPr/>
          <w:p>
            <w:pPr>
              <w:pStyle w:val="Compact"/>
            </w:pPr>
            <w:r>
              <w:t xml:space="preserve">32.7%</w:t>
            </w:r>
          </w:p>
        </w:tc>
      </w:tr>
      <w:tr>
        <w:tc>
          <w:tcPr/>
          <w:p>
            <w:pPr>
              <w:pStyle w:val="Compact"/>
            </w:pPr>
            <w:r>
              <w:t xml:space="preserve">2016</w:t>
            </w:r>
          </w:p>
        </w:tc>
        <w:tc>
          <w:tcPr/>
          <w:p>
            <w:pPr>
              <w:pStyle w:val="Compact"/>
            </w:pPr>
            <w:r>
              <w:t xml:space="preserve">Urology</w:t>
            </w:r>
          </w:p>
        </w:tc>
        <w:tc>
          <w:tcPr/>
          <w:p>
            <w:pPr>
              <w:pStyle w:val="Compact"/>
            </w:pPr>
            <w:r>
              <w:t xml:space="preserve">129</w:t>
            </w:r>
          </w:p>
        </w:tc>
        <w:tc>
          <w:tcPr/>
          <w:p>
            <w:pPr>
              <w:pStyle w:val="Compact"/>
            </w:pPr>
            <w:r>
              <w:t xml:space="preserve">2225</w:t>
            </w:r>
          </w:p>
        </w:tc>
        <w:tc>
          <w:tcPr/>
          <w:p>
            <w:pPr>
              <w:pStyle w:val="Compact"/>
            </w:pPr>
            <w:r>
              <w:t xml:space="preserve">15 (13–20)</w:t>
            </w:r>
          </w:p>
        </w:tc>
        <w:tc>
          <w:tcPr/>
          <w:p>
            <w:pPr>
              <w:pStyle w:val="Compact"/>
            </w:pPr>
            <w:r>
              <w:t xml:space="preserve">0.199</w:t>
            </w:r>
          </w:p>
        </w:tc>
        <w:tc>
          <w:tcPr/>
          <w:p>
            <w:pPr>
              <w:pStyle w:val="Compact"/>
            </w:pPr>
            <w:r>
              <w:t xml:space="preserve">94.9</w:t>
            </w:r>
          </w:p>
        </w:tc>
        <w:tc>
          <w:tcPr/>
          <w:p>
            <w:pPr>
              <w:pStyle w:val="Compact"/>
            </w:pPr>
            <w:r>
              <w:t xml:space="preserve">20.3%</w:t>
            </w:r>
          </w:p>
        </w:tc>
        <w:tc>
          <w:tcPr/>
          <w:p>
            <w:pPr>
              <w:pStyle w:val="Compact"/>
            </w:pPr>
            <w:r>
              <w:t xml:space="preserve">33.3%</w:t>
            </w:r>
          </w:p>
        </w:tc>
        <w:tc>
          <w:tcPr/>
          <w:p>
            <w:pPr>
              <w:pStyle w:val="Compact"/>
            </w:pPr>
            <w:r>
              <w:t xml:space="preserve">36.3%</w:t>
            </w:r>
          </w:p>
        </w:tc>
      </w:tr>
      <w:tr>
        <w:tc>
          <w:tcPr/>
          <w:p>
            <w:pPr>
              <w:pStyle w:val="Compact"/>
            </w:pPr>
            <w:r>
              <w:t xml:space="preserve">2016</w:t>
            </w:r>
          </w:p>
        </w:tc>
        <w:tc>
          <w:tcPr/>
          <w:p>
            <w:pPr>
              <w:pStyle w:val="Compact"/>
            </w:pPr>
            <w:r>
              <w:t xml:space="preserve">Other/uncertain</w:t>
            </w:r>
          </w:p>
        </w:tc>
        <w:tc>
          <w:tcPr/>
          <w:p>
            <w:pPr>
              <w:pStyle w:val="Compact"/>
            </w:pPr>
            <w:r>
              <w:t xml:space="preserve">49</w:t>
            </w:r>
          </w:p>
        </w:tc>
        <w:tc>
          <w:tcPr/>
          <w:p>
            <w:pPr>
              <w:pStyle w:val="Compact"/>
            </w:pPr>
            <w:r>
              <w:t xml:space="preserve">1072</w:t>
            </w:r>
          </w:p>
        </w:tc>
        <w:tc>
          <w:tcPr/>
          <w:p>
            <w:pPr>
              <w:pStyle w:val="Compact"/>
            </w:pPr>
            <w:r>
              <w:t xml:space="preserve">19 (13–26)</w:t>
            </w:r>
          </w:p>
        </w:tc>
        <w:tc>
          <w:tcPr/>
          <w:p>
            <w:pPr>
              <w:pStyle w:val="Compact"/>
            </w:pPr>
            <w:r>
              <w:t xml:space="preserve">0.269</w:t>
            </w:r>
          </w:p>
        </w:tc>
        <w:tc>
          <w:tcPr/>
          <w:p>
            <w:pPr>
              <w:pStyle w:val="Compact"/>
            </w:pPr>
            <w:r>
              <w:t xml:space="preserve">268.9</w:t>
            </w:r>
          </w:p>
        </w:tc>
        <w:tc>
          <w:tcPr/>
          <w:p>
            <w:pPr>
              <w:pStyle w:val="Compact"/>
            </w:pPr>
            <w:r>
              <w:t xml:space="preserve">22.8%</w:t>
            </w:r>
          </w:p>
        </w:tc>
        <w:tc>
          <w:tcPr/>
          <w:p>
            <w:pPr>
              <w:pStyle w:val="Compact"/>
            </w:pPr>
            <w:r>
              <w:t xml:space="preserve">37.9%</w:t>
            </w:r>
          </w:p>
        </w:tc>
        <w:tc>
          <w:tcPr/>
          <w:p>
            <w:pPr>
              <w:pStyle w:val="Compact"/>
            </w:pPr>
            <w:r>
              <w:t xml:space="preserve">30.4%</w:t>
            </w:r>
          </w:p>
        </w:tc>
      </w:tr>
      <w:tr>
        <w:tc>
          <w:tcPr/>
          <w:p>
            <w:pPr>
              <w:pStyle w:val="Compact"/>
            </w:pPr>
            <w:r>
              <w:t xml:space="preserve">2016</w:t>
            </w:r>
          </w:p>
        </w:tc>
        <w:tc>
          <w:tcPr/>
          <w:p>
            <w:pPr>
              <w:pStyle w:val="Compact"/>
            </w:pPr>
            <w:r>
              <w:t xml:space="preserve">URPS (OB/GYN)</w:t>
            </w:r>
          </w:p>
        </w:tc>
        <w:tc>
          <w:tcPr/>
          <w:p>
            <w:pPr>
              <w:pStyle w:val="Compact"/>
            </w:pPr>
            <w:r>
              <w:t xml:space="preserve">314</w:t>
            </w:r>
          </w:p>
        </w:tc>
        <w:tc>
          <w:tcPr/>
          <w:p>
            <w:pPr>
              <w:pStyle w:val="Compact"/>
            </w:pPr>
            <w:r>
              <w:t xml:space="preserve">7675</w:t>
            </w:r>
          </w:p>
        </w:tc>
        <w:tc>
          <w:tcPr/>
          <w:p>
            <w:pPr>
              <w:pStyle w:val="Compact"/>
            </w:pPr>
            <w:r>
              <w:t xml:space="preserve">20 (14–29)</w:t>
            </w:r>
          </w:p>
        </w:tc>
        <w:tc>
          <w:tcPr/>
          <w:p>
            <w:pPr>
              <w:pStyle w:val="Compact"/>
            </w:pPr>
            <w:r>
              <w:t xml:space="preserve">0.281</w:t>
            </w:r>
          </w:p>
        </w:tc>
        <w:tc>
          <w:tcPr/>
          <w:p>
            <w:pPr>
              <w:pStyle w:val="Compact"/>
            </w:pPr>
            <w:r>
              <w:t xml:space="preserve">41.7</w:t>
            </w:r>
          </w:p>
        </w:tc>
        <w:tc>
          <w:tcPr/>
          <w:p>
            <w:pPr>
              <w:pStyle w:val="Compact"/>
            </w:pPr>
            <w:r>
              <w:t xml:space="preserve">23.4%</w:t>
            </w:r>
          </w:p>
        </w:tc>
        <w:tc>
          <w:tcPr/>
          <w:p>
            <w:pPr>
              <w:pStyle w:val="Compact"/>
            </w:pPr>
            <w:r>
              <w:t xml:space="preserve">38.3%</w:t>
            </w:r>
          </w:p>
        </w:tc>
        <w:tc>
          <w:tcPr/>
          <w:p>
            <w:pPr>
              <w:pStyle w:val="Compact"/>
            </w:pPr>
            <w:r>
              <w:t xml:space="preserve">30.5%</w:t>
            </w:r>
          </w:p>
        </w:tc>
      </w:tr>
      <w:tr>
        <w:tc>
          <w:tcPr/>
          <w:p>
            <w:pPr>
              <w:pStyle w:val="Compact"/>
            </w:pPr>
            <w:r>
              <w:t xml:space="preserve">2016</w:t>
            </w:r>
          </w:p>
        </w:tc>
        <w:tc>
          <w:tcPr/>
          <w:p>
            <w:pPr>
              <w:pStyle w:val="Compact"/>
            </w:pPr>
            <w:r>
              <w:t xml:space="preserve">URPS (urology)</w:t>
            </w:r>
          </w:p>
        </w:tc>
        <w:tc>
          <w:tcPr/>
          <w:p>
            <w:pPr>
              <w:pStyle w:val="Compact"/>
            </w:pPr>
            <w:r>
              <w:t xml:space="preserve">72</w:t>
            </w:r>
          </w:p>
        </w:tc>
        <w:tc>
          <w:tcPr/>
          <w:p>
            <w:pPr>
              <w:pStyle w:val="Compact"/>
            </w:pPr>
            <w:r>
              <w:t xml:space="preserve">1430</w:t>
            </w:r>
          </w:p>
        </w:tc>
        <w:tc>
          <w:tcPr/>
          <w:p>
            <w:pPr>
              <w:pStyle w:val="Compact"/>
            </w:pPr>
            <w:r>
              <w:t xml:space="preserve">16 (14–23)</w:t>
            </w:r>
          </w:p>
        </w:tc>
        <w:tc>
          <w:tcPr/>
          <w:p>
            <w:pPr>
              <w:pStyle w:val="Compact"/>
            </w:pPr>
            <w:r>
              <w:t xml:space="preserve">0.241</w:t>
            </w:r>
          </w:p>
        </w:tc>
        <w:tc>
          <w:tcPr/>
          <w:p>
            <w:pPr>
              <w:pStyle w:val="Compact"/>
            </w:pPr>
            <w:r>
              <w:t xml:space="preserve">181.3</w:t>
            </w:r>
          </w:p>
        </w:tc>
        <w:tc>
          <w:tcPr/>
          <w:p>
            <w:pPr>
              <w:pStyle w:val="Compact"/>
            </w:pPr>
            <w:r>
              <w:t xml:space="preserve">24.3%</w:t>
            </w:r>
          </w:p>
        </w:tc>
        <w:tc>
          <w:tcPr/>
          <w:p>
            <w:pPr>
              <w:pStyle w:val="Compact"/>
            </w:pPr>
            <w:r>
              <w:t xml:space="preserve">37.1%</w:t>
            </w:r>
          </w:p>
        </w:tc>
        <w:tc>
          <w:tcPr/>
          <w:p>
            <w:pPr>
              <w:pStyle w:val="Compact"/>
            </w:pPr>
            <w:r>
              <w:t xml:space="preserve">33.8%</w:t>
            </w:r>
          </w:p>
        </w:tc>
      </w:tr>
      <w:tr>
        <w:tc>
          <w:tcPr/>
          <w:p>
            <w:pPr>
              <w:pStyle w:val="Compact"/>
            </w:pPr>
            <w:r>
              <w:t xml:space="preserve">2017</w:t>
            </w:r>
          </w:p>
        </w:tc>
        <w:tc>
          <w:tcPr/>
          <w:p>
            <w:pPr>
              <w:pStyle w:val="Compact"/>
            </w:pPr>
            <w:r>
              <w:t xml:space="preserve">All</w:t>
            </w:r>
          </w:p>
        </w:tc>
        <w:tc>
          <w:tcPr/>
          <w:p>
            <w:pPr>
              <w:pStyle w:val="Compact"/>
            </w:pPr>
            <w:r>
              <w:t xml:space="preserve">694</w:t>
            </w:r>
          </w:p>
        </w:tc>
        <w:tc>
          <w:tcPr/>
          <w:p>
            <w:pPr>
              <w:pStyle w:val="Compact"/>
            </w:pPr>
            <w:r>
              <w:t xml:space="preserve">15274</w:t>
            </w:r>
          </w:p>
        </w:tc>
        <w:tc>
          <w:tcPr/>
          <w:p>
            <w:pPr>
              <w:pStyle w:val="Compact"/>
            </w:pPr>
            <w:r>
              <w:t xml:space="preserve">18 (13–26)</w:t>
            </w:r>
          </w:p>
        </w:tc>
        <w:tc>
          <w:tcPr/>
          <w:p>
            <w:pPr>
              <w:pStyle w:val="Compact"/>
            </w:pPr>
            <w:r>
              <w:t xml:space="preserve">0.281</w:t>
            </w:r>
          </w:p>
        </w:tc>
        <w:tc>
          <w:tcPr/>
          <w:p>
            <w:pPr>
              <w:pStyle w:val="Compact"/>
            </w:pPr>
            <w:r>
              <w:t xml:space="preserve">19.2</w:t>
            </w:r>
          </w:p>
        </w:tc>
        <w:tc>
          <w:tcPr/>
          <w:p>
            <w:pPr>
              <w:pStyle w:val="Compact"/>
            </w:pPr>
            <w:r>
              <w:t xml:space="preserve">23.8%</w:t>
            </w:r>
          </w:p>
        </w:tc>
        <w:tc>
          <w:tcPr/>
          <w:p>
            <w:pPr>
              <w:pStyle w:val="Compact"/>
            </w:pPr>
            <w:r>
              <w:t xml:space="preserve">38.9%</w:t>
            </w:r>
          </w:p>
        </w:tc>
        <w:tc>
          <w:tcPr/>
          <w:p>
            <w:pPr>
              <w:pStyle w:val="Compact"/>
            </w:pPr>
            <w:r>
              <w:t xml:space="preserve">30.7%</w:t>
            </w:r>
          </w:p>
        </w:tc>
      </w:tr>
      <w:tr>
        <w:tc>
          <w:tcPr/>
          <w:p>
            <w:pPr>
              <w:pStyle w:val="Compact"/>
            </w:pPr>
            <w:r>
              <w:t xml:space="preserve">2017</w:t>
            </w:r>
          </w:p>
        </w:tc>
        <w:tc>
          <w:tcPr/>
          <w:p>
            <w:pPr>
              <w:pStyle w:val="Compact"/>
            </w:pPr>
            <w:r>
              <w:t xml:space="preserve">MIGS</w:t>
            </w:r>
          </w:p>
        </w:tc>
        <w:tc>
          <w:tcPr/>
          <w:p>
            <w:pPr>
              <w:pStyle w:val="Compact"/>
            </w:pPr>
            <w:r>
              <w:t xml:space="preserve">3</w:t>
            </w:r>
          </w:p>
        </w:tc>
        <w:tc>
          <w:tcPr/>
          <w:p>
            <w:pPr>
              <w:pStyle w:val="Compact"/>
            </w:pPr>
            <w:r>
              <w:t xml:space="preserve">79</w:t>
            </w:r>
          </w:p>
        </w:tc>
        <w:tc>
          <w:tcPr/>
          <w:p>
            <w:pPr>
              <w:pStyle w:val="Compact"/>
            </w:pPr>
            <w:r>
              <w:t xml:space="preserve">15 (14–34)</w:t>
            </w:r>
          </w:p>
        </w:tc>
        <w:tc>
          <w:tcPr/>
          <w:p>
            <w:pPr>
              <w:pStyle w:val="Compact"/>
            </w:pPr>
            <w:r>
              <w:t xml:space="preserve">0.338</w:t>
            </w:r>
          </w:p>
        </w:tc>
        <w:tc>
          <w:tcPr/>
          <w:p>
            <w:pPr>
              <w:pStyle w:val="Compact"/>
            </w:pPr>
            <w:r>
              <w:t xml:space="preserve">4923.9</w:t>
            </w:r>
          </w:p>
        </w:tc>
        <w:tc>
          <w:tcPr/>
          <w:p>
            <w:pPr>
              <w:pStyle w:val="Compact"/>
            </w:pPr>
            <w:r>
              <w:t xml:space="preserve">65.8%</w:t>
            </w:r>
          </w:p>
        </w:tc>
        <w:tc>
          <w:tcPr/>
          <w:p>
            <w:pPr>
              <w:pStyle w:val="Compact"/>
            </w:pPr>
            <w:r>
              <w:t xml:space="preserve">65.8%</w:t>
            </w:r>
          </w:p>
        </w:tc>
        <w:tc>
          <w:tcPr/>
          <w:p>
            <w:pPr>
              <w:pStyle w:val="Compact"/>
            </w:pPr>
            <w:r>
              <w:t xml:space="preserve">15.2%</w:t>
            </w:r>
          </w:p>
        </w:tc>
      </w:tr>
      <w:tr>
        <w:tc>
          <w:tcPr/>
          <w:p>
            <w:pPr>
              <w:pStyle w:val="Compact"/>
            </w:pPr>
            <w:r>
              <w:t xml:space="preserve">2017</w:t>
            </w:r>
          </w:p>
        </w:tc>
        <w:tc>
          <w:tcPr/>
          <w:p>
            <w:pPr>
              <w:pStyle w:val="Compact"/>
            </w:pPr>
            <w:r>
              <w:t xml:space="preserve">General OB/GYN</w:t>
            </w:r>
          </w:p>
        </w:tc>
        <w:tc>
          <w:tcPr/>
          <w:p>
            <w:pPr>
              <w:pStyle w:val="Compact"/>
            </w:pPr>
            <w:r>
              <w:t xml:space="preserve">95</w:t>
            </w:r>
          </w:p>
        </w:tc>
        <w:tc>
          <w:tcPr/>
          <w:p>
            <w:pPr>
              <w:pStyle w:val="Compact"/>
            </w:pPr>
            <w:r>
              <w:t xml:space="preserve">1925</w:t>
            </w:r>
          </w:p>
        </w:tc>
        <w:tc>
          <w:tcPr/>
          <w:p>
            <w:pPr>
              <w:pStyle w:val="Compact"/>
            </w:pPr>
            <w:r>
              <w:t xml:space="preserve">16 (13–24)</w:t>
            </w:r>
          </w:p>
        </w:tc>
        <w:tc>
          <w:tcPr/>
          <w:p>
            <w:pPr>
              <w:pStyle w:val="Compact"/>
            </w:pPr>
            <w:r>
              <w:t xml:space="preserve">0.269</w:t>
            </w:r>
          </w:p>
        </w:tc>
        <w:tc>
          <w:tcPr/>
          <w:p>
            <w:pPr>
              <w:pStyle w:val="Compact"/>
            </w:pPr>
            <w:r>
              <w:t xml:space="preserve">143.0</w:t>
            </w:r>
          </w:p>
        </w:tc>
        <w:tc>
          <w:tcPr/>
          <w:p>
            <w:pPr>
              <w:pStyle w:val="Compact"/>
            </w:pPr>
            <w:r>
              <w:t xml:space="preserve">25.4%</w:t>
            </w:r>
          </w:p>
        </w:tc>
        <w:tc>
          <w:tcPr/>
          <w:p>
            <w:pPr>
              <w:pStyle w:val="Compact"/>
            </w:pPr>
            <w:r>
              <w:t xml:space="preserve">38.4%</w:t>
            </w:r>
          </w:p>
        </w:tc>
        <w:tc>
          <w:tcPr/>
          <w:p>
            <w:pPr>
              <w:pStyle w:val="Compact"/>
            </w:pPr>
            <w:r>
              <w:t xml:space="preserve">31.5%</w:t>
            </w:r>
          </w:p>
        </w:tc>
      </w:tr>
      <w:tr>
        <w:tc>
          <w:tcPr/>
          <w:p>
            <w:pPr>
              <w:pStyle w:val="Compact"/>
            </w:pPr>
            <w:r>
              <w:t xml:space="preserve">2017</w:t>
            </w:r>
          </w:p>
        </w:tc>
        <w:tc>
          <w:tcPr/>
          <w:p>
            <w:pPr>
              <w:pStyle w:val="Compact"/>
            </w:pPr>
            <w:r>
              <w:t xml:space="preserve">Urology</w:t>
            </w:r>
          </w:p>
        </w:tc>
        <w:tc>
          <w:tcPr/>
          <w:p>
            <w:pPr>
              <w:pStyle w:val="Compact"/>
            </w:pPr>
            <w:r>
              <w:t xml:space="preserve">126</w:t>
            </w:r>
          </w:p>
        </w:tc>
        <w:tc>
          <w:tcPr/>
          <w:p>
            <w:pPr>
              <w:pStyle w:val="Compact"/>
            </w:pPr>
            <w:r>
              <w:t xml:space="preserve">2341</w:t>
            </w:r>
          </w:p>
        </w:tc>
        <w:tc>
          <w:tcPr/>
          <w:p>
            <w:pPr>
              <w:pStyle w:val="Compact"/>
            </w:pPr>
            <w:r>
              <w:t xml:space="preserve">15 (12–21)</w:t>
            </w:r>
          </w:p>
        </w:tc>
        <w:tc>
          <w:tcPr/>
          <w:p>
            <w:pPr>
              <w:pStyle w:val="Compact"/>
            </w:pPr>
            <w:r>
              <w:t xml:space="preserve">0.249</w:t>
            </w:r>
          </w:p>
        </w:tc>
        <w:tc>
          <w:tcPr/>
          <w:p>
            <w:pPr>
              <w:pStyle w:val="Compact"/>
            </w:pPr>
            <w:r>
              <w:t xml:space="preserve">109.3</w:t>
            </w:r>
          </w:p>
        </w:tc>
        <w:tc>
          <w:tcPr/>
          <w:p>
            <w:pPr>
              <w:pStyle w:val="Compact"/>
            </w:pPr>
            <w:r>
              <w:t xml:space="preserve">24.0%</w:t>
            </w:r>
          </w:p>
        </w:tc>
        <w:tc>
          <w:tcPr/>
          <w:p>
            <w:pPr>
              <w:pStyle w:val="Compact"/>
            </w:pPr>
            <w:r>
              <w:t xml:space="preserve">37.7%</w:t>
            </w:r>
          </w:p>
        </w:tc>
        <w:tc>
          <w:tcPr/>
          <w:p>
            <w:pPr>
              <w:pStyle w:val="Compact"/>
            </w:pPr>
            <w:r>
              <w:t xml:space="preserve">33.3%</w:t>
            </w:r>
          </w:p>
        </w:tc>
      </w:tr>
      <w:tr>
        <w:tc>
          <w:tcPr/>
          <w:p>
            <w:pPr>
              <w:pStyle w:val="Compact"/>
            </w:pPr>
            <w:r>
              <w:t xml:space="preserve">2017</w:t>
            </w:r>
          </w:p>
        </w:tc>
        <w:tc>
          <w:tcPr/>
          <w:p>
            <w:pPr>
              <w:pStyle w:val="Compact"/>
            </w:pPr>
            <w:r>
              <w:t xml:space="preserve">Other/uncertain</w:t>
            </w:r>
          </w:p>
        </w:tc>
        <w:tc>
          <w:tcPr/>
          <w:p>
            <w:pPr>
              <w:pStyle w:val="Compact"/>
            </w:pPr>
            <w:r>
              <w:t xml:space="preserve">55</w:t>
            </w:r>
          </w:p>
        </w:tc>
        <w:tc>
          <w:tcPr/>
          <w:p>
            <w:pPr>
              <w:pStyle w:val="Compact"/>
            </w:pPr>
            <w:r>
              <w:t xml:space="preserve">1189</w:t>
            </w:r>
          </w:p>
        </w:tc>
        <w:tc>
          <w:tcPr/>
          <w:p>
            <w:pPr>
              <w:pStyle w:val="Compact"/>
            </w:pPr>
            <w:r>
              <w:t xml:space="preserve">16 (13–26)</w:t>
            </w:r>
          </w:p>
        </w:tc>
        <w:tc>
          <w:tcPr/>
          <w:p>
            <w:pPr>
              <w:pStyle w:val="Compact"/>
            </w:pPr>
            <w:r>
              <w:t xml:space="preserve">0.286</w:t>
            </w:r>
          </w:p>
        </w:tc>
        <w:tc>
          <w:tcPr/>
          <w:p>
            <w:pPr>
              <w:pStyle w:val="Compact"/>
            </w:pPr>
            <w:r>
              <w:t xml:space="preserve">243.2</w:t>
            </w:r>
          </w:p>
        </w:tc>
        <w:tc>
          <w:tcPr/>
          <w:p>
            <w:pPr>
              <w:pStyle w:val="Compact"/>
            </w:pPr>
            <w:r>
              <w:t xml:space="preserve">25.5%</w:t>
            </w:r>
          </w:p>
        </w:tc>
        <w:tc>
          <w:tcPr/>
          <w:p>
            <w:pPr>
              <w:pStyle w:val="Compact"/>
            </w:pPr>
            <w:r>
              <w:t xml:space="preserve">39.1%</w:t>
            </w:r>
          </w:p>
        </w:tc>
        <w:tc>
          <w:tcPr/>
          <w:p>
            <w:pPr>
              <w:pStyle w:val="Compact"/>
            </w:pPr>
            <w:r>
              <w:t xml:space="preserve">29.4%</w:t>
            </w:r>
          </w:p>
        </w:tc>
      </w:tr>
      <w:tr>
        <w:tc>
          <w:tcPr/>
          <w:p>
            <w:pPr>
              <w:pStyle w:val="Compact"/>
            </w:pPr>
            <w:r>
              <w:t xml:space="preserve">2017</w:t>
            </w:r>
          </w:p>
        </w:tc>
        <w:tc>
          <w:tcPr/>
          <w:p>
            <w:pPr>
              <w:pStyle w:val="Compact"/>
            </w:pPr>
            <w:r>
              <w:t xml:space="preserve">URPS (OB/GYN)</w:t>
            </w:r>
          </w:p>
        </w:tc>
        <w:tc>
          <w:tcPr/>
          <w:p>
            <w:pPr>
              <w:pStyle w:val="Compact"/>
            </w:pPr>
            <w:r>
              <w:t xml:space="preserve">341</w:t>
            </w:r>
          </w:p>
        </w:tc>
        <w:tc>
          <w:tcPr/>
          <w:p>
            <w:pPr>
              <w:pStyle w:val="Compact"/>
            </w:pPr>
            <w:r>
              <w:t xml:space="preserve">8217</w:t>
            </w:r>
          </w:p>
        </w:tc>
        <w:tc>
          <w:tcPr/>
          <w:p>
            <w:pPr>
              <w:pStyle w:val="Compact"/>
            </w:pPr>
            <w:r>
              <w:t xml:space="preserve">20 (14–30)</w:t>
            </w:r>
          </w:p>
        </w:tc>
        <w:tc>
          <w:tcPr/>
          <w:p>
            <w:pPr>
              <w:pStyle w:val="Compact"/>
            </w:pPr>
            <w:r>
              <w:t xml:space="preserve">0.285</w:t>
            </w:r>
          </w:p>
        </w:tc>
        <w:tc>
          <w:tcPr/>
          <w:p>
            <w:pPr>
              <w:pStyle w:val="Compact"/>
            </w:pPr>
            <w:r>
              <w:t xml:space="preserve">38.4</w:t>
            </w:r>
          </w:p>
        </w:tc>
        <w:tc>
          <w:tcPr/>
          <w:p>
            <w:pPr>
              <w:pStyle w:val="Compact"/>
            </w:pPr>
            <w:r>
              <w:t xml:space="preserve">23.0%</w:t>
            </w:r>
          </w:p>
        </w:tc>
        <w:tc>
          <w:tcPr/>
          <w:p>
            <w:pPr>
              <w:pStyle w:val="Compact"/>
            </w:pPr>
            <w:r>
              <w:t xml:space="preserve">38.7%</w:t>
            </w:r>
          </w:p>
        </w:tc>
        <w:tc>
          <w:tcPr/>
          <w:p>
            <w:pPr>
              <w:pStyle w:val="Compact"/>
            </w:pPr>
            <w:r>
              <w:t xml:space="preserve">30.0%</w:t>
            </w:r>
          </w:p>
        </w:tc>
      </w:tr>
      <w:tr>
        <w:tc>
          <w:tcPr/>
          <w:p>
            <w:pPr>
              <w:pStyle w:val="Compact"/>
            </w:pPr>
            <w:r>
              <w:t xml:space="preserve">2017</w:t>
            </w:r>
          </w:p>
        </w:tc>
        <w:tc>
          <w:tcPr/>
          <w:p>
            <w:pPr>
              <w:pStyle w:val="Compact"/>
            </w:pPr>
            <w:r>
              <w:t xml:space="preserve">URPS (urology)</w:t>
            </w:r>
          </w:p>
        </w:tc>
        <w:tc>
          <w:tcPr/>
          <w:p>
            <w:pPr>
              <w:pStyle w:val="Compact"/>
            </w:pPr>
            <w:r>
              <w:t xml:space="preserve">74</w:t>
            </w:r>
          </w:p>
        </w:tc>
        <w:tc>
          <w:tcPr/>
          <w:p>
            <w:pPr>
              <w:pStyle w:val="Compact"/>
            </w:pPr>
            <w:r>
              <w:t xml:space="preserve">1523</w:t>
            </w:r>
          </w:p>
        </w:tc>
        <w:tc>
          <w:tcPr/>
          <w:p>
            <w:pPr>
              <w:pStyle w:val="Compact"/>
            </w:pPr>
            <w:r>
              <w:t xml:space="preserve">17 (14–24)</w:t>
            </w:r>
          </w:p>
        </w:tc>
        <w:tc>
          <w:tcPr/>
          <w:p>
            <w:pPr>
              <w:pStyle w:val="Compact"/>
            </w:pPr>
            <w:r>
              <w:t xml:space="preserve">0.246</w:t>
            </w:r>
          </w:p>
        </w:tc>
        <w:tc>
          <w:tcPr/>
          <w:p>
            <w:pPr>
              <w:pStyle w:val="Compact"/>
            </w:pPr>
            <w:r>
              <w:t xml:space="preserve">169.4</w:t>
            </w:r>
          </w:p>
        </w:tc>
        <w:tc>
          <w:tcPr/>
          <w:p>
            <w:pPr>
              <w:pStyle w:val="Compact"/>
            </w:pPr>
            <w:r>
              <w:t xml:space="preserve">22.9%</w:t>
            </w:r>
          </w:p>
        </w:tc>
        <w:tc>
          <w:tcPr/>
          <w:p>
            <w:pPr>
              <w:pStyle w:val="Compact"/>
            </w:pPr>
            <w:r>
              <w:t xml:space="preserve">36.0%</w:t>
            </w:r>
          </w:p>
        </w:tc>
        <w:tc>
          <w:tcPr/>
          <w:p>
            <w:pPr>
              <w:pStyle w:val="Compact"/>
            </w:pPr>
            <w:r>
              <w:t xml:space="preserve">32.9%</w:t>
            </w:r>
          </w:p>
        </w:tc>
      </w:tr>
      <w:tr>
        <w:tc>
          <w:tcPr/>
          <w:p>
            <w:pPr>
              <w:pStyle w:val="Compact"/>
            </w:pPr>
            <w:r>
              <w:t xml:space="preserve">2018</w:t>
            </w:r>
          </w:p>
        </w:tc>
        <w:tc>
          <w:tcPr/>
          <w:p>
            <w:pPr>
              <w:pStyle w:val="Compact"/>
            </w:pPr>
            <w:r>
              <w:t xml:space="preserve">All</w:t>
            </w:r>
          </w:p>
        </w:tc>
        <w:tc>
          <w:tcPr/>
          <w:p>
            <w:pPr>
              <w:pStyle w:val="Compact"/>
            </w:pPr>
            <w:r>
              <w:t xml:space="preserve">640</w:t>
            </w:r>
          </w:p>
        </w:tc>
        <w:tc>
          <w:tcPr/>
          <w:p>
            <w:pPr>
              <w:pStyle w:val="Compact"/>
            </w:pPr>
            <w:r>
              <w:t xml:space="preserve">14455</w:t>
            </w:r>
          </w:p>
        </w:tc>
        <w:tc>
          <w:tcPr/>
          <w:p>
            <w:pPr>
              <w:pStyle w:val="Compact"/>
            </w:pPr>
            <w:r>
              <w:t xml:space="preserve">19 (14–27)</w:t>
            </w:r>
          </w:p>
        </w:tc>
        <w:tc>
          <w:tcPr/>
          <w:p>
            <w:pPr>
              <w:pStyle w:val="Compact"/>
            </w:pPr>
            <w:r>
              <w:t xml:space="preserve">0.275</w:t>
            </w:r>
          </w:p>
        </w:tc>
        <w:tc>
          <w:tcPr/>
          <w:p>
            <w:pPr>
              <w:pStyle w:val="Compact"/>
            </w:pPr>
            <w:r>
              <w:t xml:space="preserve">20.4</w:t>
            </w:r>
          </w:p>
        </w:tc>
        <w:tc>
          <w:tcPr/>
          <w:p>
            <w:pPr>
              <w:pStyle w:val="Compact"/>
            </w:pPr>
            <w:r>
              <w:t xml:space="preserve">22.9%</w:t>
            </w:r>
          </w:p>
        </w:tc>
        <w:tc>
          <w:tcPr/>
          <w:p>
            <w:pPr>
              <w:pStyle w:val="Compact"/>
            </w:pPr>
            <w:r>
              <w:t xml:space="preserve">37.9%</w:t>
            </w:r>
          </w:p>
        </w:tc>
        <w:tc>
          <w:tcPr/>
          <w:p>
            <w:pPr>
              <w:pStyle w:val="Compact"/>
            </w:pPr>
            <w:r>
              <w:t xml:space="preserve">31.0%</w:t>
            </w:r>
          </w:p>
        </w:tc>
      </w:tr>
      <w:tr>
        <w:tc>
          <w:tcPr/>
          <w:p>
            <w:pPr>
              <w:pStyle w:val="Compact"/>
            </w:pPr>
            <w:r>
              <w:t xml:space="preserve">2018</w:t>
            </w:r>
          </w:p>
        </w:tc>
        <w:tc>
          <w:tcPr/>
          <w:p>
            <w:pPr>
              <w:pStyle w:val="Compact"/>
            </w:pPr>
            <w:r>
              <w:t xml:space="preserve">MIGS</w:t>
            </w:r>
          </w:p>
        </w:tc>
        <w:tc>
          <w:tcPr/>
          <w:p>
            <w:pPr>
              <w:pStyle w:val="Compact"/>
            </w:pPr>
            <w:r>
              <w:t xml:space="preserve">4</w:t>
            </w:r>
          </w:p>
        </w:tc>
        <w:tc>
          <w:tcPr/>
          <w:p>
            <w:pPr>
              <w:pStyle w:val="Compact"/>
            </w:pPr>
            <w:r>
              <w:t xml:space="preserve">126</w:t>
            </w:r>
          </w:p>
        </w:tc>
        <w:tc>
          <w:tcPr/>
          <w:p>
            <w:pPr>
              <w:pStyle w:val="Compact"/>
            </w:pPr>
            <w:r>
              <w:t xml:space="preserve">21 (20–33)</w:t>
            </w:r>
          </w:p>
        </w:tc>
        <w:tc>
          <w:tcPr/>
          <w:p>
            <w:pPr>
              <w:pStyle w:val="Compact"/>
            </w:pPr>
            <w:r>
              <w:t xml:space="preserve">0.278</w:t>
            </w:r>
          </w:p>
        </w:tc>
        <w:tc>
          <w:tcPr/>
          <w:p>
            <w:pPr>
              <w:pStyle w:val="Compact"/>
            </w:pPr>
            <w:r>
              <w:t xml:space="preserve">3445.5</w:t>
            </w:r>
          </w:p>
        </w:tc>
        <w:tc>
          <w:tcPr/>
          <w:p>
            <w:pPr>
              <w:pStyle w:val="Compact"/>
            </w:pPr>
            <w:r>
              <w:t xml:space="preserve">51.6%</w:t>
            </w:r>
          </w:p>
        </w:tc>
        <w:tc>
          <w:tcPr/>
          <w:p>
            <w:pPr>
              <w:pStyle w:val="Compact"/>
            </w:pPr>
            <w:r>
              <w:t xml:space="preserve">51.6%</w:t>
            </w:r>
          </w:p>
        </w:tc>
        <w:tc>
          <w:tcPr/>
          <w:p>
            <w:pPr>
              <w:pStyle w:val="Compact"/>
            </w:pPr>
            <w:r>
              <w:t xml:space="preserve">31.0%</w:t>
            </w:r>
          </w:p>
        </w:tc>
      </w:tr>
      <w:tr>
        <w:tc>
          <w:tcPr/>
          <w:p>
            <w:pPr>
              <w:pStyle w:val="Compact"/>
            </w:pPr>
            <w:r>
              <w:t xml:space="preserve">2018</w:t>
            </w:r>
          </w:p>
        </w:tc>
        <w:tc>
          <w:tcPr/>
          <w:p>
            <w:pPr>
              <w:pStyle w:val="Compact"/>
            </w:pPr>
            <w:r>
              <w:t xml:space="preserve">General OB/GYN</w:t>
            </w:r>
          </w:p>
        </w:tc>
        <w:tc>
          <w:tcPr/>
          <w:p>
            <w:pPr>
              <w:pStyle w:val="Compact"/>
            </w:pPr>
            <w:r>
              <w:t xml:space="preserve">82</w:t>
            </w:r>
          </w:p>
        </w:tc>
        <w:tc>
          <w:tcPr/>
          <w:p>
            <w:pPr>
              <w:pStyle w:val="Compact"/>
            </w:pPr>
            <w:r>
              <w:t xml:space="preserve">1611</w:t>
            </w:r>
          </w:p>
        </w:tc>
        <w:tc>
          <w:tcPr/>
          <w:p>
            <w:pPr>
              <w:pStyle w:val="Compact"/>
            </w:pPr>
            <w:r>
              <w:t xml:space="preserve">18 (13–23)</w:t>
            </w:r>
          </w:p>
        </w:tc>
        <w:tc>
          <w:tcPr/>
          <w:p>
            <w:pPr>
              <w:pStyle w:val="Compact"/>
            </w:pPr>
            <w:r>
              <w:t xml:space="preserve">0.241</w:t>
            </w:r>
          </w:p>
        </w:tc>
        <w:tc>
          <w:tcPr/>
          <w:p>
            <w:pPr>
              <w:pStyle w:val="Compact"/>
            </w:pPr>
            <w:r>
              <w:t xml:space="preserve">155.3</w:t>
            </w:r>
          </w:p>
        </w:tc>
        <w:tc>
          <w:tcPr/>
          <w:p>
            <w:pPr>
              <w:pStyle w:val="Compact"/>
            </w:pPr>
            <w:r>
              <w:t xml:space="preserve">23.5%</w:t>
            </w:r>
          </w:p>
        </w:tc>
        <w:tc>
          <w:tcPr/>
          <w:p>
            <w:pPr>
              <w:pStyle w:val="Compact"/>
            </w:pPr>
            <w:r>
              <w:t xml:space="preserve">36.2%</w:t>
            </w:r>
          </w:p>
        </w:tc>
        <w:tc>
          <w:tcPr/>
          <w:p>
            <w:pPr>
              <w:pStyle w:val="Compact"/>
            </w:pPr>
            <w:r>
              <w:t xml:space="preserve">33.5%</w:t>
            </w:r>
          </w:p>
        </w:tc>
      </w:tr>
      <w:tr>
        <w:tc>
          <w:tcPr/>
          <w:p>
            <w:pPr>
              <w:pStyle w:val="Compact"/>
            </w:pPr>
            <w:r>
              <w:t xml:space="preserve">2018</w:t>
            </w:r>
          </w:p>
        </w:tc>
        <w:tc>
          <w:tcPr/>
          <w:p>
            <w:pPr>
              <w:pStyle w:val="Compact"/>
            </w:pPr>
            <w:r>
              <w:t xml:space="preserve">Urology</w:t>
            </w:r>
          </w:p>
        </w:tc>
        <w:tc>
          <w:tcPr/>
          <w:p>
            <w:pPr>
              <w:pStyle w:val="Compact"/>
            </w:pPr>
            <w:r>
              <w:t xml:space="preserve">112</w:t>
            </w:r>
          </w:p>
        </w:tc>
        <w:tc>
          <w:tcPr/>
          <w:p>
            <w:pPr>
              <w:pStyle w:val="Compact"/>
            </w:pPr>
            <w:r>
              <w:t xml:space="preserve">2195</w:t>
            </w:r>
          </w:p>
        </w:tc>
        <w:tc>
          <w:tcPr/>
          <w:p>
            <w:pPr>
              <w:pStyle w:val="Compact"/>
            </w:pPr>
            <w:r>
              <w:t xml:space="preserve">16 (13–24)</w:t>
            </w:r>
          </w:p>
        </w:tc>
        <w:tc>
          <w:tcPr/>
          <w:p>
            <w:pPr>
              <w:pStyle w:val="Compact"/>
            </w:pPr>
            <w:r>
              <w:t xml:space="preserve">0.257</w:t>
            </w:r>
          </w:p>
        </w:tc>
        <w:tc>
          <w:tcPr/>
          <w:p>
            <w:pPr>
              <w:pStyle w:val="Compact"/>
            </w:pPr>
            <w:r>
              <w:t xml:space="preserve">117.5</w:t>
            </w:r>
          </w:p>
        </w:tc>
        <w:tc>
          <w:tcPr/>
          <w:p>
            <w:pPr>
              <w:pStyle w:val="Compact"/>
            </w:pPr>
            <w:r>
              <w:t xml:space="preserve">23.6%</w:t>
            </w:r>
          </w:p>
        </w:tc>
        <w:tc>
          <w:tcPr/>
          <w:p>
            <w:pPr>
              <w:pStyle w:val="Compact"/>
            </w:pPr>
            <w:r>
              <w:t xml:space="preserve">37.7%</w:t>
            </w:r>
          </w:p>
        </w:tc>
        <w:tc>
          <w:tcPr/>
          <w:p>
            <w:pPr>
              <w:pStyle w:val="Compact"/>
            </w:pPr>
            <w:r>
              <w:t xml:space="preserve">32.3%</w:t>
            </w:r>
          </w:p>
        </w:tc>
      </w:tr>
      <w:tr>
        <w:tc>
          <w:tcPr/>
          <w:p>
            <w:pPr>
              <w:pStyle w:val="Compact"/>
            </w:pPr>
            <w:r>
              <w:t xml:space="preserve">2018</w:t>
            </w:r>
          </w:p>
        </w:tc>
        <w:tc>
          <w:tcPr/>
          <w:p>
            <w:pPr>
              <w:pStyle w:val="Compact"/>
            </w:pPr>
            <w:r>
              <w:t xml:space="preserve">Other/uncertain</w:t>
            </w:r>
          </w:p>
        </w:tc>
        <w:tc>
          <w:tcPr/>
          <w:p>
            <w:pPr>
              <w:pStyle w:val="Compact"/>
            </w:pPr>
            <w:r>
              <w:t xml:space="preserve">55</w:t>
            </w:r>
          </w:p>
        </w:tc>
        <w:tc>
          <w:tcPr/>
          <w:p>
            <w:pPr>
              <w:pStyle w:val="Compact"/>
            </w:pPr>
            <w:r>
              <w:t xml:space="preserve">1284</w:t>
            </w:r>
          </w:p>
        </w:tc>
        <w:tc>
          <w:tcPr/>
          <w:p>
            <w:pPr>
              <w:pStyle w:val="Compact"/>
            </w:pPr>
            <w:r>
              <w:t xml:space="preserve">19 (14–26)</w:t>
            </w:r>
          </w:p>
        </w:tc>
        <w:tc>
          <w:tcPr/>
          <w:p>
            <w:pPr>
              <w:pStyle w:val="Compact"/>
            </w:pPr>
            <w:r>
              <w:t xml:space="preserve">0.275</w:t>
            </w:r>
          </w:p>
        </w:tc>
        <w:tc>
          <w:tcPr/>
          <w:p>
            <w:pPr>
              <w:pStyle w:val="Compact"/>
            </w:pPr>
            <w:r>
              <w:t xml:space="preserve">234.2</w:t>
            </w:r>
          </w:p>
        </w:tc>
        <w:tc>
          <w:tcPr/>
          <w:p>
            <w:pPr>
              <w:pStyle w:val="Compact"/>
            </w:pPr>
            <w:r>
              <w:t xml:space="preserve">24.0%</w:t>
            </w:r>
          </w:p>
        </w:tc>
        <w:tc>
          <w:tcPr/>
          <w:p>
            <w:pPr>
              <w:pStyle w:val="Compact"/>
            </w:pPr>
            <w:r>
              <w:t xml:space="preserve">39.2%</w:t>
            </w:r>
          </w:p>
        </w:tc>
        <w:tc>
          <w:tcPr/>
          <w:p>
            <w:pPr>
              <w:pStyle w:val="Compact"/>
            </w:pPr>
            <w:r>
              <w:t xml:space="preserve">30.5%</w:t>
            </w:r>
          </w:p>
        </w:tc>
      </w:tr>
      <w:tr>
        <w:tc>
          <w:tcPr/>
          <w:p>
            <w:pPr>
              <w:pStyle w:val="Compact"/>
            </w:pPr>
            <w:r>
              <w:t xml:space="preserve">2018</w:t>
            </w:r>
          </w:p>
        </w:tc>
        <w:tc>
          <w:tcPr/>
          <w:p>
            <w:pPr>
              <w:pStyle w:val="Compact"/>
            </w:pPr>
            <w:r>
              <w:t xml:space="preserve">URPS (OB/GYN)</w:t>
            </w:r>
          </w:p>
        </w:tc>
        <w:tc>
          <w:tcPr/>
          <w:p>
            <w:pPr>
              <w:pStyle w:val="Compact"/>
            </w:pPr>
            <w:r>
              <w:t xml:space="preserve">327</w:t>
            </w:r>
          </w:p>
        </w:tc>
        <w:tc>
          <w:tcPr/>
          <w:p>
            <w:pPr>
              <w:pStyle w:val="Compact"/>
            </w:pPr>
            <w:r>
              <w:t xml:space="preserve">8069</w:t>
            </w:r>
          </w:p>
        </w:tc>
        <w:tc>
          <w:tcPr/>
          <w:p>
            <w:pPr>
              <w:pStyle w:val="Compact"/>
            </w:pPr>
            <w:r>
              <w:t xml:space="preserve">21 (15–32)</w:t>
            </w:r>
          </w:p>
        </w:tc>
        <w:tc>
          <w:tcPr/>
          <w:p>
            <w:pPr>
              <w:pStyle w:val="Compact"/>
            </w:pPr>
            <w:r>
              <w:t xml:space="preserve">0.280</w:t>
            </w:r>
          </w:p>
        </w:tc>
        <w:tc>
          <w:tcPr/>
          <w:p>
            <w:pPr>
              <w:pStyle w:val="Compact"/>
            </w:pPr>
            <w:r>
              <w:t xml:space="preserve">39.6</w:t>
            </w:r>
          </w:p>
        </w:tc>
        <w:tc>
          <w:tcPr/>
          <w:p>
            <w:pPr>
              <w:pStyle w:val="Compact"/>
            </w:pPr>
            <w:r>
              <w:t xml:space="preserve">22.3%</w:t>
            </w:r>
          </w:p>
        </w:tc>
        <w:tc>
          <w:tcPr/>
          <w:p>
            <w:pPr>
              <w:pStyle w:val="Compact"/>
            </w:pPr>
            <w:r>
              <w:t xml:space="preserve">37.6%</w:t>
            </w:r>
          </w:p>
        </w:tc>
        <w:tc>
          <w:tcPr/>
          <w:p>
            <w:pPr>
              <w:pStyle w:val="Compact"/>
            </w:pPr>
            <w:r>
              <w:t xml:space="preserve">30.1%</w:t>
            </w:r>
          </w:p>
        </w:tc>
      </w:tr>
      <w:tr>
        <w:tc>
          <w:tcPr/>
          <w:p>
            <w:pPr>
              <w:pStyle w:val="Compact"/>
            </w:pPr>
            <w:r>
              <w:t xml:space="preserve">2018</w:t>
            </w:r>
          </w:p>
        </w:tc>
        <w:tc>
          <w:tcPr/>
          <w:p>
            <w:pPr>
              <w:pStyle w:val="Compact"/>
            </w:pPr>
            <w:r>
              <w:t xml:space="preserve">URPS (urology)</w:t>
            </w:r>
          </w:p>
        </w:tc>
        <w:tc>
          <w:tcPr/>
          <w:p>
            <w:pPr>
              <w:pStyle w:val="Compact"/>
            </w:pPr>
            <w:r>
              <w:t xml:space="preserve">60</w:t>
            </w:r>
          </w:p>
        </w:tc>
        <w:tc>
          <w:tcPr/>
          <w:p>
            <w:pPr>
              <w:pStyle w:val="Compact"/>
            </w:pPr>
            <w:r>
              <w:t xml:space="preserve">1170</w:t>
            </w:r>
          </w:p>
        </w:tc>
        <w:tc>
          <w:tcPr/>
          <w:p>
            <w:pPr>
              <w:pStyle w:val="Compact"/>
            </w:pPr>
            <w:r>
              <w:t xml:space="preserve">16 (14–24)</w:t>
            </w:r>
          </w:p>
        </w:tc>
        <w:tc>
          <w:tcPr/>
          <w:p>
            <w:pPr>
              <w:pStyle w:val="Compact"/>
            </w:pPr>
            <w:r>
              <w:t xml:space="preserve">0.224</w:t>
            </w:r>
          </w:p>
        </w:tc>
        <w:tc>
          <w:tcPr/>
          <w:p>
            <w:pPr>
              <w:pStyle w:val="Compact"/>
            </w:pPr>
            <w:r>
              <w:t xml:space="preserve">202.3</w:t>
            </w:r>
          </w:p>
        </w:tc>
        <w:tc>
          <w:tcPr/>
          <w:p>
            <w:pPr>
              <w:pStyle w:val="Compact"/>
            </w:pPr>
            <w:r>
              <w:t xml:space="preserve">20.1%</w:t>
            </w:r>
          </w:p>
        </w:tc>
        <w:tc>
          <w:tcPr/>
          <w:p>
            <w:pPr>
              <w:pStyle w:val="Compact"/>
            </w:pPr>
            <w:r>
              <w:t xml:space="preserve">34.1%</w:t>
            </w:r>
          </w:p>
        </w:tc>
        <w:tc>
          <w:tcPr/>
          <w:p>
            <w:pPr>
              <w:pStyle w:val="Compact"/>
            </w:pPr>
            <w:r>
              <w:t xml:space="preserve">34.4%</w:t>
            </w:r>
          </w:p>
        </w:tc>
      </w:tr>
      <w:tr>
        <w:tc>
          <w:tcPr/>
          <w:p>
            <w:pPr>
              <w:pStyle w:val="Compact"/>
            </w:pPr>
            <w:r>
              <w:t xml:space="preserve">2019</w:t>
            </w:r>
          </w:p>
        </w:tc>
        <w:tc>
          <w:tcPr/>
          <w:p>
            <w:pPr>
              <w:pStyle w:val="Compact"/>
            </w:pPr>
            <w:r>
              <w:t xml:space="preserve">All</w:t>
            </w:r>
          </w:p>
        </w:tc>
        <w:tc>
          <w:tcPr/>
          <w:p>
            <w:pPr>
              <w:pStyle w:val="Compact"/>
            </w:pPr>
            <w:r>
              <w:t xml:space="preserve">610</w:t>
            </w:r>
          </w:p>
        </w:tc>
        <w:tc>
          <w:tcPr/>
          <w:p>
            <w:pPr>
              <w:pStyle w:val="Compact"/>
            </w:pPr>
            <w:r>
              <w:t xml:space="preserve">13875</w:t>
            </w:r>
          </w:p>
        </w:tc>
        <w:tc>
          <w:tcPr/>
          <w:p>
            <w:pPr>
              <w:pStyle w:val="Compact"/>
            </w:pPr>
            <w:r>
              <w:t xml:space="preserve">19 (14–27)</w:t>
            </w:r>
          </w:p>
        </w:tc>
        <w:tc>
          <w:tcPr/>
          <w:p>
            <w:pPr>
              <w:pStyle w:val="Compact"/>
            </w:pPr>
            <w:r>
              <w:t xml:space="preserve">0.275</w:t>
            </w:r>
          </w:p>
        </w:tc>
        <w:tc>
          <w:tcPr/>
          <w:p>
            <w:pPr>
              <w:pStyle w:val="Compact"/>
            </w:pPr>
            <w:r>
              <w:t xml:space="preserve">21.4</w:t>
            </w:r>
          </w:p>
        </w:tc>
        <w:tc>
          <w:tcPr/>
          <w:p>
            <w:pPr>
              <w:pStyle w:val="Compact"/>
            </w:pPr>
            <w:r>
              <w:t xml:space="preserve">23.4%</w:t>
            </w:r>
          </w:p>
        </w:tc>
        <w:tc>
          <w:tcPr/>
          <w:p>
            <w:pPr>
              <w:pStyle w:val="Compact"/>
            </w:pPr>
            <w:r>
              <w:t xml:space="preserve">38.0%</w:t>
            </w:r>
          </w:p>
        </w:tc>
        <w:tc>
          <w:tcPr/>
          <w:p>
            <w:pPr>
              <w:pStyle w:val="Compact"/>
            </w:pPr>
            <w:r>
              <w:t xml:space="preserve">31.1%</w:t>
            </w:r>
          </w:p>
        </w:tc>
      </w:tr>
      <w:tr>
        <w:tc>
          <w:tcPr/>
          <w:p>
            <w:pPr>
              <w:pStyle w:val="Compact"/>
            </w:pPr>
            <w:r>
              <w:t xml:space="preserve">2019</w:t>
            </w:r>
          </w:p>
        </w:tc>
        <w:tc>
          <w:tcPr/>
          <w:p>
            <w:pPr>
              <w:pStyle w:val="Compact"/>
            </w:pPr>
            <w:r>
              <w:t xml:space="preserve">MIGS</w:t>
            </w:r>
          </w:p>
        </w:tc>
        <w:tc>
          <w:tcPr/>
          <w:p>
            <w:pPr>
              <w:pStyle w:val="Compact"/>
            </w:pPr>
            <w:r>
              <w:t xml:space="preserve">5</w:t>
            </w:r>
          </w:p>
        </w:tc>
        <w:tc>
          <w:tcPr/>
          <w:p>
            <w:pPr>
              <w:pStyle w:val="Compact"/>
            </w:pPr>
            <w:r>
              <w:t xml:space="preserve">168</w:t>
            </w:r>
          </w:p>
        </w:tc>
        <w:tc>
          <w:tcPr/>
          <w:p>
            <w:pPr>
              <w:pStyle w:val="Compact"/>
            </w:pPr>
            <w:r>
              <w:t xml:space="preserve">25 (16–34)</w:t>
            </w:r>
          </w:p>
        </w:tc>
        <w:tc>
          <w:tcPr/>
          <w:p>
            <w:pPr>
              <w:pStyle w:val="Compact"/>
            </w:pPr>
            <w:r>
              <w:t xml:space="preserve">0.333</w:t>
            </w:r>
          </w:p>
        </w:tc>
        <w:tc>
          <w:tcPr/>
          <w:p>
            <w:pPr>
              <w:pStyle w:val="Compact"/>
            </w:pPr>
            <w:r>
              <w:t xml:space="preserve">2913.1</w:t>
            </w:r>
          </w:p>
        </w:tc>
        <w:tc>
          <w:tcPr/>
          <w:p>
            <w:pPr>
              <w:pStyle w:val="Compact"/>
            </w:pPr>
            <w:r>
              <w:t xml:space="preserve">45.8%</w:t>
            </w:r>
          </w:p>
        </w:tc>
        <w:tc>
          <w:tcPr/>
          <w:p>
            <w:pPr>
              <w:pStyle w:val="Compact"/>
            </w:pPr>
            <w:r>
              <w:t xml:space="preserve">45.8%</w:t>
            </w:r>
          </w:p>
        </w:tc>
        <w:tc>
          <w:tcPr/>
          <w:p>
            <w:pPr>
              <w:pStyle w:val="Compact"/>
            </w:pPr>
            <w:r>
              <w:t xml:space="preserve">19.0%</w:t>
            </w:r>
          </w:p>
        </w:tc>
      </w:tr>
      <w:tr>
        <w:tc>
          <w:tcPr/>
          <w:p>
            <w:pPr>
              <w:pStyle w:val="Compact"/>
            </w:pPr>
            <w:r>
              <w:t xml:space="preserve">2019</w:t>
            </w:r>
          </w:p>
        </w:tc>
        <w:tc>
          <w:tcPr/>
          <w:p>
            <w:pPr>
              <w:pStyle w:val="Compact"/>
            </w:pPr>
            <w:r>
              <w:t xml:space="preserve">General OB/GYN</w:t>
            </w:r>
          </w:p>
        </w:tc>
        <w:tc>
          <w:tcPr/>
          <w:p>
            <w:pPr>
              <w:pStyle w:val="Compact"/>
            </w:pPr>
            <w:r>
              <w:t xml:space="preserve">85</w:t>
            </w:r>
          </w:p>
        </w:tc>
        <w:tc>
          <w:tcPr/>
          <w:p>
            <w:pPr>
              <w:pStyle w:val="Compact"/>
            </w:pPr>
            <w:r>
              <w:t xml:space="preserve">1757</w:t>
            </w:r>
          </w:p>
        </w:tc>
        <w:tc>
          <w:tcPr/>
          <w:p>
            <w:pPr>
              <w:pStyle w:val="Compact"/>
            </w:pPr>
            <w:r>
              <w:t xml:space="preserve">17 (13–25)</w:t>
            </w:r>
          </w:p>
        </w:tc>
        <w:tc>
          <w:tcPr/>
          <w:p>
            <w:pPr>
              <w:pStyle w:val="Compact"/>
            </w:pPr>
            <w:r>
              <w:t xml:space="preserve">0.275</w:t>
            </w:r>
          </w:p>
        </w:tc>
        <w:tc>
          <w:tcPr/>
          <w:p>
            <w:pPr>
              <w:pStyle w:val="Compact"/>
            </w:pPr>
            <w:r>
              <w:t xml:space="preserve">156.8</w:t>
            </w:r>
          </w:p>
        </w:tc>
        <w:tc>
          <w:tcPr/>
          <w:p>
            <w:pPr>
              <w:pStyle w:val="Compact"/>
            </w:pPr>
            <w:r>
              <w:t xml:space="preserve">24.6%</w:t>
            </w:r>
          </w:p>
        </w:tc>
        <w:tc>
          <w:tcPr/>
          <w:p>
            <w:pPr>
              <w:pStyle w:val="Compact"/>
            </w:pPr>
            <w:r>
              <w:t xml:space="preserve">38.6%</w:t>
            </w:r>
          </w:p>
        </w:tc>
        <w:tc>
          <w:tcPr/>
          <w:p>
            <w:pPr>
              <w:pStyle w:val="Compact"/>
            </w:pPr>
            <w:r>
              <w:t xml:space="preserve">30.6%</w:t>
            </w:r>
          </w:p>
        </w:tc>
      </w:tr>
      <w:tr>
        <w:tc>
          <w:tcPr/>
          <w:p>
            <w:pPr>
              <w:pStyle w:val="Compact"/>
            </w:pPr>
            <w:r>
              <w:t xml:space="preserve">2019</w:t>
            </w:r>
          </w:p>
        </w:tc>
        <w:tc>
          <w:tcPr/>
          <w:p>
            <w:pPr>
              <w:pStyle w:val="Compact"/>
            </w:pPr>
            <w:r>
              <w:t xml:space="preserve">Urology</w:t>
            </w:r>
          </w:p>
        </w:tc>
        <w:tc>
          <w:tcPr/>
          <w:p>
            <w:pPr>
              <w:pStyle w:val="Compact"/>
            </w:pPr>
            <w:r>
              <w:t xml:space="preserve">82</w:t>
            </w:r>
          </w:p>
        </w:tc>
        <w:tc>
          <w:tcPr/>
          <w:p>
            <w:pPr>
              <w:pStyle w:val="Compact"/>
            </w:pPr>
            <w:r>
              <w:t xml:space="preserve">1621</w:t>
            </w:r>
          </w:p>
        </w:tc>
        <w:tc>
          <w:tcPr/>
          <w:p>
            <w:pPr>
              <w:pStyle w:val="Compact"/>
            </w:pPr>
            <w:r>
              <w:t xml:space="preserve">16 (13–24)</w:t>
            </w:r>
          </w:p>
        </w:tc>
        <w:tc>
          <w:tcPr/>
          <w:p>
            <w:pPr>
              <w:pStyle w:val="Compact"/>
            </w:pPr>
            <w:r>
              <w:t xml:space="preserve">0.239</w:t>
            </w:r>
          </w:p>
        </w:tc>
        <w:tc>
          <w:tcPr/>
          <w:p>
            <w:pPr>
              <w:pStyle w:val="Compact"/>
            </w:pPr>
            <w:r>
              <w:t xml:space="preserve">152.7</w:t>
            </w:r>
          </w:p>
        </w:tc>
        <w:tc>
          <w:tcPr/>
          <w:p>
            <w:pPr>
              <w:pStyle w:val="Compact"/>
            </w:pPr>
            <w:r>
              <w:t xml:space="preserve">22.9%</w:t>
            </w:r>
          </w:p>
        </w:tc>
        <w:tc>
          <w:tcPr/>
          <w:p>
            <w:pPr>
              <w:pStyle w:val="Compact"/>
            </w:pPr>
            <w:r>
              <w:t xml:space="preserve">36.4%</w:t>
            </w:r>
          </w:p>
        </w:tc>
        <w:tc>
          <w:tcPr/>
          <w:p>
            <w:pPr>
              <w:pStyle w:val="Compact"/>
            </w:pPr>
            <w:r>
              <w:t xml:space="preserve">33.5%</w:t>
            </w:r>
          </w:p>
        </w:tc>
      </w:tr>
      <w:tr>
        <w:tc>
          <w:tcPr/>
          <w:p>
            <w:pPr>
              <w:pStyle w:val="Compact"/>
            </w:pPr>
            <w:r>
              <w:t xml:space="preserve">2019</w:t>
            </w:r>
          </w:p>
        </w:tc>
        <w:tc>
          <w:tcPr/>
          <w:p>
            <w:pPr>
              <w:pStyle w:val="Compact"/>
            </w:pPr>
            <w:r>
              <w:t xml:space="preserve">Other/uncertain</w:t>
            </w:r>
          </w:p>
        </w:tc>
        <w:tc>
          <w:tcPr/>
          <w:p>
            <w:pPr>
              <w:pStyle w:val="Compact"/>
            </w:pPr>
            <w:r>
              <w:t xml:space="preserve">52</w:t>
            </w:r>
          </w:p>
        </w:tc>
        <w:tc>
          <w:tcPr/>
          <w:p>
            <w:pPr>
              <w:pStyle w:val="Compact"/>
            </w:pPr>
            <w:r>
              <w:t xml:space="preserve">1155</w:t>
            </w:r>
          </w:p>
        </w:tc>
        <w:tc>
          <w:tcPr/>
          <w:p>
            <w:pPr>
              <w:pStyle w:val="Compact"/>
            </w:pPr>
            <w:r>
              <w:t xml:space="preserve">18 (14–27)</w:t>
            </w:r>
          </w:p>
        </w:tc>
        <w:tc>
          <w:tcPr/>
          <w:p>
            <w:pPr>
              <w:pStyle w:val="Compact"/>
            </w:pPr>
            <w:r>
              <w:t xml:space="preserve">0.271</w:t>
            </w:r>
          </w:p>
        </w:tc>
        <w:tc>
          <w:tcPr/>
          <w:p>
            <w:pPr>
              <w:pStyle w:val="Compact"/>
            </w:pPr>
            <w:r>
              <w:t xml:space="preserve">249.7</w:t>
            </w:r>
          </w:p>
        </w:tc>
        <w:tc>
          <w:tcPr/>
          <w:p>
            <w:pPr>
              <w:pStyle w:val="Compact"/>
            </w:pPr>
            <w:r>
              <w:t xml:space="preserve">25.7%</w:t>
            </w:r>
          </w:p>
        </w:tc>
        <w:tc>
          <w:tcPr/>
          <w:p>
            <w:pPr>
              <w:pStyle w:val="Compact"/>
            </w:pPr>
            <w:r>
              <w:t xml:space="preserve">39.0%</w:t>
            </w:r>
          </w:p>
        </w:tc>
        <w:tc>
          <w:tcPr/>
          <w:p>
            <w:pPr>
              <w:pStyle w:val="Compact"/>
            </w:pPr>
            <w:r>
              <w:t xml:space="preserve">31.2%</w:t>
            </w:r>
          </w:p>
        </w:tc>
      </w:tr>
      <w:tr>
        <w:tc>
          <w:tcPr/>
          <w:p>
            <w:pPr>
              <w:pStyle w:val="Compact"/>
            </w:pPr>
            <w:r>
              <w:t xml:space="preserve">2019</w:t>
            </w:r>
          </w:p>
        </w:tc>
        <w:tc>
          <w:tcPr/>
          <w:p>
            <w:pPr>
              <w:pStyle w:val="Compact"/>
            </w:pPr>
            <w:r>
              <w:t xml:space="preserve">URPS (OB/GYN)</w:t>
            </w:r>
          </w:p>
        </w:tc>
        <w:tc>
          <w:tcPr/>
          <w:p>
            <w:pPr>
              <w:pStyle w:val="Compact"/>
            </w:pPr>
            <w:r>
              <w:t xml:space="preserve">328</w:t>
            </w:r>
          </w:p>
        </w:tc>
        <w:tc>
          <w:tcPr/>
          <w:p>
            <w:pPr>
              <w:pStyle w:val="Compact"/>
            </w:pPr>
            <w:r>
              <w:t xml:space="preserve">8059</w:t>
            </w:r>
          </w:p>
        </w:tc>
        <w:tc>
          <w:tcPr/>
          <w:p>
            <w:pPr>
              <w:pStyle w:val="Compact"/>
            </w:pPr>
            <w:r>
              <w:t xml:space="preserve">20 (15–29)</w:t>
            </w:r>
          </w:p>
        </w:tc>
        <w:tc>
          <w:tcPr/>
          <w:p>
            <w:pPr>
              <w:pStyle w:val="Compact"/>
            </w:pPr>
            <w:r>
              <w:t xml:space="preserve">0.277</w:t>
            </w:r>
          </w:p>
        </w:tc>
        <w:tc>
          <w:tcPr/>
          <w:p>
            <w:pPr>
              <w:pStyle w:val="Compact"/>
            </w:pPr>
            <w:r>
              <w:t xml:space="preserve">39.4</w:t>
            </w:r>
          </w:p>
        </w:tc>
        <w:tc>
          <w:tcPr/>
          <w:p>
            <w:pPr>
              <w:pStyle w:val="Compact"/>
            </w:pPr>
            <w:r>
              <w:t xml:space="preserve">22.7%</w:t>
            </w:r>
          </w:p>
        </w:tc>
        <w:tc>
          <w:tcPr/>
          <w:p>
            <w:pPr>
              <w:pStyle w:val="Compact"/>
            </w:pPr>
            <w:r>
              <w:t xml:space="preserve">38.2%</w:t>
            </w:r>
          </w:p>
        </w:tc>
        <w:tc>
          <w:tcPr/>
          <w:p>
            <w:pPr>
              <w:pStyle w:val="Compact"/>
            </w:pPr>
            <w:r>
              <w:t xml:space="preserve">31.0%</w:t>
            </w:r>
          </w:p>
        </w:tc>
      </w:tr>
      <w:tr>
        <w:tc>
          <w:tcPr/>
          <w:p>
            <w:pPr>
              <w:pStyle w:val="Compact"/>
            </w:pPr>
            <w:r>
              <w:t xml:space="preserve">2019</w:t>
            </w:r>
          </w:p>
        </w:tc>
        <w:tc>
          <w:tcPr/>
          <w:p>
            <w:pPr>
              <w:pStyle w:val="Compact"/>
            </w:pPr>
            <w:r>
              <w:t xml:space="preserve">URPS (urology)</w:t>
            </w:r>
          </w:p>
        </w:tc>
        <w:tc>
          <w:tcPr/>
          <w:p>
            <w:pPr>
              <w:pStyle w:val="Compact"/>
            </w:pPr>
            <w:r>
              <w:t xml:space="preserve">58</w:t>
            </w:r>
          </w:p>
        </w:tc>
        <w:tc>
          <w:tcPr/>
          <w:p>
            <w:pPr>
              <w:pStyle w:val="Compact"/>
            </w:pPr>
            <w:r>
              <w:t xml:space="preserve">1115</w:t>
            </w:r>
          </w:p>
        </w:tc>
        <w:tc>
          <w:tcPr/>
          <w:p>
            <w:pPr>
              <w:pStyle w:val="Compact"/>
            </w:pPr>
            <w:r>
              <w:t xml:space="preserve">16 (13–24)</w:t>
            </w:r>
          </w:p>
        </w:tc>
        <w:tc>
          <w:tcPr/>
          <w:p>
            <w:pPr>
              <w:pStyle w:val="Compact"/>
            </w:pPr>
            <w:r>
              <w:t xml:space="preserve">0.225</w:t>
            </w:r>
          </w:p>
        </w:tc>
        <w:tc>
          <w:tcPr/>
          <w:p>
            <w:pPr>
              <w:pStyle w:val="Compact"/>
            </w:pPr>
            <w:r>
              <w:t xml:space="preserve">215.0</w:t>
            </w:r>
          </w:p>
        </w:tc>
        <w:tc>
          <w:tcPr/>
          <w:p>
            <w:pPr>
              <w:pStyle w:val="Compact"/>
            </w:pPr>
            <w:r>
              <w:t xml:space="preserve">21.3%</w:t>
            </w:r>
          </w:p>
        </w:tc>
        <w:tc>
          <w:tcPr/>
          <w:p>
            <w:pPr>
              <w:pStyle w:val="Compact"/>
            </w:pPr>
            <w:r>
              <w:t xml:space="preserve">35.3%</w:t>
            </w:r>
          </w:p>
        </w:tc>
        <w:tc>
          <w:tcPr/>
          <w:p>
            <w:pPr>
              <w:pStyle w:val="Compact"/>
            </w:pPr>
            <w:r>
              <w:t xml:space="preserve">34.6%</w:t>
            </w:r>
          </w:p>
        </w:tc>
      </w:tr>
      <w:tr>
        <w:tc>
          <w:tcPr/>
          <w:p>
            <w:pPr>
              <w:pStyle w:val="Compact"/>
            </w:pPr>
            <w:r>
              <w:t xml:space="preserve">2020</w:t>
            </w:r>
          </w:p>
        </w:tc>
        <w:tc>
          <w:tcPr/>
          <w:p>
            <w:pPr>
              <w:pStyle w:val="Compact"/>
            </w:pPr>
            <w:r>
              <w:t xml:space="preserve">All</w:t>
            </w:r>
          </w:p>
        </w:tc>
        <w:tc>
          <w:tcPr/>
          <w:p>
            <w:pPr>
              <w:pStyle w:val="Compact"/>
            </w:pPr>
            <w:r>
              <w:t xml:space="preserve">423</w:t>
            </w:r>
          </w:p>
        </w:tc>
        <w:tc>
          <w:tcPr/>
          <w:p>
            <w:pPr>
              <w:pStyle w:val="Compact"/>
            </w:pPr>
            <w:r>
              <w:t xml:space="preserve">8783</w:t>
            </w:r>
          </w:p>
        </w:tc>
        <w:tc>
          <w:tcPr/>
          <w:p>
            <w:pPr>
              <w:pStyle w:val="Compact"/>
            </w:pPr>
            <w:r>
              <w:t xml:space="preserve">17 (13–24)</w:t>
            </w:r>
          </w:p>
        </w:tc>
        <w:tc>
          <w:tcPr/>
          <w:p>
            <w:pPr>
              <w:pStyle w:val="Compact"/>
            </w:pPr>
            <w:r>
              <w:t xml:space="preserve">0.257</w:t>
            </w:r>
          </w:p>
        </w:tc>
        <w:tc>
          <w:tcPr/>
          <w:p>
            <w:pPr>
              <w:pStyle w:val="Compact"/>
            </w:pPr>
            <w:r>
              <w:t xml:space="preserve">30.1</w:t>
            </w:r>
          </w:p>
        </w:tc>
        <w:tc>
          <w:tcPr/>
          <w:p>
            <w:pPr>
              <w:pStyle w:val="Compact"/>
            </w:pPr>
            <w:r>
              <w:t xml:space="preserve">22.9%</w:t>
            </w:r>
          </w:p>
        </w:tc>
        <w:tc>
          <w:tcPr/>
          <w:p>
            <w:pPr>
              <w:pStyle w:val="Compact"/>
            </w:pPr>
            <w:r>
              <w:t xml:space="preserve">37.1%</w:t>
            </w:r>
          </w:p>
        </w:tc>
        <w:tc>
          <w:tcPr/>
          <w:p>
            <w:pPr>
              <w:pStyle w:val="Compact"/>
            </w:pPr>
            <w:r>
              <w:t xml:space="preserve">32.4%</w:t>
            </w:r>
          </w:p>
        </w:tc>
      </w:tr>
      <w:tr>
        <w:tc>
          <w:tcPr/>
          <w:p>
            <w:pPr>
              <w:pStyle w:val="Compact"/>
            </w:pPr>
            <w:r>
              <w:t xml:space="preserve">2020</w:t>
            </w:r>
          </w:p>
        </w:tc>
        <w:tc>
          <w:tcPr/>
          <w:p>
            <w:pPr>
              <w:pStyle w:val="Compact"/>
            </w:pPr>
            <w:r>
              <w:t xml:space="preserve">MIGS</w:t>
            </w:r>
          </w:p>
        </w:tc>
        <w:tc>
          <w:tcPr/>
          <w:p>
            <w:pPr>
              <w:pStyle w:val="Compact"/>
            </w:pPr>
            <w:r>
              <w:t xml:space="preserve">2</w:t>
            </w:r>
          </w:p>
        </w:tc>
        <w:tc>
          <w:tcPr/>
          <w:p>
            <w:pPr>
              <w:pStyle w:val="Compact"/>
            </w:pPr>
            <w:r>
              <w:t xml:space="preserve">81</w:t>
            </w:r>
          </w:p>
        </w:tc>
        <w:tc>
          <w:tcPr/>
          <w:p>
            <w:pPr>
              <w:pStyle w:val="Compact"/>
            </w:pPr>
            <w:r>
              <w:t xml:space="preserve">40 (34–47)</w:t>
            </w:r>
          </w:p>
        </w:tc>
        <w:tc>
          <w:tcPr/>
          <w:p>
            <w:pPr>
              <w:pStyle w:val="Compact"/>
            </w:pPr>
            <w:r>
              <w:t xml:space="preserve">0.154</w:t>
            </w:r>
          </w:p>
        </w:tc>
        <w:tc>
          <w:tcPr/>
          <w:p>
            <w:pPr>
              <w:pStyle w:val="Compact"/>
            </w:pPr>
            <w:r>
              <w:t xml:space="preserve">5476.3</w:t>
            </w:r>
          </w:p>
        </w:tc>
        <w:tc>
          <w:tcPr/>
          <w:p>
            <w:pPr>
              <w:pStyle w:val="Compact"/>
            </w:pPr>
            <w:r>
              <w:t xml:space="preserve">65.4%</w:t>
            </w:r>
          </w:p>
        </w:tc>
        <w:tc>
          <w:tcPr/>
          <w:p>
            <w:pPr>
              <w:pStyle w:val="Compact"/>
            </w:pPr>
            <w:r>
              <w:t xml:space="preserve">65.4%</w:t>
            </w:r>
          </w:p>
        </w:tc>
        <w:tc>
          <w:tcPr/>
          <w:p>
            <w:pPr>
              <w:pStyle w:val="Compact"/>
            </w:pPr>
            <w:r>
              <w:t xml:space="preserve">34.6%</w:t>
            </w:r>
          </w:p>
        </w:tc>
      </w:tr>
      <w:tr>
        <w:tc>
          <w:tcPr/>
          <w:p>
            <w:pPr>
              <w:pStyle w:val="Compact"/>
            </w:pPr>
            <w:r>
              <w:t xml:space="preserve">2020</w:t>
            </w:r>
          </w:p>
        </w:tc>
        <w:tc>
          <w:tcPr/>
          <w:p>
            <w:pPr>
              <w:pStyle w:val="Compact"/>
            </w:pPr>
            <w:r>
              <w:t xml:space="preserve">General OB/GYN</w:t>
            </w:r>
          </w:p>
        </w:tc>
        <w:tc>
          <w:tcPr/>
          <w:p>
            <w:pPr>
              <w:pStyle w:val="Compact"/>
            </w:pPr>
            <w:r>
              <w:t xml:space="preserve">46</w:t>
            </w:r>
          </w:p>
        </w:tc>
        <w:tc>
          <w:tcPr/>
          <w:p>
            <w:pPr>
              <w:pStyle w:val="Compact"/>
            </w:pPr>
            <w:r>
              <w:t xml:space="preserve">941</w:t>
            </w:r>
          </w:p>
        </w:tc>
        <w:tc>
          <w:tcPr/>
          <w:p>
            <w:pPr>
              <w:pStyle w:val="Compact"/>
            </w:pPr>
            <w:r>
              <w:t xml:space="preserve">17 (13–24)</w:t>
            </w:r>
          </w:p>
        </w:tc>
        <w:tc>
          <w:tcPr/>
          <w:p>
            <w:pPr>
              <w:pStyle w:val="Compact"/>
            </w:pPr>
            <w:r>
              <w:t xml:space="preserve">0.250</w:t>
            </w:r>
          </w:p>
        </w:tc>
        <w:tc>
          <w:tcPr/>
          <w:p>
            <w:pPr>
              <w:pStyle w:val="Compact"/>
            </w:pPr>
            <w:r>
              <w:t xml:space="preserve">274.4</w:t>
            </w:r>
          </w:p>
        </w:tc>
        <w:tc>
          <w:tcPr/>
          <w:p>
            <w:pPr>
              <w:pStyle w:val="Compact"/>
            </w:pPr>
            <w:r>
              <w:t xml:space="preserve">23.5%</w:t>
            </w:r>
          </w:p>
        </w:tc>
        <w:tc>
          <w:tcPr/>
          <w:p>
            <w:pPr>
              <w:pStyle w:val="Compact"/>
            </w:pPr>
            <w:r>
              <w:t xml:space="preserve">38.8%</w:t>
            </w:r>
          </w:p>
        </w:tc>
        <w:tc>
          <w:tcPr/>
          <w:p>
            <w:pPr>
              <w:pStyle w:val="Compact"/>
            </w:pPr>
            <w:r>
              <w:t xml:space="preserve">33.3%</w:t>
            </w:r>
          </w:p>
        </w:tc>
      </w:tr>
      <w:tr>
        <w:tc>
          <w:tcPr/>
          <w:p>
            <w:pPr>
              <w:pStyle w:val="Compact"/>
            </w:pPr>
            <w:r>
              <w:t xml:space="preserve">2020</w:t>
            </w:r>
          </w:p>
        </w:tc>
        <w:tc>
          <w:tcPr/>
          <w:p>
            <w:pPr>
              <w:pStyle w:val="Compact"/>
            </w:pPr>
            <w:r>
              <w:t xml:space="preserve">Urology</w:t>
            </w:r>
          </w:p>
        </w:tc>
        <w:tc>
          <w:tcPr/>
          <w:p>
            <w:pPr>
              <w:pStyle w:val="Compact"/>
            </w:pPr>
            <w:r>
              <w:t xml:space="preserve">57</w:t>
            </w:r>
          </w:p>
        </w:tc>
        <w:tc>
          <w:tcPr/>
          <w:p>
            <w:pPr>
              <w:pStyle w:val="Compact"/>
            </w:pPr>
            <w:r>
              <w:t xml:space="preserve">940</w:t>
            </w:r>
          </w:p>
        </w:tc>
        <w:tc>
          <w:tcPr/>
          <w:p>
            <w:pPr>
              <w:pStyle w:val="Compact"/>
            </w:pPr>
            <w:r>
              <w:t xml:space="preserve">14 (12–19)</w:t>
            </w:r>
          </w:p>
        </w:tc>
        <w:tc>
          <w:tcPr/>
          <w:p>
            <w:pPr>
              <w:pStyle w:val="Compact"/>
            </w:pPr>
            <w:r>
              <w:t xml:space="preserve">0.192</w:t>
            </w:r>
          </w:p>
        </w:tc>
        <w:tc>
          <w:tcPr/>
          <w:p>
            <w:pPr>
              <w:pStyle w:val="Compact"/>
            </w:pPr>
            <w:r>
              <w:t xml:space="preserve">204.4</w:t>
            </w:r>
          </w:p>
        </w:tc>
        <w:tc>
          <w:tcPr/>
          <w:p>
            <w:pPr>
              <w:pStyle w:val="Compact"/>
            </w:pPr>
            <w:r>
              <w:t xml:space="preserve">20.2%</w:t>
            </w:r>
          </w:p>
        </w:tc>
        <w:tc>
          <w:tcPr/>
          <w:p>
            <w:pPr>
              <w:pStyle w:val="Compact"/>
            </w:pPr>
            <w:r>
              <w:t xml:space="preserve">34.0%</w:t>
            </w:r>
          </w:p>
        </w:tc>
        <w:tc>
          <w:tcPr/>
          <w:p>
            <w:pPr>
              <w:pStyle w:val="Compact"/>
            </w:pPr>
            <w:r>
              <w:t xml:space="preserve">36.3%</w:t>
            </w:r>
          </w:p>
        </w:tc>
      </w:tr>
      <w:tr>
        <w:tc>
          <w:tcPr/>
          <w:p>
            <w:pPr>
              <w:pStyle w:val="Compact"/>
            </w:pPr>
            <w:r>
              <w:t xml:space="preserve">2020</w:t>
            </w:r>
          </w:p>
        </w:tc>
        <w:tc>
          <w:tcPr/>
          <w:p>
            <w:pPr>
              <w:pStyle w:val="Compact"/>
            </w:pPr>
            <w:r>
              <w:t xml:space="preserve">Other/uncertain</w:t>
            </w:r>
          </w:p>
        </w:tc>
        <w:tc>
          <w:tcPr/>
          <w:p>
            <w:pPr>
              <w:pStyle w:val="Compact"/>
            </w:pPr>
            <w:r>
              <w:t xml:space="preserve">38</w:t>
            </w:r>
          </w:p>
        </w:tc>
        <w:tc>
          <w:tcPr/>
          <w:p>
            <w:pPr>
              <w:pStyle w:val="Compact"/>
            </w:pPr>
            <w:r>
              <w:t xml:space="preserve">770</w:t>
            </w:r>
          </w:p>
        </w:tc>
        <w:tc>
          <w:tcPr/>
          <w:p>
            <w:pPr>
              <w:pStyle w:val="Compact"/>
            </w:pPr>
            <w:r>
              <w:t xml:space="preserve">16 (13–25)</w:t>
            </w:r>
          </w:p>
        </w:tc>
        <w:tc>
          <w:tcPr/>
          <w:p>
            <w:pPr>
              <w:pStyle w:val="Compact"/>
            </w:pPr>
            <w:r>
              <w:t xml:space="preserve">0.234</w:t>
            </w:r>
          </w:p>
        </w:tc>
        <w:tc>
          <w:tcPr/>
          <w:p>
            <w:pPr>
              <w:pStyle w:val="Compact"/>
            </w:pPr>
            <w:r>
              <w:t xml:space="preserve">325.5</w:t>
            </w:r>
          </w:p>
        </w:tc>
        <w:tc>
          <w:tcPr/>
          <w:p>
            <w:pPr>
              <w:pStyle w:val="Compact"/>
            </w:pPr>
            <w:r>
              <w:t xml:space="preserve">21.3%</w:t>
            </w:r>
          </w:p>
        </w:tc>
        <w:tc>
          <w:tcPr/>
          <w:p>
            <w:pPr>
              <w:pStyle w:val="Compact"/>
            </w:pPr>
            <w:r>
              <w:t xml:space="preserve">35.8%</w:t>
            </w:r>
          </w:p>
        </w:tc>
        <w:tc>
          <w:tcPr/>
          <w:p>
            <w:pPr>
              <w:pStyle w:val="Compact"/>
            </w:pPr>
            <w:r>
              <w:t xml:space="preserve">33.5%</w:t>
            </w:r>
          </w:p>
        </w:tc>
      </w:tr>
      <w:tr>
        <w:tc>
          <w:tcPr/>
          <w:p>
            <w:pPr>
              <w:pStyle w:val="Compact"/>
            </w:pPr>
            <w:r>
              <w:t xml:space="preserve">2020</w:t>
            </w:r>
          </w:p>
        </w:tc>
        <w:tc>
          <w:tcPr/>
          <w:p>
            <w:pPr>
              <w:pStyle w:val="Compact"/>
            </w:pPr>
            <w:r>
              <w:t xml:space="preserve">URPS (OB/GYN)</w:t>
            </w:r>
          </w:p>
        </w:tc>
        <w:tc>
          <w:tcPr/>
          <w:p>
            <w:pPr>
              <w:pStyle w:val="Compact"/>
            </w:pPr>
            <w:r>
              <w:t xml:space="preserve">243</w:t>
            </w:r>
          </w:p>
        </w:tc>
        <w:tc>
          <w:tcPr/>
          <w:p>
            <w:pPr>
              <w:pStyle w:val="Compact"/>
            </w:pPr>
            <w:r>
              <w:t xml:space="preserve">5379</w:t>
            </w:r>
          </w:p>
        </w:tc>
        <w:tc>
          <w:tcPr/>
          <w:p>
            <w:pPr>
              <w:pStyle w:val="Compact"/>
            </w:pPr>
            <w:r>
              <w:t xml:space="preserve">19 (14–26)</w:t>
            </w:r>
          </w:p>
        </w:tc>
        <w:tc>
          <w:tcPr/>
          <w:p>
            <w:pPr>
              <w:pStyle w:val="Compact"/>
            </w:pPr>
            <w:r>
              <w:t xml:space="preserve">0.265</w:t>
            </w:r>
          </w:p>
        </w:tc>
        <w:tc>
          <w:tcPr/>
          <w:p>
            <w:pPr>
              <w:pStyle w:val="Compact"/>
            </w:pPr>
            <w:r>
              <w:t xml:space="preserve">52.6</w:t>
            </w:r>
          </w:p>
        </w:tc>
        <w:tc>
          <w:tcPr/>
          <w:p>
            <w:pPr>
              <w:pStyle w:val="Compact"/>
            </w:pPr>
            <w:r>
              <w:t xml:space="preserve">23.1%</w:t>
            </w:r>
          </w:p>
        </w:tc>
        <w:tc>
          <w:tcPr/>
          <w:p>
            <w:pPr>
              <w:pStyle w:val="Compact"/>
            </w:pPr>
            <w:r>
              <w:t xml:space="preserve">37.7%</w:t>
            </w:r>
          </w:p>
        </w:tc>
        <w:tc>
          <w:tcPr/>
          <w:p>
            <w:pPr>
              <w:pStyle w:val="Compact"/>
            </w:pPr>
            <w:r>
              <w:t xml:space="preserve">31.6%</w:t>
            </w:r>
          </w:p>
        </w:tc>
      </w:tr>
      <w:tr>
        <w:tc>
          <w:tcPr/>
          <w:p>
            <w:pPr>
              <w:pStyle w:val="Compact"/>
            </w:pPr>
            <w:r>
              <w:t xml:space="preserve">2020</w:t>
            </w:r>
          </w:p>
        </w:tc>
        <w:tc>
          <w:tcPr/>
          <w:p>
            <w:pPr>
              <w:pStyle w:val="Compact"/>
            </w:pPr>
            <w:r>
              <w:t xml:space="preserve">URPS (urology)</w:t>
            </w:r>
          </w:p>
        </w:tc>
        <w:tc>
          <w:tcPr/>
          <w:p>
            <w:pPr>
              <w:pStyle w:val="Compact"/>
            </w:pPr>
            <w:r>
              <w:t xml:space="preserve">37</w:t>
            </w:r>
          </w:p>
        </w:tc>
        <w:tc>
          <w:tcPr/>
          <w:p>
            <w:pPr>
              <w:pStyle w:val="Compact"/>
            </w:pPr>
            <w:r>
              <w:t xml:space="preserve">672</w:t>
            </w:r>
          </w:p>
        </w:tc>
        <w:tc>
          <w:tcPr/>
          <w:p>
            <w:pPr>
              <w:pStyle w:val="Compact"/>
            </w:pPr>
            <w:r>
              <w:t xml:space="preserve">17 (12–19)</w:t>
            </w:r>
          </w:p>
        </w:tc>
        <w:tc>
          <w:tcPr/>
          <w:p>
            <w:pPr>
              <w:pStyle w:val="Compact"/>
            </w:pPr>
            <w:r>
              <w:t xml:space="preserve">0.216</w:t>
            </w:r>
          </w:p>
        </w:tc>
        <w:tc>
          <w:tcPr/>
          <w:p>
            <w:pPr>
              <w:pStyle w:val="Compact"/>
            </w:pPr>
            <w:r>
              <w:t xml:space="preserve">331.5</w:t>
            </w:r>
          </w:p>
        </w:tc>
        <w:tc>
          <w:tcPr/>
          <w:p>
            <w:pPr>
              <w:pStyle w:val="Compact"/>
            </w:pPr>
            <w:r>
              <w:t xml:space="preserve">22.6%</w:t>
            </w:r>
          </w:p>
        </w:tc>
        <w:tc>
          <w:tcPr/>
          <w:p>
            <w:pPr>
              <w:pStyle w:val="Compact"/>
            </w:pPr>
            <w:r>
              <w:t xml:space="preserve">36.2%</w:t>
            </w:r>
          </w:p>
        </w:tc>
        <w:tc>
          <w:tcPr/>
          <w:p>
            <w:pPr>
              <w:pStyle w:val="Compact"/>
            </w:pPr>
            <w:r>
              <w:t xml:space="preserve">34.4%</w:t>
            </w:r>
          </w:p>
        </w:tc>
      </w:tr>
      <w:tr>
        <w:tc>
          <w:tcPr/>
          <w:p>
            <w:pPr>
              <w:pStyle w:val="Compact"/>
            </w:pPr>
            <w:r>
              <w:t xml:space="preserve">2021</w:t>
            </w:r>
          </w:p>
        </w:tc>
        <w:tc>
          <w:tcPr/>
          <w:p>
            <w:pPr>
              <w:pStyle w:val="Compact"/>
            </w:pPr>
            <w:r>
              <w:t xml:space="preserve">All</w:t>
            </w:r>
          </w:p>
        </w:tc>
        <w:tc>
          <w:tcPr/>
          <w:p>
            <w:pPr>
              <w:pStyle w:val="Compact"/>
            </w:pPr>
            <w:r>
              <w:t xml:space="preserve">429</w:t>
            </w:r>
          </w:p>
        </w:tc>
        <w:tc>
          <w:tcPr/>
          <w:p>
            <w:pPr>
              <w:pStyle w:val="Compact"/>
            </w:pPr>
            <w:r>
              <w:t xml:space="preserve">9020</w:t>
            </w:r>
          </w:p>
        </w:tc>
        <w:tc>
          <w:tcPr/>
          <w:p>
            <w:pPr>
              <w:pStyle w:val="Compact"/>
            </w:pPr>
            <w:r>
              <w:t xml:space="preserve">17 (13–24)</w:t>
            </w:r>
          </w:p>
        </w:tc>
        <w:tc>
          <w:tcPr/>
          <w:p>
            <w:pPr>
              <w:pStyle w:val="Compact"/>
            </w:pPr>
            <w:r>
              <w:t xml:space="preserve">0.266</w:t>
            </w:r>
          </w:p>
        </w:tc>
        <w:tc>
          <w:tcPr/>
          <w:p>
            <w:pPr>
              <w:pStyle w:val="Compact"/>
            </w:pPr>
            <w:r>
              <w:t xml:space="preserve">30.0</w:t>
            </w:r>
          </w:p>
        </w:tc>
        <w:tc>
          <w:tcPr/>
          <w:p>
            <w:pPr>
              <w:pStyle w:val="Compact"/>
            </w:pPr>
            <w:r>
              <w:t xml:space="preserve">22.8%</w:t>
            </w:r>
          </w:p>
        </w:tc>
        <w:tc>
          <w:tcPr/>
          <w:p>
            <w:pPr>
              <w:pStyle w:val="Compact"/>
            </w:pPr>
            <w:r>
              <w:t xml:space="preserve">37.9%</w:t>
            </w:r>
          </w:p>
        </w:tc>
        <w:tc>
          <w:tcPr/>
          <w:p>
            <w:pPr>
              <w:pStyle w:val="Compact"/>
            </w:pPr>
            <w:r>
              <w:t xml:space="preserve">31.6%</w:t>
            </w:r>
          </w:p>
        </w:tc>
      </w:tr>
      <w:tr>
        <w:tc>
          <w:tcPr/>
          <w:p>
            <w:pPr>
              <w:pStyle w:val="Compact"/>
            </w:pPr>
            <w:r>
              <w:t xml:space="preserve">2021</w:t>
            </w:r>
          </w:p>
        </w:tc>
        <w:tc>
          <w:tcPr/>
          <w:p>
            <w:pPr>
              <w:pStyle w:val="Compact"/>
            </w:pPr>
            <w:r>
              <w:t xml:space="preserve">MIGS</w:t>
            </w:r>
          </w:p>
        </w:tc>
        <w:tc>
          <w:tcPr/>
          <w:p>
            <w:pPr>
              <w:pStyle w:val="Compact"/>
            </w:pPr>
            <w:r>
              <w:t xml:space="preserve">3</w:t>
            </w:r>
          </w:p>
        </w:tc>
        <w:tc>
          <w:tcPr/>
          <w:p>
            <w:pPr>
              <w:pStyle w:val="Compact"/>
            </w:pPr>
            <w:r>
              <w:t xml:space="preserve">97</w:t>
            </w:r>
          </w:p>
        </w:tc>
        <w:tc>
          <w:tcPr/>
          <w:p>
            <w:pPr>
              <w:pStyle w:val="Compact"/>
            </w:pPr>
            <w:r>
              <w:t xml:space="preserve">18 (16–41)</w:t>
            </w:r>
          </w:p>
        </w:tc>
        <w:tc>
          <w:tcPr/>
          <w:p>
            <w:pPr>
              <w:pStyle w:val="Compact"/>
            </w:pPr>
            <w:r>
              <w:t xml:space="preserve">0.337</w:t>
            </w:r>
          </w:p>
        </w:tc>
        <w:tc>
          <w:tcPr/>
          <w:p>
            <w:pPr>
              <w:pStyle w:val="Compact"/>
            </w:pPr>
            <w:r>
              <w:t xml:space="preserve">4936.8</w:t>
            </w:r>
          </w:p>
        </w:tc>
        <w:tc>
          <w:tcPr/>
          <w:p>
            <w:pPr>
              <w:pStyle w:val="Compact"/>
            </w:pPr>
            <w:r>
              <w:t xml:space="preserve">66.0%</w:t>
            </w:r>
          </w:p>
        </w:tc>
        <w:tc>
          <w:tcPr/>
          <w:p>
            <w:pPr>
              <w:pStyle w:val="Compact"/>
            </w:pPr>
            <w:r>
              <w:t xml:space="preserve">66.0%</w:t>
            </w:r>
          </w:p>
        </w:tc>
        <w:tc>
          <w:tcPr/>
          <w:p>
            <w:pPr>
              <w:pStyle w:val="Compact"/>
            </w:pPr>
            <w:r>
              <w:t xml:space="preserve">15.5%</w:t>
            </w:r>
          </w:p>
        </w:tc>
      </w:tr>
      <w:tr>
        <w:tc>
          <w:tcPr/>
          <w:p>
            <w:pPr>
              <w:pStyle w:val="Compact"/>
            </w:pPr>
            <w:r>
              <w:t xml:space="preserve">2021</w:t>
            </w:r>
          </w:p>
        </w:tc>
        <w:tc>
          <w:tcPr/>
          <w:p>
            <w:pPr>
              <w:pStyle w:val="Compact"/>
            </w:pPr>
            <w:r>
              <w:t xml:space="preserve">General OB/GYN</w:t>
            </w:r>
          </w:p>
        </w:tc>
        <w:tc>
          <w:tcPr/>
          <w:p>
            <w:pPr>
              <w:pStyle w:val="Compact"/>
            </w:pPr>
            <w:r>
              <w:t xml:space="preserve">58</w:t>
            </w:r>
          </w:p>
        </w:tc>
        <w:tc>
          <w:tcPr/>
          <w:p>
            <w:pPr>
              <w:pStyle w:val="Compact"/>
            </w:pPr>
            <w:r>
              <w:t xml:space="preserve">1076</w:t>
            </w:r>
          </w:p>
        </w:tc>
        <w:tc>
          <w:tcPr/>
          <w:p>
            <w:pPr>
              <w:pStyle w:val="Compact"/>
            </w:pPr>
            <w:r>
              <w:t xml:space="preserve">15 (12–20)</w:t>
            </w:r>
          </w:p>
        </w:tc>
        <w:tc>
          <w:tcPr/>
          <w:p>
            <w:pPr>
              <w:pStyle w:val="Compact"/>
            </w:pPr>
            <w:r>
              <w:t xml:space="preserve">0.268</w:t>
            </w:r>
          </w:p>
        </w:tc>
        <w:tc>
          <w:tcPr/>
          <w:p>
            <w:pPr>
              <w:pStyle w:val="Compact"/>
            </w:pPr>
            <w:r>
              <w:t xml:space="preserve">238.9</w:t>
            </w:r>
          </w:p>
        </w:tc>
        <w:tc>
          <w:tcPr/>
          <w:p>
            <w:pPr>
              <w:pStyle w:val="Compact"/>
            </w:pPr>
            <w:r>
              <w:t xml:space="preserve">25.8%</w:t>
            </w:r>
          </w:p>
        </w:tc>
        <w:tc>
          <w:tcPr/>
          <w:p>
            <w:pPr>
              <w:pStyle w:val="Compact"/>
            </w:pPr>
            <w:r>
              <w:t xml:space="preserve">40.6%</w:t>
            </w:r>
          </w:p>
        </w:tc>
        <w:tc>
          <w:tcPr/>
          <w:p>
            <w:pPr>
              <w:pStyle w:val="Compact"/>
            </w:pPr>
            <w:r>
              <w:t xml:space="preserve">32.6%</w:t>
            </w:r>
          </w:p>
        </w:tc>
      </w:tr>
      <w:tr>
        <w:tc>
          <w:tcPr/>
          <w:p>
            <w:pPr>
              <w:pStyle w:val="Compact"/>
            </w:pPr>
            <w:r>
              <w:t xml:space="preserve">2021</w:t>
            </w:r>
          </w:p>
        </w:tc>
        <w:tc>
          <w:tcPr/>
          <w:p>
            <w:pPr>
              <w:pStyle w:val="Compact"/>
            </w:pPr>
            <w:r>
              <w:t xml:space="preserve">Urology</w:t>
            </w:r>
          </w:p>
        </w:tc>
        <w:tc>
          <w:tcPr/>
          <w:p>
            <w:pPr>
              <w:pStyle w:val="Compact"/>
            </w:pPr>
            <w:r>
              <w:t xml:space="preserve">42</w:t>
            </w:r>
          </w:p>
        </w:tc>
        <w:tc>
          <w:tcPr/>
          <w:p>
            <w:pPr>
              <w:pStyle w:val="Compact"/>
            </w:pPr>
            <w:r>
              <w:t xml:space="preserve">764</w:t>
            </w:r>
          </w:p>
        </w:tc>
        <w:tc>
          <w:tcPr/>
          <w:p>
            <w:pPr>
              <w:pStyle w:val="Compact"/>
            </w:pPr>
            <w:r>
              <w:t xml:space="preserve">16 (13–23)</w:t>
            </w:r>
          </w:p>
        </w:tc>
        <w:tc>
          <w:tcPr/>
          <w:p>
            <w:pPr>
              <w:pStyle w:val="Compact"/>
            </w:pPr>
            <w:r>
              <w:t xml:space="preserve">0.207</w:t>
            </w:r>
          </w:p>
        </w:tc>
        <w:tc>
          <w:tcPr/>
          <w:p>
            <w:pPr>
              <w:pStyle w:val="Compact"/>
            </w:pPr>
            <w:r>
              <w:t xml:space="preserve">274.6</w:t>
            </w:r>
          </w:p>
        </w:tc>
        <w:tc>
          <w:tcPr/>
          <w:p>
            <w:pPr>
              <w:pStyle w:val="Compact"/>
            </w:pPr>
            <w:r>
              <w:t xml:space="preserve">21.9%</w:t>
            </w:r>
          </w:p>
        </w:tc>
        <w:tc>
          <w:tcPr/>
          <w:p>
            <w:pPr>
              <w:pStyle w:val="Compact"/>
            </w:pPr>
            <w:r>
              <w:t xml:space="preserve">34.8%</w:t>
            </w:r>
          </w:p>
        </w:tc>
        <w:tc>
          <w:tcPr/>
          <w:p>
            <w:pPr>
              <w:pStyle w:val="Compact"/>
            </w:pPr>
            <w:r>
              <w:t xml:space="preserve">35.5%</w:t>
            </w:r>
          </w:p>
        </w:tc>
      </w:tr>
      <w:tr>
        <w:tc>
          <w:tcPr/>
          <w:p>
            <w:pPr>
              <w:pStyle w:val="Compact"/>
            </w:pPr>
            <w:r>
              <w:t xml:space="preserve">2021</w:t>
            </w:r>
          </w:p>
        </w:tc>
        <w:tc>
          <w:tcPr/>
          <w:p>
            <w:pPr>
              <w:pStyle w:val="Compact"/>
            </w:pPr>
            <w:r>
              <w:t xml:space="preserve">Other/uncertain</w:t>
            </w:r>
          </w:p>
        </w:tc>
        <w:tc>
          <w:tcPr/>
          <w:p>
            <w:pPr>
              <w:pStyle w:val="Compact"/>
            </w:pPr>
            <w:r>
              <w:t xml:space="preserve">44</w:t>
            </w:r>
          </w:p>
        </w:tc>
        <w:tc>
          <w:tcPr/>
          <w:p>
            <w:pPr>
              <w:pStyle w:val="Compact"/>
            </w:pPr>
            <w:r>
              <w:t xml:space="preserve">969</w:t>
            </w:r>
          </w:p>
        </w:tc>
        <w:tc>
          <w:tcPr/>
          <w:p>
            <w:pPr>
              <w:pStyle w:val="Compact"/>
            </w:pPr>
            <w:r>
              <w:t xml:space="preserve">18 (14–28)</w:t>
            </w:r>
          </w:p>
        </w:tc>
        <w:tc>
          <w:tcPr/>
          <w:p>
            <w:pPr>
              <w:pStyle w:val="Compact"/>
            </w:pPr>
            <w:r>
              <w:t xml:space="preserve">0.237</w:t>
            </w:r>
          </w:p>
        </w:tc>
        <w:tc>
          <w:tcPr/>
          <w:p>
            <w:pPr>
              <w:pStyle w:val="Compact"/>
            </w:pPr>
            <w:r>
              <w:t xml:space="preserve">269.5</w:t>
            </w:r>
          </w:p>
        </w:tc>
        <w:tc>
          <w:tcPr/>
          <w:p>
            <w:pPr>
              <w:pStyle w:val="Compact"/>
            </w:pPr>
            <w:r>
              <w:t xml:space="preserve">20.9%</w:t>
            </w:r>
          </w:p>
        </w:tc>
        <w:tc>
          <w:tcPr/>
          <w:p>
            <w:pPr>
              <w:pStyle w:val="Compact"/>
            </w:pPr>
            <w:r>
              <w:t xml:space="preserve">35.2%</w:t>
            </w:r>
          </w:p>
        </w:tc>
        <w:tc>
          <w:tcPr/>
          <w:p>
            <w:pPr>
              <w:pStyle w:val="Compact"/>
            </w:pPr>
            <w:r>
              <w:t xml:space="preserve">32.9%</w:t>
            </w:r>
          </w:p>
        </w:tc>
      </w:tr>
      <w:tr>
        <w:tc>
          <w:tcPr/>
          <w:p>
            <w:pPr>
              <w:pStyle w:val="Compact"/>
            </w:pPr>
            <w:r>
              <w:t xml:space="preserve">2021</w:t>
            </w:r>
          </w:p>
        </w:tc>
        <w:tc>
          <w:tcPr/>
          <w:p>
            <w:pPr>
              <w:pStyle w:val="Compact"/>
            </w:pPr>
            <w:r>
              <w:t xml:space="preserve">URPS (OB/GYN)</w:t>
            </w:r>
          </w:p>
        </w:tc>
        <w:tc>
          <w:tcPr/>
          <w:p>
            <w:pPr>
              <w:pStyle w:val="Compact"/>
            </w:pPr>
            <w:r>
              <w:t xml:space="preserve">250</w:t>
            </w:r>
          </w:p>
        </w:tc>
        <w:tc>
          <w:tcPr/>
          <w:p>
            <w:pPr>
              <w:pStyle w:val="Compact"/>
            </w:pPr>
            <w:r>
              <w:t xml:space="preserve">5523</w:t>
            </w:r>
          </w:p>
        </w:tc>
        <w:tc>
          <w:tcPr/>
          <w:p>
            <w:pPr>
              <w:pStyle w:val="Compact"/>
            </w:pPr>
            <w:r>
              <w:t xml:space="preserve">18 (14–27)</w:t>
            </w:r>
          </w:p>
        </w:tc>
        <w:tc>
          <w:tcPr/>
          <w:p>
            <w:pPr>
              <w:pStyle w:val="Compact"/>
            </w:pPr>
            <w:r>
              <w:t xml:space="preserve">0.271</w:t>
            </w:r>
          </w:p>
        </w:tc>
        <w:tc>
          <w:tcPr/>
          <w:p>
            <w:pPr>
              <w:pStyle w:val="Compact"/>
            </w:pPr>
            <w:r>
              <w:t xml:space="preserve">51.3</w:t>
            </w:r>
          </w:p>
        </w:tc>
        <w:tc>
          <w:tcPr/>
          <w:p>
            <w:pPr>
              <w:pStyle w:val="Compact"/>
            </w:pPr>
            <w:r>
              <w:t xml:space="preserve">22.6%</w:t>
            </w:r>
          </w:p>
        </w:tc>
        <w:tc>
          <w:tcPr/>
          <w:p>
            <w:pPr>
              <w:pStyle w:val="Compact"/>
            </w:pPr>
            <w:r>
              <w:t xml:space="preserve">38.0%</w:t>
            </w:r>
          </w:p>
        </w:tc>
        <w:tc>
          <w:tcPr/>
          <w:p>
            <w:pPr>
              <w:pStyle w:val="Compact"/>
            </w:pPr>
            <w:r>
              <w:t xml:space="preserve">31.3%</w:t>
            </w:r>
          </w:p>
        </w:tc>
      </w:tr>
      <w:tr>
        <w:tc>
          <w:tcPr/>
          <w:p>
            <w:pPr>
              <w:pStyle w:val="Compact"/>
            </w:pPr>
            <w:r>
              <w:t xml:space="preserve">2021</w:t>
            </w:r>
          </w:p>
        </w:tc>
        <w:tc>
          <w:tcPr/>
          <w:p>
            <w:pPr>
              <w:pStyle w:val="Compact"/>
            </w:pPr>
            <w:r>
              <w:t xml:space="preserve">URPS (urology)</w:t>
            </w:r>
          </w:p>
        </w:tc>
        <w:tc>
          <w:tcPr/>
          <w:p>
            <w:pPr>
              <w:pStyle w:val="Compact"/>
            </w:pPr>
            <w:r>
              <w:t xml:space="preserve">32</w:t>
            </w:r>
          </w:p>
        </w:tc>
        <w:tc>
          <w:tcPr/>
          <w:p>
            <w:pPr>
              <w:pStyle w:val="Compact"/>
            </w:pPr>
            <w:r>
              <w:t xml:space="preserve">591</w:t>
            </w:r>
          </w:p>
        </w:tc>
        <w:tc>
          <w:tcPr/>
          <w:p>
            <w:pPr>
              <w:pStyle w:val="Compact"/>
            </w:pPr>
            <w:r>
              <w:t xml:space="preserve">16 (12–20)</w:t>
            </w:r>
          </w:p>
        </w:tc>
        <w:tc>
          <w:tcPr/>
          <w:p>
            <w:pPr>
              <w:pStyle w:val="Compact"/>
            </w:pPr>
            <w:r>
              <w:t xml:space="preserve">0.234</w:t>
            </w:r>
          </w:p>
        </w:tc>
        <w:tc>
          <w:tcPr/>
          <w:p>
            <w:pPr>
              <w:pStyle w:val="Compact"/>
            </w:pPr>
            <w:r>
              <w:t xml:space="preserve">397.4</w:t>
            </w:r>
          </w:p>
        </w:tc>
        <w:tc>
          <w:tcPr/>
          <w:p>
            <w:pPr>
              <w:pStyle w:val="Compact"/>
            </w:pPr>
            <w:r>
              <w:t xml:space="preserve">26.1%</w:t>
            </w:r>
          </w:p>
        </w:tc>
        <w:tc>
          <w:tcPr/>
          <w:p>
            <w:pPr>
              <w:pStyle w:val="Compact"/>
            </w:pPr>
            <w:r>
              <w:t xml:space="preserve">38.1%</w:t>
            </w:r>
          </w:p>
        </w:tc>
        <w:tc>
          <w:tcPr/>
          <w:p>
            <w:pPr>
              <w:pStyle w:val="Compact"/>
            </w:pPr>
            <w:r>
              <w:t xml:space="preserve">33.8%</w:t>
            </w:r>
          </w:p>
        </w:tc>
      </w:tr>
      <w:tr>
        <w:tc>
          <w:tcPr/>
          <w:p>
            <w:pPr>
              <w:pStyle w:val="Compact"/>
            </w:pPr>
            <w:r>
              <w:t xml:space="preserve">2022</w:t>
            </w:r>
          </w:p>
        </w:tc>
        <w:tc>
          <w:tcPr/>
          <w:p>
            <w:pPr>
              <w:pStyle w:val="Compact"/>
            </w:pPr>
            <w:r>
              <w:t xml:space="preserve">All</w:t>
            </w:r>
          </w:p>
        </w:tc>
        <w:tc>
          <w:tcPr/>
          <w:p>
            <w:pPr>
              <w:pStyle w:val="Compact"/>
            </w:pPr>
            <w:r>
              <w:t xml:space="preserve">524</w:t>
            </w:r>
          </w:p>
        </w:tc>
        <w:tc>
          <w:tcPr/>
          <w:p>
            <w:pPr>
              <w:pStyle w:val="Compact"/>
            </w:pPr>
            <w:r>
              <w:t xml:space="preserve">11367</w:t>
            </w:r>
          </w:p>
        </w:tc>
        <w:tc>
          <w:tcPr/>
          <w:p>
            <w:pPr>
              <w:pStyle w:val="Compact"/>
            </w:pPr>
            <w:r>
              <w:t xml:space="preserve">17 (14–26)</w:t>
            </w:r>
          </w:p>
        </w:tc>
        <w:tc>
          <w:tcPr/>
          <w:p>
            <w:pPr>
              <w:pStyle w:val="Compact"/>
            </w:pPr>
            <w:r>
              <w:t xml:space="preserve">0.275</w:t>
            </w:r>
          </w:p>
        </w:tc>
        <w:tc>
          <w:tcPr/>
          <w:p>
            <w:pPr>
              <w:pStyle w:val="Compact"/>
            </w:pPr>
            <w:r>
              <w:t xml:space="preserve">25.2</w:t>
            </w:r>
          </w:p>
        </w:tc>
        <w:tc>
          <w:tcPr/>
          <w:p>
            <w:pPr>
              <w:pStyle w:val="Compact"/>
            </w:pPr>
            <w:r>
              <w:t xml:space="preserve">24.0%</w:t>
            </w:r>
          </w:p>
        </w:tc>
        <w:tc>
          <w:tcPr/>
          <w:p>
            <w:pPr>
              <w:pStyle w:val="Compact"/>
            </w:pPr>
            <w:r>
              <w:t xml:space="preserve">38.9%</w:t>
            </w:r>
          </w:p>
        </w:tc>
        <w:tc>
          <w:tcPr/>
          <w:p>
            <w:pPr>
              <w:pStyle w:val="Compact"/>
            </w:pPr>
            <w:r>
              <w:t xml:space="preserve">31.3%</w:t>
            </w:r>
          </w:p>
        </w:tc>
      </w:tr>
      <w:tr>
        <w:tc>
          <w:tcPr/>
          <w:p>
            <w:pPr>
              <w:pStyle w:val="Compact"/>
            </w:pPr>
            <w:r>
              <w:t xml:space="preserve">2022</w:t>
            </w:r>
          </w:p>
        </w:tc>
        <w:tc>
          <w:tcPr/>
          <w:p>
            <w:pPr>
              <w:pStyle w:val="Compact"/>
            </w:pPr>
            <w:r>
              <w:t xml:space="preserve">MIGS</w:t>
            </w:r>
          </w:p>
        </w:tc>
        <w:tc>
          <w:tcPr/>
          <w:p>
            <w:pPr>
              <w:pStyle w:val="Compact"/>
            </w:pPr>
            <w:r>
              <w:t xml:space="preserve">3</w:t>
            </w:r>
          </w:p>
        </w:tc>
        <w:tc>
          <w:tcPr/>
          <w:p>
            <w:pPr>
              <w:pStyle w:val="Compact"/>
            </w:pPr>
            <w:r>
              <w:t xml:space="preserve">87</w:t>
            </w:r>
          </w:p>
        </w:tc>
        <w:tc>
          <w:tcPr/>
          <w:p>
            <w:pPr>
              <w:pStyle w:val="Compact"/>
            </w:pPr>
            <w:r>
              <w:t xml:space="preserve">17 (14–38)</w:t>
            </w:r>
          </w:p>
        </w:tc>
        <w:tc>
          <w:tcPr/>
          <w:p>
            <w:pPr>
              <w:pStyle w:val="Compact"/>
            </w:pPr>
            <w:r>
              <w:t xml:space="preserve">0.352</w:t>
            </w:r>
          </w:p>
        </w:tc>
        <w:tc>
          <w:tcPr/>
          <w:p>
            <w:pPr>
              <w:pStyle w:val="Compact"/>
            </w:pPr>
            <w:r>
              <w:t xml:space="preserve">5016.5</w:t>
            </w:r>
          </w:p>
        </w:tc>
        <w:tc>
          <w:tcPr/>
          <w:p>
            <w:pPr>
              <w:pStyle w:val="Compact"/>
            </w:pPr>
            <w:r>
              <w:t xml:space="preserve">66.7%</w:t>
            </w:r>
          </w:p>
        </w:tc>
        <w:tc>
          <w:tcPr/>
          <w:p>
            <w:pPr>
              <w:pStyle w:val="Compact"/>
            </w:pPr>
            <w:r>
              <w:t xml:space="preserve">66.7%</w:t>
            </w:r>
          </w:p>
        </w:tc>
        <w:tc>
          <w:tcPr/>
          <w:p>
            <w:pPr>
              <w:pStyle w:val="Compact"/>
            </w:pPr>
            <w:r>
              <w:t xml:space="preserve">13.8%</w:t>
            </w:r>
          </w:p>
        </w:tc>
      </w:tr>
      <w:tr>
        <w:tc>
          <w:tcPr/>
          <w:p>
            <w:pPr>
              <w:pStyle w:val="Compact"/>
            </w:pPr>
            <w:r>
              <w:t xml:space="preserve">2022</w:t>
            </w:r>
          </w:p>
        </w:tc>
        <w:tc>
          <w:tcPr/>
          <w:p>
            <w:pPr>
              <w:pStyle w:val="Compact"/>
            </w:pPr>
            <w:r>
              <w:t xml:space="preserve">General OB/GYN</w:t>
            </w:r>
          </w:p>
        </w:tc>
        <w:tc>
          <w:tcPr/>
          <w:p>
            <w:pPr>
              <w:pStyle w:val="Compact"/>
            </w:pPr>
            <w:r>
              <w:t xml:space="preserve">63</w:t>
            </w:r>
          </w:p>
        </w:tc>
        <w:tc>
          <w:tcPr/>
          <w:p>
            <w:pPr>
              <w:pStyle w:val="Compact"/>
            </w:pPr>
            <w:r>
              <w:t xml:space="preserve">1218</w:t>
            </w:r>
          </w:p>
        </w:tc>
        <w:tc>
          <w:tcPr/>
          <w:p>
            <w:pPr>
              <w:pStyle w:val="Compact"/>
            </w:pPr>
            <w:r>
              <w:t xml:space="preserve">15 (13–21)</w:t>
            </w:r>
          </w:p>
        </w:tc>
        <w:tc>
          <w:tcPr/>
          <w:p>
            <w:pPr>
              <w:pStyle w:val="Compact"/>
            </w:pPr>
            <w:r>
              <w:t xml:space="preserve">0.257</w:t>
            </w:r>
          </w:p>
        </w:tc>
        <w:tc>
          <w:tcPr/>
          <w:p>
            <w:pPr>
              <w:pStyle w:val="Compact"/>
            </w:pPr>
            <w:r>
              <w:t xml:space="preserve">206.2</w:t>
            </w:r>
          </w:p>
        </w:tc>
        <w:tc>
          <w:tcPr/>
          <w:p>
            <w:pPr>
              <w:pStyle w:val="Compact"/>
            </w:pPr>
            <w:r>
              <w:t xml:space="preserve">25.5%</w:t>
            </w:r>
          </w:p>
        </w:tc>
        <w:tc>
          <w:tcPr/>
          <w:p>
            <w:pPr>
              <w:pStyle w:val="Compact"/>
            </w:pPr>
            <w:r>
              <w:t xml:space="preserve">39.0%</w:t>
            </w:r>
          </w:p>
        </w:tc>
        <w:tc>
          <w:tcPr/>
          <w:p>
            <w:pPr>
              <w:pStyle w:val="Compact"/>
            </w:pPr>
            <w:r>
              <w:t xml:space="preserve">32.2%</w:t>
            </w:r>
          </w:p>
        </w:tc>
      </w:tr>
      <w:tr>
        <w:tc>
          <w:tcPr/>
          <w:p>
            <w:pPr>
              <w:pStyle w:val="Compact"/>
            </w:pPr>
            <w:r>
              <w:t xml:space="preserve">2022</w:t>
            </w:r>
          </w:p>
        </w:tc>
        <w:tc>
          <w:tcPr/>
          <w:p>
            <w:pPr>
              <w:pStyle w:val="Compact"/>
            </w:pPr>
            <w:r>
              <w:t xml:space="preserve">Urology</w:t>
            </w:r>
          </w:p>
        </w:tc>
        <w:tc>
          <w:tcPr/>
          <w:p>
            <w:pPr>
              <w:pStyle w:val="Compact"/>
            </w:pPr>
            <w:r>
              <w:t xml:space="preserve">62</w:t>
            </w:r>
          </w:p>
        </w:tc>
        <w:tc>
          <w:tcPr/>
          <w:p>
            <w:pPr>
              <w:pStyle w:val="Compact"/>
            </w:pPr>
            <w:r>
              <w:t xml:space="preserve">1192</w:t>
            </w:r>
          </w:p>
        </w:tc>
        <w:tc>
          <w:tcPr/>
          <w:p>
            <w:pPr>
              <w:pStyle w:val="Compact"/>
            </w:pPr>
            <w:r>
              <w:t xml:space="preserve">17 (13–22)</w:t>
            </w:r>
          </w:p>
        </w:tc>
        <w:tc>
          <w:tcPr/>
          <w:p>
            <w:pPr>
              <w:pStyle w:val="Compact"/>
            </w:pPr>
            <w:r>
              <w:t xml:space="preserve">0.223</w:t>
            </w:r>
          </w:p>
        </w:tc>
        <w:tc>
          <w:tcPr/>
          <w:p>
            <w:pPr>
              <w:pStyle w:val="Compact"/>
            </w:pPr>
            <w:r>
              <w:t xml:space="preserve">195.4</w:t>
            </w:r>
          </w:p>
        </w:tc>
        <w:tc>
          <w:tcPr/>
          <w:p>
            <w:pPr>
              <w:pStyle w:val="Compact"/>
            </w:pPr>
            <w:r>
              <w:t xml:space="preserve">22.1%</w:t>
            </w:r>
          </w:p>
        </w:tc>
        <w:tc>
          <w:tcPr/>
          <w:p>
            <w:pPr>
              <w:pStyle w:val="Compact"/>
            </w:pPr>
            <w:r>
              <w:t xml:space="preserve">35.8%</w:t>
            </w:r>
          </w:p>
        </w:tc>
        <w:tc>
          <w:tcPr/>
          <w:p>
            <w:pPr>
              <w:pStyle w:val="Compact"/>
            </w:pPr>
            <w:r>
              <w:t xml:space="preserve">34.9%</w:t>
            </w:r>
          </w:p>
        </w:tc>
      </w:tr>
      <w:tr>
        <w:tc>
          <w:tcPr/>
          <w:p>
            <w:pPr>
              <w:pStyle w:val="Compact"/>
            </w:pPr>
            <w:r>
              <w:t xml:space="preserve">2022</w:t>
            </w:r>
          </w:p>
        </w:tc>
        <w:tc>
          <w:tcPr/>
          <w:p>
            <w:pPr>
              <w:pStyle w:val="Compact"/>
            </w:pPr>
            <w:r>
              <w:t xml:space="preserve">Other/uncertain</w:t>
            </w:r>
          </w:p>
        </w:tc>
        <w:tc>
          <w:tcPr/>
          <w:p>
            <w:pPr>
              <w:pStyle w:val="Compact"/>
            </w:pPr>
            <w:r>
              <w:t xml:space="preserve">55</w:t>
            </w:r>
          </w:p>
        </w:tc>
        <w:tc>
          <w:tcPr/>
          <w:p>
            <w:pPr>
              <w:pStyle w:val="Compact"/>
            </w:pPr>
            <w:r>
              <w:t xml:space="preserve">1258</w:t>
            </w:r>
          </w:p>
        </w:tc>
        <w:tc>
          <w:tcPr/>
          <w:p>
            <w:pPr>
              <w:pStyle w:val="Compact"/>
            </w:pPr>
            <w:r>
              <w:t xml:space="preserve">17 (14–32)</w:t>
            </w:r>
          </w:p>
        </w:tc>
        <w:tc>
          <w:tcPr/>
          <w:p>
            <w:pPr>
              <w:pStyle w:val="Compact"/>
            </w:pPr>
            <w:r>
              <w:t xml:space="preserve">0.282</w:t>
            </w:r>
          </w:p>
        </w:tc>
        <w:tc>
          <w:tcPr/>
          <w:p>
            <w:pPr>
              <w:pStyle w:val="Compact"/>
            </w:pPr>
            <w:r>
              <w:t xml:space="preserve">235.3</w:t>
            </w:r>
          </w:p>
        </w:tc>
        <w:tc>
          <w:tcPr/>
          <w:p>
            <w:pPr>
              <w:pStyle w:val="Compact"/>
            </w:pPr>
            <w:r>
              <w:t xml:space="preserve">23.9%</w:t>
            </w:r>
          </w:p>
        </w:tc>
        <w:tc>
          <w:tcPr/>
          <w:p>
            <w:pPr>
              <w:pStyle w:val="Compact"/>
            </w:pPr>
            <w:r>
              <w:t xml:space="preserve">38.3%</w:t>
            </w:r>
          </w:p>
        </w:tc>
        <w:tc>
          <w:tcPr/>
          <w:p>
            <w:pPr>
              <w:pStyle w:val="Compact"/>
            </w:pPr>
            <w:r>
              <w:t xml:space="preserve">29.3%</w:t>
            </w:r>
          </w:p>
        </w:tc>
      </w:tr>
      <w:tr>
        <w:tc>
          <w:tcPr/>
          <w:p>
            <w:pPr>
              <w:pStyle w:val="Compact"/>
            </w:pPr>
            <w:r>
              <w:t xml:space="preserve">2022</w:t>
            </w:r>
          </w:p>
        </w:tc>
        <w:tc>
          <w:tcPr/>
          <w:p>
            <w:pPr>
              <w:pStyle w:val="Compact"/>
            </w:pPr>
            <w:r>
              <w:t xml:space="preserve">URPS (OB/GYN)</w:t>
            </w:r>
          </w:p>
        </w:tc>
        <w:tc>
          <w:tcPr/>
          <w:p>
            <w:pPr>
              <w:pStyle w:val="Compact"/>
            </w:pPr>
            <w:r>
              <w:t xml:space="preserve">292</w:t>
            </w:r>
          </w:p>
        </w:tc>
        <w:tc>
          <w:tcPr/>
          <w:p>
            <w:pPr>
              <w:pStyle w:val="Compact"/>
            </w:pPr>
            <w:r>
              <w:t xml:space="preserve">6734</w:t>
            </w:r>
          </w:p>
        </w:tc>
        <w:tc>
          <w:tcPr/>
          <w:p>
            <w:pPr>
              <w:pStyle w:val="Compact"/>
            </w:pPr>
            <w:r>
              <w:t xml:space="preserve">19 (14–27)</w:t>
            </w:r>
          </w:p>
        </w:tc>
        <w:tc>
          <w:tcPr/>
          <w:p>
            <w:pPr>
              <w:pStyle w:val="Compact"/>
            </w:pPr>
            <w:r>
              <w:t xml:space="preserve">0.287</w:t>
            </w:r>
          </w:p>
        </w:tc>
        <w:tc>
          <w:tcPr/>
          <w:p>
            <w:pPr>
              <w:pStyle w:val="Compact"/>
            </w:pPr>
            <w:r>
              <w:t xml:space="preserve">45.7</w:t>
            </w:r>
          </w:p>
        </w:tc>
        <w:tc>
          <w:tcPr/>
          <w:p>
            <w:pPr>
              <w:pStyle w:val="Compact"/>
            </w:pPr>
            <w:r>
              <w:t xml:space="preserve">24.2%</w:t>
            </w:r>
          </w:p>
        </w:tc>
        <w:tc>
          <w:tcPr/>
          <w:p>
            <w:pPr>
              <w:pStyle w:val="Compact"/>
            </w:pPr>
            <w:r>
              <w:t xml:space="preserve">39.7%</w:t>
            </w:r>
          </w:p>
        </w:tc>
        <w:tc>
          <w:tcPr/>
          <w:p>
            <w:pPr>
              <w:pStyle w:val="Compact"/>
            </w:pPr>
            <w:r>
              <w:t xml:space="preserve">30.4%</w:t>
            </w:r>
          </w:p>
        </w:tc>
      </w:tr>
      <w:tr>
        <w:tc>
          <w:tcPr/>
          <w:p>
            <w:pPr>
              <w:pStyle w:val="Compact"/>
            </w:pPr>
            <w:r>
              <w:t xml:space="preserve">2022</w:t>
            </w:r>
          </w:p>
        </w:tc>
        <w:tc>
          <w:tcPr/>
          <w:p>
            <w:pPr>
              <w:pStyle w:val="Compact"/>
            </w:pPr>
            <w:r>
              <w:t xml:space="preserve">URPS (urology)</w:t>
            </w:r>
          </w:p>
        </w:tc>
        <w:tc>
          <w:tcPr/>
          <w:p>
            <w:pPr>
              <w:pStyle w:val="Compact"/>
            </w:pPr>
            <w:r>
              <w:t xml:space="preserve">49</w:t>
            </w:r>
          </w:p>
        </w:tc>
        <w:tc>
          <w:tcPr/>
          <w:p>
            <w:pPr>
              <w:pStyle w:val="Compact"/>
            </w:pPr>
            <w:r>
              <w:t xml:space="preserve">878</w:t>
            </w:r>
          </w:p>
        </w:tc>
        <w:tc>
          <w:tcPr/>
          <w:p>
            <w:pPr>
              <w:pStyle w:val="Compact"/>
            </w:pPr>
            <w:r>
              <w:t xml:space="preserve">16 (13–20)</w:t>
            </w:r>
          </w:p>
        </w:tc>
        <w:tc>
          <w:tcPr/>
          <w:p>
            <w:pPr>
              <w:pStyle w:val="Compact"/>
            </w:pPr>
            <w:r>
              <w:t xml:space="preserve">0.194</w:t>
            </w:r>
          </w:p>
        </w:tc>
        <w:tc>
          <w:tcPr/>
          <w:p>
            <w:pPr>
              <w:pStyle w:val="Compact"/>
            </w:pPr>
            <w:r>
              <w:t xml:space="preserve">239.3</w:t>
            </w:r>
          </w:p>
        </w:tc>
        <w:tc>
          <w:tcPr/>
          <w:p>
            <w:pPr>
              <w:pStyle w:val="Compact"/>
            </w:pPr>
            <w:r>
              <w:t xml:space="preserve">20.0%</w:t>
            </w:r>
          </w:p>
        </w:tc>
        <w:tc>
          <w:tcPr/>
          <w:p>
            <w:pPr>
              <w:pStyle w:val="Compact"/>
            </w:pPr>
            <w:r>
              <w:t xml:space="preserve">33.1%</w:t>
            </w:r>
          </w:p>
        </w:tc>
        <w:tc>
          <w:tcPr/>
          <w:p>
            <w:pPr>
              <w:pStyle w:val="Compact"/>
            </w:pPr>
            <w:r>
              <w:t xml:space="preserve">36.3%</w:t>
            </w:r>
          </w:p>
        </w:tc>
      </w:tr>
      <w:tr>
        <w:tc>
          <w:tcPr/>
          <w:p>
            <w:pPr>
              <w:pStyle w:val="Compact"/>
            </w:pPr>
            <w:r>
              <w:t xml:space="preserve">2023</w:t>
            </w:r>
          </w:p>
        </w:tc>
        <w:tc>
          <w:tcPr/>
          <w:p>
            <w:pPr>
              <w:pStyle w:val="Compact"/>
            </w:pPr>
            <w:r>
              <w:t xml:space="preserve">All</w:t>
            </w:r>
          </w:p>
        </w:tc>
        <w:tc>
          <w:tcPr/>
          <w:p>
            <w:pPr>
              <w:pStyle w:val="Compact"/>
            </w:pPr>
            <w:r>
              <w:t xml:space="preserve">522</w:t>
            </w:r>
          </w:p>
        </w:tc>
        <w:tc>
          <w:tcPr/>
          <w:p>
            <w:pPr>
              <w:pStyle w:val="Compact"/>
            </w:pPr>
            <w:r>
              <w:t xml:space="preserve">11470</w:t>
            </w:r>
          </w:p>
        </w:tc>
        <w:tc>
          <w:tcPr/>
          <w:p>
            <w:pPr>
              <w:pStyle w:val="Compact"/>
            </w:pPr>
            <w:r>
              <w:t xml:space="preserve">18 (14–26)</w:t>
            </w:r>
          </w:p>
        </w:tc>
        <w:tc>
          <w:tcPr/>
          <w:p>
            <w:pPr>
              <w:pStyle w:val="Compact"/>
            </w:pPr>
            <w:r>
              <w:t xml:space="preserve">0.267</w:t>
            </w:r>
          </w:p>
        </w:tc>
        <w:tc>
          <w:tcPr/>
          <w:p>
            <w:pPr>
              <w:pStyle w:val="Compact"/>
            </w:pPr>
            <w:r>
              <w:t xml:space="preserve">24.6</w:t>
            </w:r>
          </w:p>
        </w:tc>
        <w:tc>
          <w:tcPr/>
          <w:p>
            <w:pPr>
              <w:pStyle w:val="Compact"/>
            </w:pPr>
            <w:r>
              <w:t xml:space="preserve">22.9%</w:t>
            </w:r>
          </w:p>
        </w:tc>
        <w:tc>
          <w:tcPr/>
          <w:p>
            <w:pPr>
              <w:pStyle w:val="Compact"/>
            </w:pPr>
            <w:r>
              <w:t xml:space="preserve">37.8%</w:t>
            </w:r>
          </w:p>
        </w:tc>
        <w:tc>
          <w:tcPr/>
          <w:p>
            <w:pPr>
              <w:pStyle w:val="Compact"/>
            </w:pPr>
            <w:r>
              <w:t xml:space="preserve">31.6%</w:t>
            </w:r>
          </w:p>
        </w:tc>
      </w:tr>
      <w:tr>
        <w:tc>
          <w:tcPr/>
          <w:p>
            <w:pPr>
              <w:pStyle w:val="Compact"/>
            </w:pPr>
            <w:r>
              <w:t xml:space="preserve">2023</w:t>
            </w:r>
          </w:p>
        </w:tc>
        <w:tc>
          <w:tcPr/>
          <w:p>
            <w:pPr>
              <w:pStyle w:val="Compact"/>
            </w:pPr>
            <w:r>
              <w:t xml:space="preserve">MIGS</w:t>
            </w:r>
          </w:p>
        </w:tc>
        <w:tc>
          <w:tcPr/>
          <w:p>
            <w:pPr>
              <w:pStyle w:val="Compact"/>
            </w:pPr>
            <w:r>
              <w:t xml:space="preserve">4</w:t>
            </w:r>
          </w:p>
        </w:tc>
        <w:tc>
          <w:tcPr/>
          <w:p>
            <w:pPr>
              <w:pStyle w:val="Compact"/>
            </w:pPr>
            <w:r>
              <w:t xml:space="preserve">99</w:t>
            </w:r>
          </w:p>
        </w:tc>
        <w:tc>
          <w:tcPr/>
          <w:p>
            <w:pPr>
              <w:pStyle w:val="Compact"/>
            </w:pPr>
            <w:r>
              <w:t xml:space="preserve">14 (12–27)</w:t>
            </w:r>
          </w:p>
        </w:tc>
        <w:tc>
          <w:tcPr/>
          <w:p>
            <w:pPr>
              <w:pStyle w:val="Compact"/>
            </w:pPr>
            <w:r>
              <w:t xml:space="preserve">0.381</w:t>
            </w:r>
          </w:p>
        </w:tc>
        <w:tc>
          <w:tcPr/>
          <w:p>
            <w:pPr>
              <w:pStyle w:val="Compact"/>
            </w:pPr>
            <w:r>
              <w:t xml:space="preserve">4204.7</w:t>
            </w:r>
          </w:p>
        </w:tc>
        <w:tc>
          <w:tcPr/>
          <w:p>
            <w:pPr>
              <w:pStyle w:val="Compact"/>
            </w:pPr>
            <w:r>
              <w:t xml:space="preserve">60.6%</w:t>
            </w:r>
          </w:p>
        </w:tc>
        <w:tc>
          <w:tcPr/>
          <w:p>
            <w:pPr>
              <w:pStyle w:val="Compact"/>
            </w:pPr>
            <w:r>
              <w:t xml:space="preserve">60.6%</w:t>
            </w:r>
          </w:p>
        </w:tc>
        <w:tc>
          <w:tcPr/>
          <w:p>
            <w:pPr>
              <w:pStyle w:val="Compact"/>
            </w:pPr>
            <w:r>
              <w:t xml:space="preserve">23.2%</w:t>
            </w:r>
          </w:p>
        </w:tc>
      </w:tr>
      <w:tr>
        <w:tc>
          <w:tcPr/>
          <w:p>
            <w:pPr>
              <w:pStyle w:val="Compact"/>
            </w:pPr>
            <w:r>
              <w:t xml:space="preserve">2023</w:t>
            </w:r>
          </w:p>
        </w:tc>
        <w:tc>
          <w:tcPr/>
          <w:p>
            <w:pPr>
              <w:pStyle w:val="Compact"/>
            </w:pPr>
            <w:r>
              <w:t xml:space="preserve">General OB/GYN</w:t>
            </w:r>
          </w:p>
        </w:tc>
        <w:tc>
          <w:tcPr/>
          <w:p>
            <w:pPr>
              <w:pStyle w:val="Compact"/>
            </w:pPr>
            <w:r>
              <w:t xml:space="preserve">76</w:t>
            </w:r>
          </w:p>
        </w:tc>
        <w:tc>
          <w:tcPr/>
          <w:p>
            <w:pPr>
              <w:pStyle w:val="Compact"/>
            </w:pPr>
            <w:r>
              <w:t xml:space="preserve">1500</w:t>
            </w:r>
          </w:p>
        </w:tc>
        <w:tc>
          <w:tcPr/>
          <w:p>
            <w:pPr>
              <w:pStyle w:val="Compact"/>
            </w:pPr>
            <w:r>
              <w:t xml:space="preserve">16 (13–23)</w:t>
            </w:r>
          </w:p>
        </w:tc>
        <w:tc>
          <w:tcPr/>
          <w:p>
            <w:pPr>
              <w:pStyle w:val="Compact"/>
            </w:pPr>
            <w:r>
              <w:t xml:space="preserve">0.248</w:t>
            </w:r>
          </w:p>
        </w:tc>
        <w:tc>
          <w:tcPr/>
          <w:p>
            <w:pPr>
              <w:pStyle w:val="Compact"/>
            </w:pPr>
            <w:r>
              <w:t xml:space="preserve">163.9</w:t>
            </w:r>
          </w:p>
        </w:tc>
        <w:tc>
          <w:tcPr/>
          <w:p>
            <w:pPr>
              <w:pStyle w:val="Compact"/>
            </w:pPr>
            <w:r>
              <w:t xml:space="preserve">22.7%</w:t>
            </w:r>
          </w:p>
        </w:tc>
        <w:tc>
          <w:tcPr/>
          <w:p>
            <w:pPr>
              <w:pStyle w:val="Compact"/>
            </w:pPr>
            <w:r>
              <w:t xml:space="preserve">37.7%</w:t>
            </w:r>
          </w:p>
        </w:tc>
        <w:tc>
          <w:tcPr/>
          <w:p>
            <w:pPr>
              <w:pStyle w:val="Compact"/>
            </w:pPr>
            <w:r>
              <w:t xml:space="preserve">32.7%</w:t>
            </w:r>
          </w:p>
        </w:tc>
      </w:tr>
      <w:tr>
        <w:tc>
          <w:tcPr/>
          <w:p>
            <w:pPr>
              <w:pStyle w:val="Compact"/>
            </w:pPr>
            <w:r>
              <w:t xml:space="preserve">2023</w:t>
            </w:r>
          </w:p>
        </w:tc>
        <w:tc>
          <w:tcPr/>
          <w:p>
            <w:pPr>
              <w:pStyle w:val="Compact"/>
            </w:pPr>
            <w:r>
              <w:t xml:space="preserve">Urology</w:t>
            </w:r>
          </w:p>
        </w:tc>
        <w:tc>
          <w:tcPr/>
          <w:p>
            <w:pPr>
              <w:pStyle w:val="Compact"/>
            </w:pPr>
            <w:r>
              <w:t xml:space="preserve">48</w:t>
            </w:r>
          </w:p>
        </w:tc>
        <w:tc>
          <w:tcPr/>
          <w:p>
            <w:pPr>
              <w:pStyle w:val="Compact"/>
            </w:pPr>
            <w:r>
              <w:t xml:space="preserve">948</w:t>
            </w:r>
          </w:p>
        </w:tc>
        <w:tc>
          <w:tcPr/>
          <w:p>
            <w:pPr>
              <w:pStyle w:val="Compact"/>
            </w:pPr>
            <w:r>
              <w:t xml:space="preserve">17 (13–23)</w:t>
            </w:r>
          </w:p>
        </w:tc>
        <w:tc>
          <w:tcPr/>
          <w:p>
            <w:pPr>
              <w:pStyle w:val="Compact"/>
            </w:pPr>
            <w:r>
              <w:t xml:space="preserve">0.236</w:t>
            </w:r>
          </w:p>
        </w:tc>
        <w:tc>
          <w:tcPr/>
          <w:p>
            <w:pPr>
              <w:pStyle w:val="Compact"/>
            </w:pPr>
            <w:r>
              <w:t xml:space="preserve">253.9</w:t>
            </w:r>
          </w:p>
        </w:tc>
        <w:tc>
          <w:tcPr/>
          <w:p>
            <w:pPr>
              <w:pStyle w:val="Compact"/>
            </w:pPr>
            <w:r>
              <w:t xml:space="preserve">20.9%</w:t>
            </w:r>
          </w:p>
        </w:tc>
        <w:tc>
          <w:tcPr/>
          <w:p>
            <w:pPr>
              <w:pStyle w:val="Compact"/>
            </w:pPr>
            <w:r>
              <w:t xml:space="preserve">35.9%</w:t>
            </w:r>
          </w:p>
        </w:tc>
        <w:tc>
          <w:tcPr/>
          <w:p>
            <w:pPr>
              <w:pStyle w:val="Compact"/>
            </w:pPr>
            <w:r>
              <w:t xml:space="preserve">33.3%</w:t>
            </w:r>
          </w:p>
        </w:tc>
      </w:tr>
      <w:tr>
        <w:tc>
          <w:tcPr/>
          <w:p>
            <w:pPr>
              <w:pStyle w:val="Compact"/>
            </w:pPr>
            <w:r>
              <w:t xml:space="preserve">2023</w:t>
            </w:r>
          </w:p>
        </w:tc>
        <w:tc>
          <w:tcPr/>
          <w:p>
            <w:pPr>
              <w:pStyle w:val="Compact"/>
            </w:pPr>
            <w:r>
              <w:t xml:space="preserve">Other/uncertain</w:t>
            </w:r>
          </w:p>
        </w:tc>
        <w:tc>
          <w:tcPr/>
          <w:p>
            <w:pPr>
              <w:pStyle w:val="Compact"/>
            </w:pPr>
            <w:r>
              <w:t xml:space="preserve">56</w:t>
            </w:r>
          </w:p>
        </w:tc>
        <w:tc>
          <w:tcPr/>
          <w:p>
            <w:pPr>
              <w:pStyle w:val="Compact"/>
            </w:pPr>
            <w:r>
              <w:t xml:space="preserve">1121</w:t>
            </w:r>
          </w:p>
        </w:tc>
        <w:tc>
          <w:tcPr/>
          <w:p>
            <w:pPr>
              <w:pStyle w:val="Compact"/>
            </w:pPr>
            <w:r>
              <w:t xml:space="preserve">16 (13–25)</w:t>
            </w:r>
          </w:p>
        </w:tc>
        <w:tc>
          <w:tcPr/>
          <w:p>
            <w:pPr>
              <w:pStyle w:val="Compact"/>
            </w:pPr>
            <w:r>
              <w:t xml:space="preserve">0.242</w:t>
            </w:r>
          </w:p>
        </w:tc>
        <w:tc>
          <w:tcPr/>
          <w:p>
            <w:pPr>
              <w:pStyle w:val="Compact"/>
            </w:pPr>
            <w:r>
              <w:t xml:space="preserve">218.0</w:t>
            </w:r>
          </w:p>
        </w:tc>
        <w:tc>
          <w:tcPr/>
          <w:p>
            <w:pPr>
              <w:pStyle w:val="Compact"/>
            </w:pPr>
            <w:r>
              <w:t xml:space="preserve">21.6%</w:t>
            </w:r>
          </w:p>
        </w:tc>
        <w:tc>
          <w:tcPr/>
          <w:p>
            <w:pPr>
              <w:pStyle w:val="Compact"/>
            </w:pPr>
            <w:r>
              <w:t xml:space="preserve">36.6%</w:t>
            </w:r>
          </w:p>
        </w:tc>
        <w:tc>
          <w:tcPr/>
          <w:p>
            <w:pPr>
              <w:pStyle w:val="Compact"/>
            </w:pPr>
            <w:r>
              <w:t xml:space="preserve">32.3%</w:t>
            </w:r>
          </w:p>
        </w:tc>
      </w:tr>
      <w:tr>
        <w:tc>
          <w:tcPr/>
          <w:p>
            <w:pPr>
              <w:pStyle w:val="Compact"/>
            </w:pPr>
            <w:r>
              <w:t xml:space="preserve">2023</w:t>
            </w:r>
          </w:p>
        </w:tc>
        <w:tc>
          <w:tcPr/>
          <w:p>
            <w:pPr>
              <w:pStyle w:val="Compact"/>
            </w:pPr>
            <w:r>
              <w:t xml:space="preserve">URPS (OB/GYN)</w:t>
            </w:r>
          </w:p>
        </w:tc>
        <w:tc>
          <w:tcPr/>
          <w:p>
            <w:pPr>
              <w:pStyle w:val="Compact"/>
            </w:pPr>
            <w:r>
              <w:t xml:space="preserve">293</w:t>
            </w:r>
          </w:p>
        </w:tc>
        <w:tc>
          <w:tcPr/>
          <w:p>
            <w:pPr>
              <w:pStyle w:val="Compact"/>
            </w:pPr>
            <w:r>
              <w:t xml:space="preserve">6949</w:t>
            </w:r>
          </w:p>
        </w:tc>
        <w:tc>
          <w:tcPr/>
          <w:p>
            <w:pPr>
              <w:pStyle w:val="Compact"/>
            </w:pPr>
            <w:r>
              <w:t xml:space="preserve">20 (15–28)</w:t>
            </w:r>
          </w:p>
        </w:tc>
        <w:tc>
          <w:tcPr/>
          <w:p>
            <w:pPr>
              <w:pStyle w:val="Compact"/>
            </w:pPr>
            <w:r>
              <w:t xml:space="preserve">0.275</w:t>
            </w:r>
          </w:p>
        </w:tc>
        <w:tc>
          <w:tcPr/>
          <w:p>
            <w:pPr>
              <w:pStyle w:val="Compact"/>
            </w:pPr>
            <w:r>
              <w:t xml:space="preserve">44.2</w:t>
            </w:r>
          </w:p>
        </w:tc>
        <w:tc>
          <w:tcPr/>
          <w:p>
            <w:pPr>
              <w:pStyle w:val="Compact"/>
            </w:pPr>
            <w:r>
              <w:t xml:space="preserve">23.1%</w:t>
            </w:r>
          </w:p>
        </w:tc>
        <w:tc>
          <w:tcPr/>
          <w:p>
            <w:pPr>
              <w:pStyle w:val="Compact"/>
            </w:pPr>
            <w:r>
              <w:t xml:space="preserve">38.4%</w:t>
            </w:r>
          </w:p>
        </w:tc>
        <w:tc>
          <w:tcPr/>
          <w:p>
            <w:pPr>
              <w:pStyle w:val="Compact"/>
            </w:pPr>
            <w:r>
              <w:t xml:space="preserve">31.0%</w:t>
            </w:r>
          </w:p>
        </w:tc>
      </w:tr>
      <w:tr>
        <w:tc>
          <w:tcPr/>
          <w:p>
            <w:pPr>
              <w:pStyle w:val="Compact"/>
            </w:pPr>
            <w:r>
              <w:t xml:space="preserve">2023</w:t>
            </w:r>
          </w:p>
        </w:tc>
        <w:tc>
          <w:tcPr/>
          <w:p>
            <w:pPr>
              <w:pStyle w:val="Compact"/>
            </w:pPr>
            <w:r>
              <w:t xml:space="preserve">URPS (urology)</w:t>
            </w:r>
          </w:p>
        </w:tc>
        <w:tc>
          <w:tcPr/>
          <w:p>
            <w:pPr>
              <w:pStyle w:val="Compact"/>
            </w:pPr>
            <w:r>
              <w:t xml:space="preserve">45</w:t>
            </w:r>
          </w:p>
        </w:tc>
        <w:tc>
          <w:tcPr/>
          <w:p>
            <w:pPr>
              <w:pStyle w:val="Compact"/>
            </w:pPr>
            <w:r>
              <w:t xml:space="preserve">853</w:t>
            </w:r>
          </w:p>
        </w:tc>
        <w:tc>
          <w:tcPr/>
          <w:p>
            <w:pPr>
              <w:pStyle w:val="Compact"/>
            </w:pPr>
            <w:r>
              <w:t xml:space="preserve">16 (12–23)</w:t>
            </w:r>
          </w:p>
        </w:tc>
        <w:tc>
          <w:tcPr/>
          <w:p>
            <w:pPr>
              <w:pStyle w:val="Compact"/>
            </w:pPr>
            <w:r>
              <w:t xml:space="preserve">0.227</w:t>
            </w:r>
          </w:p>
        </w:tc>
        <w:tc>
          <w:tcPr/>
          <w:p>
            <w:pPr>
              <w:pStyle w:val="Compact"/>
            </w:pPr>
            <w:r>
              <w:t xml:space="preserve">264.9</w:t>
            </w:r>
          </w:p>
        </w:tc>
        <w:tc>
          <w:tcPr/>
          <w:p>
            <w:pPr>
              <w:pStyle w:val="Compact"/>
            </w:pPr>
            <w:r>
              <w:t xml:space="preserve">21.7%</w:t>
            </w:r>
          </w:p>
        </w:tc>
        <w:tc>
          <w:tcPr/>
          <w:p>
            <w:pPr>
              <w:pStyle w:val="Compact"/>
            </w:pPr>
            <w:r>
              <w:t xml:space="preserve">34.2%</w:t>
            </w:r>
          </w:p>
        </w:tc>
        <w:tc>
          <w:tcPr/>
          <w:p>
            <w:pPr>
              <w:pStyle w:val="Compact"/>
            </w:pPr>
            <w:r>
              <w:t xml:space="preserve">33.1%</w:t>
            </w:r>
          </w:p>
        </w:tc>
      </w:tr>
    </w:tbl>
    <w:p>
      <w:pPr>
        <w:pStyle w:val="BodyText"/>
      </w:pPr>
      <w:r>
        <w:rPr>
          <w:b/>
          <w:bCs/>
        </w:rPr>
        <w:t xml:space="preserve">Supplementary Table S2.</w:t>
      </w:r>
      <w:r>
        <w:t xml:space="preserve"> </w:t>
      </w:r>
      <w:r>
        <w:t xml:space="preserve">Trend regressions for annual concentration and volume measures on calendar year, overall and by specialty (ordinary least squares).</w:t>
      </w:r>
    </w:p>
    <w:tbl>
      <w:tblPr>
        <w:tblStyle w:val="Table"/>
        <w:tblW w:type="pct" w:w="5000"/>
        <w:tblLayout w:type="fixed"/>
        <w:tblLook w:firstRow="1" w:lastRow="0" w:firstColumn="0" w:lastColumn="0" w:noHBand="0" w:noVBand="0" w:val="0020"/>
      </w:tblPr>
      <w:tblGrid>
        <w:gridCol w:w="2020"/>
        <w:gridCol w:w="1373"/>
        <w:gridCol w:w="888"/>
        <w:gridCol w:w="888"/>
        <w:gridCol w:w="1131"/>
        <w:gridCol w:w="888"/>
        <w:gridCol w:w="727"/>
      </w:tblGrid>
      <w:tr>
        <w:trPr>
          <w:tblHeader w:val="on"/>
        </w:trPr>
        <w:tc>
          <w:tcPr/>
          <w:p>
            <w:pPr>
              <w:pStyle w:val="Compact"/>
            </w:pPr>
            <w:r>
              <w:t xml:space="preserve">Measure</w:t>
            </w:r>
          </w:p>
        </w:tc>
        <w:tc>
          <w:tcPr/>
          <w:p>
            <w:pPr>
              <w:pStyle w:val="Compact"/>
            </w:pPr>
            <w:r>
              <w:t xml:space="preserve">Specialty</w:t>
            </w:r>
          </w:p>
        </w:tc>
        <w:tc>
          <w:tcPr/>
          <w:p>
            <w:pPr>
              <w:pStyle w:val="Compact"/>
            </w:pPr>
            <w:r>
              <w:t xml:space="preserve">Start</w:t>
            </w:r>
          </w:p>
        </w:tc>
        <w:tc>
          <w:tcPr/>
          <w:p>
            <w:pPr>
              <w:pStyle w:val="Compact"/>
            </w:pPr>
            <w:r>
              <w:t xml:space="preserve">End</w:t>
            </w:r>
          </w:p>
        </w:tc>
        <w:tc>
          <w:tcPr/>
          <w:p>
            <w:pPr>
              <w:pStyle w:val="Compact"/>
            </w:pPr>
            <w:r>
              <w:t xml:space="preserve">Slope / year</w:t>
            </w:r>
          </w:p>
        </w:tc>
        <w:tc>
          <w:tcPr/>
          <w:p>
            <w:pPr>
              <w:pStyle w:val="Compact"/>
            </w:pPr>
            <w:r>
              <w:t xml:space="preserve">R-squared</w:t>
            </w:r>
          </w:p>
        </w:tc>
        <w:tc>
          <w:tcPr/>
          <w:p>
            <w:pPr>
              <w:pStyle w:val="Compact"/>
            </w:pPr>
            <w:r>
              <w:t xml:space="preserve">p-value</w:t>
            </w:r>
          </w:p>
        </w:tc>
      </w:tr>
      <w:tr>
        <w:tc>
          <w:tcPr/>
          <w:p>
            <w:pPr>
              <w:pStyle w:val="Compact"/>
            </w:pPr>
            <w:r>
              <w:t xml:space="preserve">Total procedures</w:t>
            </w:r>
          </w:p>
        </w:tc>
        <w:tc>
          <w:tcPr/>
          <w:p>
            <w:pPr>
              <w:pStyle w:val="Compact"/>
            </w:pPr>
            <w:r>
              <w:t xml:space="preserve">All</w:t>
            </w:r>
          </w:p>
        </w:tc>
        <w:tc>
          <w:tcPr/>
          <w:p>
            <w:pPr>
              <w:pStyle w:val="Compact"/>
            </w:pPr>
            <w:r>
              <w:t xml:space="preserve">15872.000</w:t>
            </w:r>
          </w:p>
        </w:tc>
        <w:tc>
          <w:tcPr/>
          <w:p>
            <w:pPr>
              <w:pStyle w:val="Compact"/>
            </w:pPr>
            <w:r>
              <w:t xml:space="preserve">11470.000</w:t>
            </w:r>
          </w:p>
        </w:tc>
        <w:tc>
          <w:tcPr/>
          <w:p>
            <w:pPr>
              <w:pStyle w:val="Compact"/>
            </w:pPr>
            <w:r>
              <w:t xml:space="preserve">-503.609</w:t>
            </w:r>
          </w:p>
        </w:tc>
        <w:tc>
          <w:tcPr/>
          <w:p>
            <w:pPr>
              <w:pStyle w:val="Compact"/>
            </w:pPr>
            <w:r>
              <w:t xml:space="preserve">0.491</w:t>
            </w:r>
          </w:p>
        </w:tc>
        <w:tc>
          <w:tcPr/>
          <w:p>
            <w:pPr>
              <w:pStyle w:val="Compact"/>
            </w:pPr>
            <w:r>
              <w:t xml:space="preserve">0.020</w:t>
            </w:r>
          </w:p>
        </w:tc>
      </w:tr>
      <w:tr>
        <w:tc>
          <w:tcPr/>
          <w:p>
            <w:pPr>
              <w:pStyle w:val="Compact"/>
            </w:pPr>
            <w:r>
              <w:t xml:space="preserve">Total procedures</w:t>
            </w:r>
          </w:p>
        </w:tc>
        <w:tc>
          <w:tcPr/>
          <w:p>
            <w:pPr>
              <w:pStyle w:val="Compact"/>
            </w:pPr>
            <w:r>
              <w:t xml:space="preserve">General OB/GYN</w:t>
            </w:r>
          </w:p>
        </w:tc>
        <w:tc>
          <w:tcPr/>
          <w:p>
            <w:pPr>
              <w:pStyle w:val="Compact"/>
            </w:pPr>
            <w:r>
              <w:t xml:space="preserve">2580.000</w:t>
            </w:r>
          </w:p>
        </w:tc>
        <w:tc>
          <w:tcPr/>
          <w:p>
            <w:pPr>
              <w:pStyle w:val="Compact"/>
            </w:pPr>
            <w:r>
              <w:t xml:space="preserve">1500.000</w:t>
            </w:r>
          </w:p>
        </w:tc>
        <w:tc>
          <w:tcPr/>
          <w:p>
            <w:pPr>
              <w:pStyle w:val="Compact"/>
            </w:pPr>
            <w:r>
              <w:t xml:space="preserve">-117.527</w:t>
            </w:r>
          </w:p>
        </w:tc>
        <w:tc>
          <w:tcPr/>
          <w:p>
            <w:pPr>
              <w:pStyle w:val="Compact"/>
            </w:pPr>
            <w:r>
              <w:t xml:space="preserve">0.681</w:t>
            </w:r>
          </w:p>
        </w:tc>
        <w:tc>
          <w:tcPr/>
          <w:p>
            <w:pPr>
              <w:pStyle w:val="Compact"/>
            </w:pPr>
            <w:r>
              <w:t xml:space="preserve">0.002</w:t>
            </w:r>
          </w:p>
        </w:tc>
      </w:tr>
      <w:tr>
        <w:tc>
          <w:tcPr/>
          <w:p>
            <w:pPr>
              <w:pStyle w:val="Compact"/>
            </w:pPr>
            <w:r>
              <w:t xml:space="preserve">Total procedures</w:t>
            </w:r>
          </w:p>
        </w:tc>
        <w:tc>
          <w:tcPr/>
          <w:p>
            <w:pPr>
              <w:pStyle w:val="Compact"/>
            </w:pPr>
            <w:r>
              <w:t xml:space="preserve">MIGS</w:t>
            </w:r>
          </w:p>
        </w:tc>
        <w:tc>
          <w:tcPr/>
          <w:p>
            <w:pPr>
              <w:pStyle w:val="Compact"/>
            </w:pPr>
            <w:r>
              <w:t xml:space="preserve">35.000</w:t>
            </w:r>
          </w:p>
        </w:tc>
        <w:tc>
          <w:tcPr/>
          <w:p>
            <w:pPr>
              <w:pStyle w:val="Compact"/>
            </w:pPr>
            <w:r>
              <w:t xml:space="preserve">99.000</w:t>
            </w:r>
          </w:p>
        </w:tc>
        <w:tc>
          <w:tcPr/>
          <w:p>
            <w:pPr>
              <w:pStyle w:val="Compact"/>
            </w:pPr>
            <w:r>
              <w:t xml:space="preserve">6.582</w:t>
            </w:r>
          </w:p>
        </w:tc>
        <w:tc>
          <w:tcPr/>
          <w:p>
            <w:pPr>
              <w:pStyle w:val="Compact"/>
            </w:pPr>
            <w:r>
              <w:t xml:space="preserve">0.333</w:t>
            </w:r>
          </w:p>
        </w:tc>
        <w:tc>
          <w:tcPr/>
          <w:p>
            <w:pPr>
              <w:pStyle w:val="Compact"/>
            </w:pPr>
            <w:r>
              <w:t xml:space="preserve">0.060</w:t>
            </w:r>
          </w:p>
        </w:tc>
      </w:tr>
      <w:tr>
        <w:tc>
          <w:tcPr/>
          <w:p>
            <w:pPr>
              <w:pStyle w:val="Compact"/>
            </w:pPr>
            <w:r>
              <w:t xml:space="preserve">Total procedures</w:t>
            </w:r>
          </w:p>
        </w:tc>
        <w:tc>
          <w:tcPr/>
          <w:p>
            <w:pPr>
              <w:pStyle w:val="Compact"/>
            </w:pPr>
            <w:r>
              <w:t xml:space="preserve">Other/uncertain</w:t>
            </w:r>
          </w:p>
        </w:tc>
        <w:tc>
          <w:tcPr/>
          <w:p>
            <w:pPr>
              <w:pStyle w:val="Compact"/>
            </w:pPr>
            <w:r>
              <w:t xml:space="preserve">945.000</w:t>
            </w:r>
          </w:p>
        </w:tc>
        <w:tc>
          <w:tcPr/>
          <w:p>
            <w:pPr>
              <w:pStyle w:val="Compact"/>
            </w:pPr>
            <w:r>
              <w:t xml:space="preserve">1121.000</w:t>
            </w:r>
          </w:p>
        </w:tc>
        <w:tc>
          <w:tcPr/>
          <w:p>
            <w:pPr>
              <w:pStyle w:val="Compact"/>
            </w:pPr>
            <w:r>
              <w:t xml:space="preserve">19.964</w:t>
            </w:r>
          </w:p>
        </w:tc>
        <w:tc>
          <w:tcPr/>
          <w:p>
            <w:pPr>
              <w:pStyle w:val="Compact"/>
            </w:pPr>
            <w:r>
              <w:t xml:space="preserve">0.138</w:t>
            </w:r>
          </w:p>
        </w:tc>
        <w:tc>
          <w:tcPr/>
          <w:p>
            <w:pPr>
              <w:pStyle w:val="Compact"/>
            </w:pPr>
            <w:r>
              <w:t xml:space="preserve">0.260</w:t>
            </w:r>
          </w:p>
        </w:tc>
      </w:tr>
      <w:tr>
        <w:tc>
          <w:tcPr/>
          <w:p>
            <w:pPr>
              <w:pStyle w:val="Compact"/>
            </w:pPr>
            <w:r>
              <w:t xml:space="preserve">Total procedures</w:t>
            </w:r>
          </w:p>
        </w:tc>
        <w:tc>
          <w:tcPr/>
          <w:p>
            <w:pPr>
              <w:pStyle w:val="Compact"/>
            </w:pPr>
            <w:r>
              <w:t xml:space="preserve">URPS (OB/GYN)</w:t>
            </w:r>
          </w:p>
        </w:tc>
        <w:tc>
          <w:tcPr/>
          <w:p>
            <w:pPr>
              <w:pStyle w:val="Compact"/>
            </w:pPr>
            <w:r>
              <w:t xml:space="preserve">7266.000</w:t>
            </w:r>
          </w:p>
        </w:tc>
        <w:tc>
          <w:tcPr/>
          <w:p>
            <w:pPr>
              <w:pStyle w:val="Compact"/>
            </w:pPr>
            <w:r>
              <w:t xml:space="preserve">6949.000</w:t>
            </w:r>
          </w:p>
        </w:tc>
        <w:tc>
          <w:tcPr/>
          <w:p>
            <w:pPr>
              <w:pStyle w:val="Compact"/>
            </w:pPr>
            <w:r>
              <w:t xml:space="preserve">-97.018</w:t>
            </w:r>
          </w:p>
        </w:tc>
        <w:tc>
          <w:tcPr/>
          <w:p>
            <w:pPr>
              <w:pStyle w:val="Compact"/>
            </w:pPr>
            <w:r>
              <w:t xml:space="preserve">0.112</w:t>
            </w:r>
          </w:p>
        </w:tc>
        <w:tc>
          <w:tcPr/>
          <w:p>
            <w:pPr>
              <w:pStyle w:val="Compact"/>
            </w:pPr>
            <w:r>
              <w:t xml:space="preserve">0.310</w:t>
            </w:r>
          </w:p>
        </w:tc>
      </w:tr>
      <w:tr>
        <w:tc>
          <w:tcPr/>
          <w:p>
            <w:pPr>
              <w:pStyle w:val="Compact"/>
            </w:pPr>
            <w:r>
              <w:t xml:space="preserve">Total procedures</w:t>
            </w:r>
          </w:p>
        </w:tc>
        <w:tc>
          <w:tcPr/>
          <w:p>
            <w:pPr>
              <w:pStyle w:val="Compact"/>
            </w:pPr>
            <w:r>
              <w:t xml:space="preserve">URPS (urology)</w:t>
            </w:r>
          </w:p>
        </w:tc>
        <w:tc>
          <w:tcPr/>
          <w:p>
            <w:pPr>
              <w:pStyle w:val="Compact"/>
            </w:pPr>
            <w:r>
              <w:t xml:space="preserve">1483.000</w:t>
            </w:r>
          </w:p>
        </w:tc>
        <w:tc>
          <w:tcPr/>
          <w:p>
            <w:pPr>
              <w:pStyle w:val="Compact"/>
            </w:pPr>
            <w:r>
              <w:t xml:space="preserve">853.000</w:t>
            </w:r>
          </w:p>
        </w:tc>
        <w:tc>
          <w:tcPr/>
          <w:p>
            <w:pPr>
              <w:pStyle w:val="Compact"/>
            </w:pPr>
            <w:r>
              <w:t xml:space="preserve">-79.791</w:t>
            </w:r>
          </w:p>
        </w:tc>
        <w:tc>
          <w:tcPr/>
          <w:p>
            <w:pPr>
              <w:pStyle w:val="Compact"/>
            </w:pPr>
            <w:r>
              <w:t xml:space="preserve">0.663</w:t>
            </w:r>
          </w:p>
        </w:tc>
        <w:tc>
          <w:tcPr/>
          <w:p>
            <w:pPr>
              <w:pStyle w:val="Compact"/>
            </w:pPr>
            <w:r>
              <w:t xml:space="preserve">0.002</w:t>
            </w:r>
          </w:p>
        </w:tc>
      </w:tr>
      <w:tr>
        <w:tc>
          <w:tcPr/>
          <w:p>
            <w:pPr>
              <w:pStyle w:val="Compact"/>
            </w:pPr>
            <w:r>
              <w:t xml:space="preserve">Total procedures</w:t>
            </w:r>
          </w:p>
        </w:tc>
        <w:tc>
          <w:tcPr/>
          <w:p>
            <w:pPr>
              <w:pStyle w:val="Compact"/>
            </w:pPr>
            <w:r>
              <w:t xml:space="preserve">Urology</w:t>
            </w:r>
          </w:p>
        </w:tc>
        <w:tc>
          <w:tcPr/>
          <w:p>
            <w:pPr>
              <w:pStyle w:val="Compact"/>
            </w:pPr>
            <w:r>
              <w:t xml:space="preserve">3563.000</w:t>
            </w:r>
          </w:p>
        </w:tc>
        <w:tc>
          <w:tcPr/>
          <w:p>
            <w:pPr>
              <w:pStyle w:val="Compact"/>
            </w:pPr>
            <w:r>
              <w:t xml:space="preserve">948.000</w:t>
            </w:r>
          </w:p>
        </w:tc>
        <w:tc>
          <w:tcPr/>
          <w:p>
            <w:pPr>
              <w:pStyle w:val="Compact"/>
            </w:pPr>
            <w:r>
              <w:t xml:space="preserve">-235.818</w:t>
            </w:r>
          </w:p>
        </w:tc>
        <w:tc>
          <w:tcPr/>
          <w:p>
            <w:pPr>
              <w:pStyle w:val="Compact"/>
            </w:pPr>
            <w:r>
              <w:t xml:space="preserve">0.834</w:t>
            </w:r>
          </w:p>
        </w:tc>
        <w:tc>
          <w:tcPr/>
          <w:p>
            <w:pPr>
              <w:pStyle w:val="Compact"/>
            </w:pPr>
            <w:r>
              <w:t xml:space="preserve">n/a</w:t>
            </w:r>
          </w:p>
        </w:tc>
      </w:tr>
      <w:tr>
        <w:tc>
          <w:tcPr/>
          <w:p>
            <w:pPr>
              <w:pStyle w:val="Compact"/>
            </w:pPr>
            <w:r>
              <w:t xml:space="preserve">Observable surgeons</w:t>
            </w:r>
          </w:p>
        </w:tc>
        <w:tc>
          <w:tcPr/>
          <w:p>
            <w:pPr>
              <w:pStyle w:val="Compact"/>
            </w:pPr>
            <w:r>
              <w:t xml:space="preserve">All</w:t>
            </w:r>
          </w:p>
        </w:tc>
        <w:tc>
          <w:tcPr/>
          <w:p>
            <w:pPr>
              <w:pStyle w:val="Compact"/>
            </w:pPr>
            <w:r>
              <w:t xml:space="preserve">779.000</w:t>
            </w:r>
          </w:p>
        </w:tc>
        <w:tc>
          <w:tcPr/>
          <w:p>
            <w:pPr>
              <w:pStyle w:val="Compact"/>
            </w:pPr>
            <w:r>
              <w:t xml:space="preserve">522.000</w:t>
            </w:r>
          </w:p>
        </w:tc>
        <w:tc>
          <w:tcPr/>
          <w:p>
            <w:pPr>
              <w:pStyle w:val="Compact"/>
            </w:pPr>
            <w:r>
              <w:t xml:space="preserve">-27.045</w:t>
            </w:r>
          </w:p>
        </w:tc>
        <w:tc>
          <w:tcPr/>
          <w:p>
            <w:pPr>
              <w:pStyle w:val="Compact"/>
            </w:pPr>
            <w:r>
              <w:t xml:space="preserve">0.654</w:t>
            </w:r>
          </w:p>
        </w:tc>
        <w:tc>
          <w:tcPr/>
          <w:p>
            <w:pPr>
              <w:pStyle w:val="Compact"/>
            </w:pPr>
            <w:r>
              <w:t xml:space="preserve">0.003</w:t>
            </w:r>
          </w:p>
        </w:tc>
      </w:tr>
      <w:tr>
        <w:tc>
          <w:tcPr/>
          <w:p>
            <w:pPr>
              <w:pStyle w:val="Compact"/>
            </w:pPr>
            <w:r>
              <w:t xml:space="preserve">Observable surgeons</w:t>
            </w:r>
          </w:p>
        </w:tc>
        <w:tc>
          <w:tcPr/>
          <w:p>
            <w:pPr>
              <w:pStyle w:val="Compact"/>
            </w:pPr>
            <w:r>
              <w:t xml:space="preserve">General OB/GYN</w:t>
            </w:r>
          </w:p>
        </w:tc>
        <w:tc>
          <w:tcPr/>
          <w:p>
            <w:pPr>
              <w:pStyle w:val="Compact"/>
            </w:pPr>
            <w:r>
              <w:t xml:space="preserve">142.000</w:t>
            </w:r>
          </w:p>
        </w:tc>
        <w:tc>
          <w:tcPr/>
          <w:p>
            <w:pPr>
              <w:pStyle w:val="Compact"/>
            </w:pPr>
            <w:r>
              <w:t xml:space="preserve">76.000</w:t>
            </w:r>
          </w:p>
        </w:tc>
        <w:tc>
          <w:tcPr/>
          <w:p>
            <w:pPr>
              <w:pStyle w:val="Compact"/>
            </w:pPr>
            <w:r>
              <w:t xml:space="preserve">-6.882</w:t>
            </w:r>
          </w:p>
        </w:tc>
        <w:tc>
          <w:tcPr/>
          <w:p>
            <w:pPr>
              <w:pStyle w:val="Compact"/>
            </w:pPr>
            <w:r>
              <w:t xml:space="preserve">0.721</w:t>
            </w:r>
          </w:p>
        </w:tc>
        <w:tc>
          <w:tcPr/>
          <w:p>
            <w:pPr>
              <w:pStyle w:val="Compact"/>
            </w:pPr>
            <w:r>
              <w:t xml:space="preserve">n/a</w:t>
            </w:r>
          </w:p>
        </w:tc>
      </w:tr>
      <w:tr>
        <w:tc>
          <w:tcPr/>
          <w:p>
            <w:pPr>
              <w:pStyle w:val="Compact"/>
            </w:pPr>
            <w:r>
              <w:t xml:space="preserve">Observable surgeons</w:t>
            </w:r>
          </w:p>
        </w:tc>
        <w:tc>
          <w:tcPr/>
          <w:p>
            <w:pPr>
              <w:pStyle w:val="Compact"/>
            </w:pPr>
            <w:r>
              <w:t xml:space="preserve">MIGS</w:t>
            </w:r>
          </w:p>
        </w:tc>
        <w:tc>
          <w:tcPr/>
          <w:p>
            <w:pPr>
              <w:pStyle w:val="Compact"/>
            </w:pPr>
            <w:r>
              <w:t xml:space="preserve">3.000</w:t>
            </w:r>
          </w:p>
        </w:tc>
        <w:tc>
          <w:tcPr/>
          <w:p>
            <w:pPr>
              <w:pStyle w:val="Compact"/>
            </w:pPr>
            <w:r>
              <w:t xml:space="preserve">4.000</w:t>
            </w:r>
          </w:p>
        </w:tc>
        <w:tc>
          <w:tcPr/>
          <w:p>
            <w:pPr>
              <w:pStyle w:val="Compact"/>
            </w:pPr>
            <w:r>
              <w:t xml:space="preserve">-0.027</w:t>
            </w:r>
          </w:p>
        </w:tc>
        <w:tc>
          <w:tcPr/>
          <w:p>
            <w:pPr>
              <w:pStyle w:val="Compact"/>
            </w:pPr>
            <w:r>
              <w:t xml:space="preserve">0.009</w:t>
            </w:r>
          </w:p>
        </w:tc>
        <w:tc>
          <w:tcPr/>
          <w:p>
            <w:pPr>
              <w:pStyle w:val="Compact"/>
            </w:pPr>
            <w:r>
              <w:t xml:space="preserve">0.780</w:t>
            </w:r>
          </w:p>
        </w:tc>
      </w:tr>
      <w:tr>
        <w:tc>
          <w:tcPr/>
          <w:p>
            <w:pPr>
              <w:pStyle w:val="Compact"/>
            </w:pPr>
            <w:r>
              <w:t xml:space="preserve">Observable surgeons</w:t>
            </w:r>
          </w:p>
        </w:tc>
        <w:tc>
          <w:tcPr/>
          <w:p>
            <w:pPr>
              <w:pStyle w:val="Compact"/>
            </w:pPr>
            <w:r>
              <w:t xml:space="preserve">Other/uncertain</w:t>
            </w:r>
          </w:p>
        </w:tc>
        <w:tc>
          <w:tcPr/>
          <w:p>
            <w:pPr>
              <w:pStyle w:val="Compact"/>
            </w:pPr>
            <w:r>
              <w:t xml:space="preserve">38.000</w:t>
            </w:r>
          </w:p>
        </w:tc>
        <w:tc>
          <w:tcPr/>
          <w:p>
            <w:pPr>
              <w:pStyle w:val="Compact"/>
            </w:pPr>
            <w:r>
              <w:t xml:space="preserve">56.000</w:t>
            </w:r>
          </w:p>
        </w:tc>
        <w:tc>
          <w:tcPr/>
          <w:p>
            <w:pPr>
              <w:pStyle w:val="Compact"/>
            </w:pPr>
            <w:r>
              <w:t xml:space="preserve">1.545</w:t>
            </w:r>
          </w:p>
        </w:tc>
        <w:tc>
          <w:tcPr/>
          <w:p>
            <w:pPr>
              <w:pStyle w:val="Compact"/>
            </w:pPr>
            <w:r>
              <w:t xml:space="preserve">0.344</w:t>
            </w:r>
          </w:p>
        </w:tc>
        <w:tc>
          <w:tcPr/>
          <w:p>
            <w:pPr>
              <w:pStyle w:val="Compact"/>
            </w:pPr>
            <w:r>
              <w:t xml:space="preserve">0.060</w:t>
            </w:r>
          </w:p>
        </w:tc>
      </w:tr>
      <w:tr>
        <w:tc>
          <w:tcPr/>
          <w:p>
            <w:pPr>
              <w:pStyle w:val="Compact"/>
            </w:pPr>
            <w:r>
              <w:t xml:space="preserve">Observable surgeons</w:t>
            </w:r>
          </w:p>
        </w:tc>
        <w:tc>
          <w:tcPr/>
          <w:p>
            <w:pPr>
              <w:pStyle w:val="Compact"/>
            </w:pPr>
            <w:r>
              <w:t xml:space="preserve">URPS (OB/GYN)</w:t>
            </w:r>
          </w:p>
        </w:tc>
        <w:tc>
          <w:tcPr/>
          <w:p>
            <w:pPr>
              <w:pStyle w:val="Compact"/>
            </w:pPr>
            <w:r>
              <w:t xml:space="preserve">304.000</w:t>
            </w:r>
          </w:p>
        </w:tc>
        <w:tc>
          <w:tcPr/>
          <w:p>
            <w:pPr>
              <w:pStyle w:val="Compact"/>
            </w:pPr>
            <w:r>
              <w:t xml:space="preserve">293.000</w:t>
            </w:r>
          </w:p>
        </w:tc>
        <w:tc>
          <w:tcPr/>
          <w:p>
            <w:pPr>
              <w:pStyle w:val="Compact"/>
            </w:pPr>
            <w:r>
              <w:t xml:space="preserve">-2.927</w:t>
            </w:r>
          </w:p>
        </w:tc>
        <w:tc>
          <w:tcPr/>
          <w:p>
            <w:pPr>
              <w:pStyle w:val="Compact"/>
            </w:pPr>
            <w:r>
              <w:t xml:space="preserve">0.100</w:t>
            </w:r>
          </w:p>
        </w:tc>
        <w:tc>
          <w:tcPr/>
          <w:p>
            <w:pPr>
              <w:pStyle w:val="Compact"/>
            </w:pPr>
            <w:r>
              <w:t xml:space="preserve">0.340</w:t>
            </w:r>
          </w:p>
        </w:tc>
      </w:tr>
      <w:tr>
        <w:tc>
          <w:tcPr/>
          <w:p>
            <w:pPr>
              <w:pStyle w:val="Compact"/>
            </w:pPr>
            <w:r>
              <w:t xml:space="preserve">Observable surgeons</w:t>
            </w:r>
          </w:p>
        </w:tc>
        <w:tc>
          <w:tcPr/>
          <w:p>
            <w:pPr>
              <w:pStyle w:val="Compact"/>
            </w:pPr>
            <w:r>
              <w:t xml:space="preserve">URPS (urology)</w:t>
            </w:r>
          </w:p>
        </w:tc>
        <w:tc>
          <w:tcPr/>
          <w:p>
            <w:pPr>
              <w:pStyle w:val="Compact"/>
            </w:pPr>
            <w:r>
              <w:t xml:space="preserve">81.000</w:t>
            </w:r>
          </w:p>
        </w:tc>
        <w:tc>
          <w:tcPr/>
          <w:p>
            <w:pPr>
              <w:pStyle w:val="Compact"/>
            </w:pPr>
            <w:r>
              <w:t xml:space="preserve">45.000</w:t>
            </w:r>
          </w:p>
        </w:tc>
        <w:tc>
          <w:tcPr/>
          <w:p>
            <w:pPr>
              <w:pStyle w:val="Compact"/>
            </w:pPr>
            <w:r>
              <w:t xml:space="preserve">-3.991</w:t>
            </w:r>
          </w:p>
        </w:tc>
        <w:tc>
          <w:tcPr/>
          <w:p>
            <w:pPr>
              <w:pStyle w:val="Compact"/>
            </w:pPr>
            <w:r>
              <w:t xml:space="preserve">0.702</w:t>
            </w:r>
          </w:p>
        </w:tc>
        <w:tc>
          <w:tcPr/>
          <w:p>
            <w:pPr>
              <w:pStyle w:val="Compact"/>
            </w:pPr>
            <w:r>
              <w:t xml:space="preserve">0.001</w:t>
            </w:r>
          </w:p>
        </w:tc>
      </w:tr>
      <w:tr>
        <w:tc>
          <w:tcPr/>
          <w:p>
            <w:pPr>
              <w:pStyle w:val="Compact"/>
            </w:pPr>
            <w:r>
              <w:t xml:space="preserve">Observable surgeons</w:t>
            </w:r>
          </w:p>
        </w:tc>
        <w:tc>
          <w:tcPr/>
          <w:p>
            <w:pPr>
              <w:pStyle w:val="Compact"/>
            </w:pPr>
            <w:r>
              <w:t xml:space="preserve">Urology</w:t>
            </w:r>
          </w:p>
        </w:tc>
        <w:tc>
          <w:tcPr/>
          <w:p>
            <w:pPr>
              <w:pStyle w:val="Compact"/>
            </w:pPr>
            <w:r>
              <w:t xml:space="preserve">211.000</w:t>
            </w:r>
          </w:p>
        </w:tc>
        <w:tc>
          <w:tcPr/>
          <w:p>
            <w:pPr>
              <w:pStyle w:val="Compact"/>
            </w:pPr>
            <w:r>
              <w:t xml:space="preserve">48.000</w:t>
            </w:r>
          </w:p>
        </w:tc>
        <w:tc>
          <w:tcPr/>
          <w:p>
            <w:pPr>
              <w:pStyle w:val="Compact"/>
            </w:pPr>
            <w:r>
              <w:t xml:space="preserve">-14.764</w:t>
            </w:r>
          </w:p>
        </w:tc>
        <w:tc>
          <w:tcPr/>
          <w:p>
            <w:pPr>
              <w:pStyle w:val="Compact"/>
            </w:pPr>
            <w:r>
              <w:t xml:space="preserve">0.889</w:t>
            </w:r>
          </w:p>
        </w:tc>
        <w:tc>
          <w:tcPr/>
          <w:p>
            <w:pPr>
              <w:pStyle w:val="Compact"/>
            </w:pPr>
            <w:r>
              <w:t xml:space="preserve">n/a</w:t>
            </w:r>
          </w:p>
        </w:tc>
      </w:tr>
      <w:tr>
        <w:tc>
          <w:tcPr/>
          <w:p>
            <w:pPr>
              <w:pStyle w:val="Compact"/>
            </w:pPr>
            <w:r>
              <w:t xml:space="preserve">Median annual volume</w:t>
            </w:r>
          </w:p>
        </w:tc>
        <w:tc>
          <w:tcPr/>
          <w:p>
            <w:pPr>
              <w:pStyle w:val="Compact"/>
            </w:pPr>
            <w:r>
              <w:t xml:space="preserve">All</w:t>
            </w:r>
          </w:p>
        </w:tc>
        <w:tc>
          <w:tcPr/>
          <w:p>
            <w:pPr>
              <w:pStyle w:val="Compact"/>
            </w:pPr>
            <w:r>
              <w:t xml:space="preserve">16.000</w:t>
            </w:r>
          </w:p>
        </w:tc>
        <w:tc>
          <w:tcPr/>
          <w:p>
            <w:pPr>
              <w:pStyle w:val="Compact"/>
            </w:pPr>
            <w:r>
              <w:t xml:space="preserve">18.000</w:t>
            </w:r>
          </w:p>
        </w:tc>
        <w:tc>
          <w:tcPr/>
          <w:p>
            <w:pPr>
              <w:pStyle w:val="Compact"/>
            </w:pPr>
            <w:r>
              <w:t xml:space="preserve">0.109</w:t>
            </w:r>
          </w:p>
        </w:tc>
        <w:tc>
          <w:tcPr/>
          <w:p>
            <w:pPr>
              <w:pStyle w:val="Compact"/>
            </w:pPr>
            <w:r>
              <w:t xml:space="preserve">0.122</w:t>
            </w:r>
          </w:p>
        </w:tc>
        <w:tc>
          <w:tcPr/>
          <w:p>
            <w:pPr>
              <w:pStyle w:val="Compact"/>
            </w:pPr>
            <w:r>
              <w:t xml:space="preserve">0.290</w:t>
            </w:r>
          </w:p>
        </w:tc>
      </w:tr>
      <w:tr>
        <w:tc>
          <w:tcPr/>
          <w:p>
            <w:pPr>
              <w:pStyle w:val="Compact"/>
            </w:pPr>
            <w:r>
              <w:t xml:space="preserve">Median annual volume</w:t>
            </w:r>
          </w:p>
        </w:tc>
        <w:tc>
          <w:tcPr/>
          <w:p>
            <w:pPr>
              <w:pStyle w:val="Compact"/>
            </w:pPr>
            <w:r>
              <w:t xml:space="preserve">General OB/GYN</w:t>
            </w:r>
          </w:p>
        </w:tc>
        <w:tc>
          <w:tcPr/>
          <w:p>
            <w:pPr>
              <w:pStyle w:val="Compact"/>
            </w:pPr>
            <w:r>
              <w:t xml:space="preserve">14.000</w:t>
            </w:r>
          </w:p>
        </w:tc>
        <w:tc>
          <w:tcPr/>
          <w:p>
            <w:pPr>
              <w:pStyle w:val="Compact"/>
            </w:pPr>
            <w:r>
              <w:t xml:space="preserve">16.000</w:t>
            </w:r>
          </w:p>
        </w:tc>
        <w:tc>
          <w:tcPr/>
          <w:p>
            <w:pPr>
              <w:pStyle w:val="Compact"/>
            </w:pPr>
            <w:r>
              <w:t xml:space="preserve">0.136</w:t>
            </w:r>
          </w:p>
        </w:tc>
        <w:tc>
          <w:tcPr/>
          <w:p>
            <w:pPr>
              <w:pStyle w:val="Compact"/>
            </w:pPr>
            <w:r>
              <w:t xml:space="preserve">0.169</w:t>
            </w:r>
          </w:p>
        </w:tc>
        <w:tc>
          <w:tcPr/>
          <w:p>
            <w:pPr>
              <w:pStyle w:val="Compact"/>
            </w:pPr>
            <w:r>
              <w:t xml:space="preserve">0.210</w:t>
            </w:r>
          </w:p>
        </w:tc>
      </w:tr>
      <w:tr>
        <w:tc>
          <w:tcPr/>
          <w:p>
            <w:pPr>
              <w:pStyle w:val="Compact"/>
            </w:pPr>
            <w:r>
              <w:t xml:space="preserve">Median annual volume</w:t>
            </w:r>
          </w:p>
        </w:tc>
        <w:tc>
          <w:tcPr/>
          <w:p>
            <w:pPr>
              <w:pStyle w:val="Compact"/>
            </w:pPr>
            <w:r>
              <w:t xml:space="preserve">MIGS</w:t>
            </w:r>
          </w:p>
        </w:tc>
        <w:tc>
          <w:tcPr/>
          <w:p>
            <w:pPr>
              <w:pStyle w:val="Compact"/>
            </w:pPr>
            <w:r>
              <w:t xml:space="preserve">12.000</w:t>
            </w:r>
          </w:p>
        </w:tc>
        <w:tc>
          <w:tcPr/>
          <w:p>
            <w:pPr>
              <w:pStyle w:val="Compact"/>
            </w:pPr>
            <w:r>
              <w:t xml:space="preserve">14.000</w:t>
            </w:r>
          </w:p>
        </w:tc>
        <w:tc>
          <w:tcPr/>
          <w:p>
            <w:pPr>
              <w:pStyle w:val="Compact"/>
            </w:pPr>
            <w:r>
              <w:t xml:space="preserve">0.973</w:t>
            </w:r>
          </w:p>
        </w:tc>
        <w:tc>
          <w:tcPr/>
          <w:p>
            <w:pPr>
              <w:pStyle w:val="Compact"/>
            </w:pPr>
            <w:r>
              <w:t xml:space="preserve">0.148</w:t>
            </w:r>
          </w:p>
        </w:tc>
        <w:tc>
          <w:tcPr/>
          <w:p>
            <w:pPr>
              <w:pStyle w:val="Compact"/>
            </w:pPr>
            <w:r>
              <w:t xml:space="preserve">0.240</w:t>
            </w:r>
          </w:p>
        </w:tc>
      </w:tr>
      <w:tr>
        <w:tc>
          <w:tcPr/>
          <w:p>
            <w:pPr>
              <w:pStyle w:val="Compact"/>
            </w:pPr>
            <w:r>
              <w:t xml:space="preserve">Median annual volume</w:t>
            </w:r>
          </w:p>
        </w:tc>
        <w:tc>
          <w:tcPr/>
          <w:p>
            <w:pPr>
              <w:pStyle w:val="Compact"/>
            </w:pPr>
            <w:r>
              <w:t xml:space="preserve">Other/uncertain</w:t>
            </w:r>
          </w:p>
        </w:tc>
        <w:tc>
          <w:tcPr/>
          <w:p>
            <w:pPr>
              <w:pStyle w:val="Compact"/>
            </w:pPr>
            <w:r>
              <w:t xml:space="preserve">15.000</w:t>
            </w:r>
          </w:p>
        </w:tc>
        <w:tc>
          <w:tcPr/>
          <w:p>
            <w:pPr>
              <w:pStyle w:val="Compact"/>
            </w:pPr>
            <w:r>
              <w:t xml:space="preserve">16.000</w:t>
            </w:r>
          </w:p>
        </w:tc>
        <w:tc>
          <w:tcPr/>
          <w:p>
            <w:pPr>
              <w:pStyle w:val="Compact"/>
            </w:pPr>
            <w:r>
              <w:t xml:space="preserve">-0.064</w:t>
            </w:r>
          </w:p>
        </w:tc>
        <w:tc>
          <w:tcPr/>
          <w:p>
            <w:pPr>
              <w:pStyle w:val="Compact"/>
            </w:pPr>
            <w:r>
              <w:t xml:space="preserve">0.019</w:t>
            </w:r>
          </w:p>
        </w:tc>
        <w:tc>
          <w:tcPr/>
          <w:p>
            <w:pPr>
              <w:pStyle w:val="Compact"/>
            </w:pPr>
            <w:r>
              <w:t xml:space="preserve">0.680</w:t>
            </w:r>
          </w:p>
        </w:tc>
      </w:tr>
      <w:tr>
        <w:tc>
          <w:tcPr/>
          <w:p>
            <w:pPr>
              <w:pStyle w:val="Compact"/>
            </w:pPr>
            <w:r>
              <w:t xml:space="preserve">Median annual volume</w:t>
            </w:r>
          </w:p>
        </w:tc>
        <w:tc>
          <w:tcPr/>
          <w:p>
            <w:pPr>
              <w:pStyle w:val="Compact"/>
            </w:pPr>
            <w:r>
              <w:t xml:space="preserve">URPS (OB/GYN)</w:t>
            </w:r>
          </w:p>
        </w:tc>
        <w:tc>
          <w:tcPr/>
          <w:p>
            <w:pPr>
              <w:pStyle w:val="Compact"/>
            </w:pPr>
            <w:r>
              <w:t xml:space="preserve">19.000</w:t>
            </w:r>
          </w:p>
        </w:tc>
        <w:tc>
          <w:tcPr/>
          <w:p>
            <w:pPr>
              <w:pStyle w:val="Compact"/>
            </w:pPr>
            <w:r>
              <w:t xml:space="preserve">20.000</w:t>
            </w:r>
          </w:p>
        </w:tc>
        <w:tc>
          <w:tcPr/>
          <w:p>
            <w:pPr>
              <w:pStyle w:val="Compact"/>
            </w:pPr>
            <w:r>
              <w:t xml:space="preserve">-0.036</w:t>
            </w:r>
          </w:p>
        </w:tc>
        <w:tc>
          <w:tcPr/>
          <w:p>
            <w:pPr>
              <w:pStyle w:val="Compact"/>
            </w:pPr>
            <w:r>
              <w:t xml:space="preserve">0.022</w:t>
            </w:r>
          </w:p>
        </w:tc>
        <w:tc>
          <w:tcPr/>
          <w:p>
            <w:pPr>
              <w:pStyle w:val="Compact"/>
            </w:pPr>
            <w:r>
              <w:t xml:space="preserve">0.670</w:t>
            </w:r>
          </w:p>
        </w:tc>
      </w:tr>
      <w:tr>
        <w:tc>
          <w:tcPr/>
          <w:p>
            <w:pPr>
              <w:pStyle w:val="Compact"/>
            </w:pPr>
            <w:r>
              <w:t xml:space="preserve">Median annual volume</w:t>
            </w:r>
          </w:p>
        </w:tc>
        <w:tc>
          <w:tcPr/>
          <w:p>
            <w:pPr>
              <w:pStyle w:val="Compact"/>
            </w:pPr>
            <w:r>
              <w:t xml:space="preserve">URPS (urology)</w:t>
            </w:r>
          </w:p>
        </w:tc>
        <w:tc>
          <w:tcPr/>
          <w:p>
            <w:pPr>
              <w:pStyle w:val="Compact"/>
            </w:pPr>
            <w:r>
              <w:t xml:space="preserve">16.000</w:t>
            </w:r>
          </w:p>
        </w:tc>
        <w:tc>
          <w:tcPr/>
          <w:p>
            <w:pPr>
              <w:pStyle w:val="Compact"/>
            </w:pPr>
            <w:r>
              <w:t xml:space="preserve">16.000</w:t>
            </w:r>
          </w:p>
        </w:tc>
        <w:tc>
          <w:tcPr/>
          <w:p>
            <w:pPr>
              <w:pStyle w:val="Compact"/>
            </w:pPr>
            <w:r>
              <w:t xml:space="preserve">0.036</w:t>
            </w:r>
          </w:p>
        </w:tc>
        <w:tc>
          <w:tcPr/>
          <w:p>
            <w:pPr>
              <w:pStyle w:val="Compact"/>
            </w:pPr>
            <w:r>
              <w:t xml:space="preserve">0.036</w:t>
            </w:r>
          </w:p>
        </w:tc>
        <w:tc>
          <w:tcPr/>
          <w:p>
            <w:pPr>
              <w:pStyle w:val="Compact"/>
            </w:pPr>
            <w:r>
              <w:t xml:space="preserve">0.580</w:t>
            </w:r>
          </w:p>
        </w:tc>
      </w:tr>
      <w:tr>
        <w:tc>
          <w:tcPr/>
          <w:p>
            <w:pPr>
              <w:pStyle w:val="Compact"/>
            </w:pPr>
            <w:r>
              <w:t xml:space="preserve">Median annual volume</w:t>
            </w:r>
          </w:p>
        </w:tc>
        <w:tc>
          <w:tcPr/>
          <w:p>
            <w:pPr>
              <w:pStyle w:val="Compact"/>
            </w:pPr>
            <w:r>
              <w:t xml:space="preserve">Urology</w:t>
            </w:r>
          </w:p>
        </w:tc>
        <w:tc>
          <w:tcPr/>
          <w:p>
            <w:pPr>
              <w:pStyle w:val="Compact"/>
            </w:pPr>
            <w:r>
              <w:t xml:space="preserve">15.000</w:t>
            </w:r>
          </w:p>
        </w:tc>
        <w:tc>
          <w:tcPr/>
          <w:p>
            <w:pPr>
              <w:pStyle w:val="Compact"/>
            </w:pPr>
            <w:r>
              <w:t xml:space="preserve">17.000</w:t>
            </w:r>
          </w:p>
        </w:tc>
        <w:tc>
          <w:tcPr/>
          <w:p>
            <w:pPr>
              <w:pStyle w:val="Compact"/>
            </w:pPr>
            <w:r>
              <w:t xml:space="preserve">0.209</w:t>
            </w:r>
          </w:p>
        </w:tc>
        <w:tc>
          <w:tcPr/>
          <w:p>
            <w:pPr>
              <w:pStyle w:val="Compact"/>
            </w:pPr>
            <w:r>
              <w:t xml:space="preserve">0.462</w:t>
            </w:r>
          </w:p>
        </w:tc>
        <w:tc>
          <w:tcPr/>
          <w:p>
            <w:pPr>
              <w:pStyle w:val="Compact"/>
            </w:pPr>
            <w:r>
              <w:t xml:space="preserve">0.020</w:t>
            </w:r>
          </w:p>
        </w:tc>
      </w:tr>
      <w:tr>
        <w:tc>
          <w:tcPr/>
          <w:p>
            <w:pPr>
              <w:pStyle w:val="Compact"/>
            </w:pPr>
            <w:r>
              <w:t xml:space="preserve">Gini coefficient</w:t>
            </w:r>
          </w:p>
        </w:tc>
        <w:tc>
          <w:tcPr/>
          <w:p>
            <w:pPr>
              <w:pStyle w:val="Compact"/>
            </w:pPr>
            <w:r>
              <w:t xml:space="preserve">All</w:t>
            </w:r>
          </w:p>
        </w:tc>
        <w:tc>
          <w:tcPr/>
          <w:p>
            <w:pPr>
              <w:pStyle w:val="Compact"/>
            </w:pPr>
            <w:r>
              <w:t xml:space="preserve">0.275</w:t>
            </w:r>
          </w:p>
        </w:tc>
        <w:tc>
          <w:tcPr/>
          <w:p>
            <w:pPr>
              <w:pStyle w:val="Compact"/>
            </w:pPr>
            <w:r>
              <w:t xml:space="preserve">0.267</w:t>
            </w:r>
          </w:p>
        </w:tc>
        <w:tc>
          <w:tcPr/>
          <w:p>
            <w:pPr>
              <w:pStyle w:val="Compact"/>
            </w:pPr>
            <w:r>
              <w:t xml:space="preserve">0.000</w:t>
            </w:r>
          </w:p>
        </w:tc>
        <w:tc>
          <w:tcPr/>
          <w:p>
            <w:pPr>
              <w:pStyle w:val="Compact"/>
            </w:pPr>
            <w:r>
              <w:t xml:space="preserve">0.064</w:t>
            </w:r>
          </w:p>
        </w:tc>
        <w:tc>
          <w:tcPr/>
          <w:p>
            <w:pPr>
              <w:pStyle w:val="Compact"/>
            </w:pPr>
            <w:r>
              <w:t xml:space="preserve">0.450</w:t>
            </w:r>
          </w:p>
        </w:tc>
      </w:tr>
      <w:tr>
        <w:tc>
          <w:tcPr/>
          <w:p>
            <w:pPr>
              <w:pStyle w:val="Compact"/>
            </w:pPr>
            <w:r>
              <w:t xml:space="preserve">Gini coefficient</w:t>
            </w:r>
          </w:p>
        </w:tc>
        <w:tc>
          <w:tcPr/>
          <w:p>
            <w:pPr>
              <w:pStyle w:val="Compact"/>
            </w:pPr>
            <w:r>
              <w:t xml:space="preserve">General OB/GYN</w:t>
            </w:r>
          </w:p>
        </w:tc>
        <w:tc>
          <w:tcPr/>
          <w:p>
            <w:pPr>
              <w:pStyle w:val="Compact"/>
            </w:pPr>
            <w:r>
              <w:t xml:space="preserve">0.257</w:t>
            </w:r>
          </w:p>
        </w:tc>
        <w:tc>
          <w:tcPr/>
          <w:p>
            <w:pPr>
              <w:pStyle w:val="Compact"/>
            </w:pPr>
            <w:r>
              <w:t xml:space="preserve">0.248</w:t>
            </w:r>
          </w:p>
        </w:tc>
        <w:tc>
          <w:tcPr/>
          <w:p>
            <w:pPr>
              <w:pStyle w:val="Compact"/>
            </w:pPr>
            <w:r>
              <w:t xml:space="preserve">0.001</w:t>
            </w:r>
          </w:p>
        </w:tc>
        <w:tc>
          <w:tcPr/>
          <w:p>
            <w:pPr>
              <w:pStyle w:val="Compact"/>
            </w:pPr>
            <w:r>
              <w:t xml:space="preserve">0.064</w:t>
            </w:r>
          </w:p>
        </w:tc>
        <w:tc>
          <w:tcPr/>
          <w:p>
            <w:pPr>
              <w:pStyle w:val="Compact"/>
            </w:pPr>
            <w:r>
              <w:t xml:space="preserve">0.450</w:t>
            </w:r>
          </w:p>
        </w:tc>
      </w:tr>
      <w:tr>
        <w:tc>
          <w:tcPr/>
          <w:p>
            <w:pPr>
              <w:pStyle w:val="Compact"/>
            </w:pPr>
            <w:r>
              <w:t xml:space="preserve">Gini coefficient</w:t>
            </w:r>
          </w:p>
        </w:tc>
        <w:tc>
          <w:tcPr/>
          <w:p>
            <w:pPr>
              <w:pStyle w:val="Compact"/>
            </w:pPr>
            <w:r>
              <w:t xml:space="preserve">MIGS</w:t>
            </w:r>
          </w:p>
        </w:tc>
        <w:tc>
          <w:tcPr/>
          <w:p>
            <w:pPr>
              <w:pStyle w:val="Compact"/>
            </w:pPr>
            <w:r>
              <w:t xml:space="preserve">0.019</w:t>
            </w:r>
          </w:p>
        </w:tc>
        <w:tc>
          <w:tcPr/>
          <w:p>
            <w:pPr>
              <w:pStyle w:val="Compact"/>
            </w:pPr>
            <w:r>
              <w:t xml:space="preserve">0.381</w:t>
            </w:r>
          </w:p>
        </w:tc>
        <w:tc>
          <w:tcPr/>
          <w:p>
            <w:pPr>
              <w:pStyle w:val="Compact"/>
            </w:pPr>
            <w:r>
              <w:t xml:space="preserve">0.032</w:t>
            </w:r>
          </w:p>
        </w:tc>
        <w:tc>
          <w:tcPr/>
          <w:p>
            <w:pPr>
              <w:pStyle w:val="Compact"/>
            </w:pPr>
            <w:r>
              <w:t xml:space="preserve">0.692</w:t>
            </w:r>
          </w:p>
        </w:tc>
        <w:tc>
          <w:tcPr/>
          <w:p>
            <w:pPr>
              <w:pStyle w:val="Compact"/>
            </w:pPr>
            <w:r>
              <w:t xml:space="preserve">0.002</w:t>
            </w:r>
          </w:p>
        </w:tc>
      </w:tr>
      <w:tr>
        <w:tc>
          <w:tcPr/>
          <w:p>
            <w:pPr>
              <w:pStyle w:val="Compact"/>
            </w:pPr>
            <w:r>
              <w:t xml:space="preserve">Gini coefficient</w:t>
            </w:r>
          </w:p>
        </w:tc>
        <w:tc>
          <w:tcPr/>
          <w:p>
            <w:pPr>
              <w:pStyle w:val="Compact"/>
            </w:pPr>
            <w:r>
              <w:t xml:space="preserve">Other/uncertain</w:t>
            </w:r>
          </w:p>
        </w:tc>
        <w:tc>
          <w:tcPr/>
          <w:p>
            <w:pPr>
              <w:pStyle w:val="Compact"/>
            </w:pPr>
            <w:r>
              <w:t xml:space="preserve">0.363</w:t>
            </w:r>
          </w:p>
        </w:tc>
        <w:tc>
          <w:tcPr/>
          <w:p>
            <w:pPr>
              <w:pStyle w:val="Compact"/>
            </w:pPr>
            <w:r>
              <w:t xml:space="preserve">0.242</w:t>
            </w:r>
          </w:p>
        </w:tc>
        <w:tc>
          <w:tcPr/>
          <w:p>
            <w:pPr>
              <w:pStyle w:val="Compact"/>
            </w:pPr>
            <w:r>
              <w:t xml:space="preserve">-0.010</w:t>
            </w:r>
          </w:p>
        </w:tc>
        <w:tc>
          <w:tcPr/>
          <w:p>
            <w:pPr>
              <w:pStyle w:val="Compact"/>
            </w:pPr>
            <w:r>
              <w:t xml:space="preserve">0.700</w:t>
            </w:r>
          </w:p>
        </w:tc>
        <w:tc>
          <w:tcPr/>
          <w:p>
            <w:pPr>
              <w:pStyle w:val="Compact"/>
            </w:pPr>
            <w:r>
              <w:t xml:space="preserve">0.001</w:t>
            </w:r>
          </w:p>
        </w:tc>
      </w:tr>
      <w:tr>
        <w:tc>
          <w:tcPr/>
          <w:p>
            <w:pPr>
              <w:pStyle w:val="Compact"/>
            </w:pPr>
            <w:r>
              <w:t xml:space="preserve">Gini coefficient</w:t>
            </w:r>
          </w:p>
        </w:tc>
        <w:tc>
          <w:tcPr/>
          <w:p>
            <w:pPr>
              <w:pStyle w:val="Compact"/>
            </w:pPr>
            <w:r>
              <w:t xml:space="preserve">URPS (OB/GYN)</w:t>
            </w:r>
          </w:p>
        </w:tc>
        <w:tc>
          <w:tcPr/>
          <w:p>
            <w:pPr>
              <w:pStyle w:val="Compact"/>
            </w:pPr>
            <w:r>
              <w:t xml:space="preserve">0.294</w:t>
            </w:r>
          </w:p>
        </w:tc>
        <w:tc>
          <w:tcPr/>
          <w:p>
            <w:pPr>
              <w:pStyle w:val="Compact"/>
            </w:pPr>
            <w:r>
              <w:t xml:space="preserve">0.275</w:t>
            </w:r>
          </w:p>
        </w:tc>
        <w:tc>
          <w:tcPr/>
          <w:p>
            <w:pPr>
              <w:pStyle w:val="Compact"/>
            </w:pPr>
            <w:r>
              <w:t xml:space="preserve">-0.001</w:t>
            </w:r>
          </w:p>
        </w:tc>
        <w:tc>
          <w:tcPr/>
          <w:p>
            <w:pPr>
              <w:pStyle w:val="Compact"/>
            </w:pPr>
            <w:r>
              <w:t xml:space="preserve">0.177</w:t>
            </w:r>
          </w:p>
        </w:tc>
        <w:tc>
          <w:tcPr/>
          <w:p>
            <w:pPr>
              <w:pStyle w:val="Compact"/>
            </w:pPr>
            <w:r>
              <w:t xml:space="preserve">0.200</w:t>
            </w:r>
          </w:p>
        </w:tc>
      </w:tr>
      <w:tr>
        <w:tc>
          <w:tcPr/>
          <w:p>
            <w:pPr>
              <w:pStyle w:val="Compact"/>
            </w:pPr>
            <w:r>
              <w:t xml:space="preserve">Gini coefficient</w:t>
            </w:r>
          </w:p>
        </w:tc>
        <w:tc>
          <w:tcPr/>
          <w:p>
            <w:pPr>
              <w:pStyle w:val="Compact"/>
            </w:pPr>
            <w:r>
              <w:t xml:space="preserve">URPS (urology)</w:t>
            </w:r>
          </w:p>
        </w:tc>
        <w:tc>
          <w:tcPr/>
          <w:p>
            <w:pPr>
              <w:pStyle w:val="Compact"/>
            </w:pPr>
            <w:r>
              <w:t xml:space="preserve">0.199</w:t>
            </w:r>
          </w:p>
        </w:tc>
        <w:tc>
          <w:tcPr/>
          <w:p>
            <w:pPr>
              <w:pStyle w:val="Compact"/>
            </w:pPr>
            <w:r>
              <w:t xml:space="preserve">0.227</w:t>
            </w:r>
          </w:p>
        </w:tc>
        <w:tc>
          <w:tcPr/>
          <w:p>
            <w:pPr>
              <w:pStyle w:val="Compact"/>
            </w:pPr>
            <w:r>
              <w:t xml:space="preserve">-0.001</w:t>
            </w:r>
          </w:p>
        </w:tc>
        <w:tc>
          <w:tcPr/>
          <w:p>
            <w:pPr>
              <w:pStyle w:val="Compact"/>
            </w:pPr>
            <w:r>
              <w:t xml:space="preserve">0.070</w:t>
            </w:r>
          </w:p>
        </w:tc>
        <w:tc>
          <w:tcPr/>
          <w:p>
            <w:pPr>
              <w:pStyle w:val="Compact"/>
            </w:pPr>
            <w:r>
              <w:t xml:space="preserve">0.430</w:t>
            </w:r>
          </w:p>
        </w:tc>
      </w:tr>
      <w:tr>
        <w:tc>
          <w:tcPr/>
          <w:p>
            <w:pPr>
              <w:pStyle w:val="Compact"/>
            </w:pPr>
            <w:r>
              <w:t xml:space="preserve">Gini coefficient</w:t>
            </w:r>
          </w:p>
        </w:tc>
        <w:tc>
          <w:tcPr/>
          <w:p>
            <w:pPr>
              <w:pStyle w:val="Compact"/>
            </w:pPr>
            <w:r>
              <w:t xml:space="preserve">Urology</w:t>
            </w:r>
          </w:p>
        </w:tc>
        <w:tc>
          <w:tcPr/>
          <w:p>
            <w:pPr>
              <w:pStyle w:val="Compact"/>
            </w:pPr>
            <w:r>
              <w:t xml:space="preserve">0.198</w:t>
            </w:r>
          </w:p>
        </w:tc>
        <w:tc>
          <w:tcPr/>
          <w:p>
            <w:pPr>
              <w:pStyle w:val="Compact"/>
            </w:pPr>
            <w:r>
              <w:t xml:space="preserve">0.236</w:t>
            </w:r>
          </w:p>
        </w:tc>
        <w:tc>
          <w:tcPr/>
          <w:p>
            <w:pPr>
              <w:pStyle w:val="Compact"/>
            </w:pPr>
            <w:r>
              <w:t xml:space="preserve">0.003</w:t>
            </w:r>
          </w:p>
        </w:tc>
        <w:tc>
          <w:tcPr/>
          <w:p>
            <w:pPr>
              <w:pStyle w:val="Compact"/>
            </w:pPr>
            <w:r>
              <w:t xml:space="preserve">0.139</w:t>
            </w:r>
          </w:p>
        </w:tc>
        <w:tc>
          <w:tcPr/>
          <w:p>
            <w:pPr>
              <w:pStyle w:val="Compact"/>
            </w:pPr>
            <w:r>
              <w:t xml:space="preserve">0.260</w:t>
            </w:r>
          </w:p>
        </w:tc>
      </w:tr>
      <w:tr>
        <w:tc>
          <w:tcPr/>
          <w:p>
            <w:pPr>
              <w:pStyle w:val="Compact"/>
            </w:pPr>
            <w:r>
              <w:t xml:space="preserve">HHI (0–10,000)</w:t>
            </w:r>
          </w:p>
        </w:tc>
        <w:tc>
          <w:tcPr/>
          <w:p>
            <w:pPr>
              <w:pStyle w:val="Compact"/>
            </w:pPr>
            <w:r>
              <w:t xml:space="preserve">All</w:t>
            </w:r>
          </w:p>
        </w:tc>
        <w:tc>
          <w:tcPr/>
          <w:p>
            <w:pPr>
              <w:pStyle w:val="Compact"/>
            </w:pPr>
            <w:r>
              <w:t xml:space="preserve">17.307</w:t>
            </w:r>
          </w:p>
        </w:tc>
        <w:tc>
          <w:tcPr/>
          <w:p>
            <w:pPr>
              <w:pStyle w:val="Compact"/>
            </w:pPr>
            <w:r>
              <w:t xml:space="preserve">24.632</w:t>
            </w:r>
          </w:p>
        </w:tc>
        <w:tc>
          <w:tcPr/>
          <w:p>
            <w:pPr>
              <w:pStyle w:val="Compact"/>
            </w:pPr>
            <w:r>
              <w:t xml:space="preserve">0.973</w:t>
            </w:r>
          </w:p>
        </w:tc>
        <w:tc>
          <w:tcPr/>
          <w:p>
            <w:pPr>
              <w:pStyle w:val="Compact"/>
            </w:pPr>
            <w:r>
              <w:t xml:space="preserve">0.564</w:t>
            </w:r>
          </w:p>
        </w:tc>
        <w:tc>
          <w:tcPr/>
          <w:p>
            <w:pPr>
              <w:pStyle w:val="Compact"/>
            </w:pPr>
            <w:r>
              <w:t xml:space="preserve">0.008</w:t>
            </w:r>
          </w:p>
        </w:tc>
      </w:tr>
      <w:tr>
        <w:tc>
          <w:tcPr/>
          <w:p>
            <w:pPr>
              <w:pStyle w:val="Compact"/>
            </w:pPr>
            <w:r>
              <w:t xml:space="preserve">HHI (0–10,000)</w:t>
            </w:r>
          </w:p>
        </w:tc>
        <w:tc>
          <w:tcPr/>
          <w:p>
            <w:pPr>
              <w:pStyle w:val="Compact"/>
            </w:pPr>
            <w:r>
              <w:t xml:space="preserve">General OB/GYN</w:t>
            </w:r>
          </w:p>
        </w:tc>
        <w:tc>
          <w:tcPr/>
          <w:p>
            <w:pPr>
              <w:pStyle w:val="Compact"/>
            </w:pPr>
            <w:r>
              <w:t xml:space="preserve">93.149</w:t>
            </w:r>
          </w:p>
        </w:tc>
        <w:tc>
          <w:tcPr/>
          <w:p>
            <w:pPr>
              <w:pStyle w:val="Compact"/>
            </w:pPr>
            <w:r>
              <w:t xml:space="preserve">163.902</w:t>
            </w:r>
          </w:p>
        </w:tc>
        <w:tc>
          <w:tcPr/>
          <w:p>
            <w:pPr>
              <w:pStyle w:val="Compact"/>
            </w:pPr>
            <w:r>
              <w:t xml:space="preserve">12.294</w:t>
            </w:r>
          </w:p>
        </w:tc>
        <w:tc>
          <w:tcPr/>
          <w:p>
            <w:pPr>
              <w:pStyle w:val="Compact"/>
            </w:pPr>
            <w:r>
              <w:t xml:space="preserve">0.553</w:t>
            </w:r>
          </w:p>
        </w:tc>
        <w:tc>
          <w:tcPr/>
          <w:p>
            <w:pPr>
              <w:pStyle w:val="Compact"/>
            </w:pPr>
            <w:r>
              <w:t xml:space="preserve">0.009</w:t>
            </w:r>
          </w:p>
        </w:tc>
      </w:tr>
      <w:tr>
        <w:tc>
          <w:tcPr/>
          <w:p>
            <w:pPr>
              <w:pStyle w:val="Compact"/>
            </w:pPr>
            <w:r>
              <w:t xml:space="preserve">HHI (0–10,000)</w:t>
            </w:r>
          </w:p>
        </w:tc>
        <w:tc>
          <w:tcPr/>
          <w:p>
            <w:pPr>
              <w:pStyle w:val="Compact"/>
            </w:pPr>
            <w:r>
              <w:t xml:space="preserve">MIGS</w:t>
            </w:r>
          </w:p>
        </w:tc>
        <w:tc>
          <w:tcPr/>
          <w:p>
            <w:pPr>
              <w:pStyle w:val="Compact"/>
            </w:pPr>
            <w:r>
              <w:t xml:space="preserve">3338.776</w:t>
            </w:r>
          </w:p>
        </w:tc>
        <w:tc>
          <w:tcPr/>
          <w:p>
            <w:pPr>
              <w:pStyle w:val="Compact"/>
            </w:pPr>
            <w:r>
              <w:t xml:space="preserve">4204.673</w:t>
            </w:r>
          </w:p>
        </w:tc>
        <w:tc>
          <w:tcPr/>
          <w:p>
            <w:pPr>
              <w:pStyle w:val="Compact"/>
            </w:pPr>
            <w:r>
              <w:t xml:space="preserve">206.443</w:t>
            </w:r>
          </w:p>
        </w:tc>
        <w:tc>
          <w:tcPr/>
          <w:p>
            <w:pPr>
              <w:pStyle w:val="Compact"/>
            </w:pPr>
            <w:r>
              <w:t xml:space="preserve">0.379</w:t>
            </w:r>
          </w:p>
        </w:tc>
        <w:tc>
          <w:tcPr/>
          <w:p>
            <w:pPr>
              <w:pStyle w:val="Compact"/>
            </w:pPr>
            <w:r>
              <w:t xml:space="preserve">0.040</w:t>
            </w:r>
          </w:p>
        </w:tc>
      </w:tr>
      <w:tr>
        <w:tc>
          <w:tcPr/>
          <w:p>
            <w:pPr>
              <w:pStyle w:val="Compact"/>
            </w:pPr>
            <w:r>
              <w:t xml:space="preserve">HHI (0–10,000)</w:t>
            </w:r>
          </w:p>
        </w:tc>
        <w:tc>
          <w:tcPr/>
          <w:p>
            <w:pPr>
              <w:pStyle w:val="Compact"/>
            </w:pPr>
            <w:r>
              <w:t xml:space="preserve">Other/uncertain</w:t>
            </w:r>
          </w:p>
        </w:tc>
        <w:tc>
          <w:tcPr/>
          <w:p>
            <w:pPr>
              <w:pStyle w:val="Compact"/>
            </w:pPr>
            <w:r>
              <w:t xml:space="preserve">408.846</w:t>
            </w:r>
          </w:p>
        </w:tc>
        <w:tc>
          <w:tcPr/>
          <w:p>
            <w:pPr>
              <w:pStyle w:val="Compact"/>
            </w:pPr>
            <w:r>
              <w:t xml:space="preserve">217.954</w:t>
            </w:r>
          </w:p>
        </w:tc>
        <w:tc>
          <w:tcPr/>
          <w:p>
            <w:pPr>
              <w:pStyle w:val="Compact"/>
            </w:pPr>
            <w:r>
              <w:t xml:space="preserve">-18.475</w:t>
            </w:r>
          </w:p>
        </w:tc>
        <w:tc>
          <w:tcPr/>
          <w:p>
            <w:pPr>
              <w:pStyle w:val="Compact"/>
            </w:pPr>
            <w:r>
              <w:t xml:space="preserve">0.542</w:t>
            </w:r>
          </w:p>
        </w:tc>
        <w:tc>
          <w:tcPr/>
          <w:p>
            <w:pPr>
              <w:pStyle w:val="Compact"/>
            </w:pPr>
            <w:r>
              <w:t xml:space="preserve">0.010</w:t>
            </w:r>
          </w:p>
        </w:tc>
      </w:tr>
      <w:tr>
        <w:tc>
          <w:tcPr/>
          <w:p>
            <w:pPr>
              <w:pStyle w:val="Compact"/>
            </w:pPr>
            <w:r>
              <w:t xml:space="preserve">HHI (0–10,000)</w:t>
            </w:r>
          </w:p>
        </w:tc>
        <w:tc>
          <w:tcPr/>
          <w:p>
            <w:pPr>
              <w:pStyle w:val="Compact"/>
            </w:pPr>
            <w:r>
              <w:t xml:space="preserve">URPS (OB/GYN)</w:t>
            </w:r>
          </w:p>
        </w:tc>
        <w:tc>
          <w:tcPr/>
          <w:p>
            <w:pPr>
              <w:pStyle w:val="Compact"/>
            </w:pPr>
            <w:r>
              <w:t xml:space="preserve">44.322</w:t>
            </w:r>
          </w:p>
        </w:tc>
        <w:tc>
          <w:tcPr/>
          <w:p>
            <w:pPr>
              <w:pStyle w:val="Compact"/>
            </w:pPr>
            <w:r>
              <w:t xml:space="preserve">44.229</w:t>
            </w:r>
          </w:p>
        </w:tc>
        <w:tc>
          <w:tcPr/>
          <w:p>
            <w:pPr>
              <w:pStyle w:val="Compact"/>
            </w:pPr>
            <w:r>
              <w:t xml:space="preserve">0.404</w:t>
            </w:r>
          </w:p>
        </w:tc>
        <w:tc>
          <w:tcPr/>
          <w:p>
            <w:pPr>
              <w:pStyle w:val="Compact"/>
            </w:pPr>
            <w:r>
              <w:t xml:space="preserve">0.085</w:t>
            </w:r>
          </w:p>
        </w:tc>
        <w:tc>
          <w:tcPr/>
          <w:p>
            <w:pPr>
              <w:pStyle w:val="Compact"/>
            </w:pPr>
            <w:r>
              <w:t xml:space="preserve">0.380</w:t>
            </w:r>
          </w:p>
        </w:tc>
      </w:tr>
      <w:tr>
        <w:tc>
          <w:tcPr/>
          <w:p>
            <w:pPr>
              <w:pStyle w:val="Compact"/>
            </w:pPr>
            <w:r>
              <w:t xml:space="preserve">HHI (0–10,000)</w:t>
            </w:r>
          </w:p>
        </w:tc>
        <w:tc>
          <w:tcPr/>
          <w:p>
            <w:pPr>
              <w:pStyle w:val="Compact"/>
            </w:pPr>
            <w:r>
              <w:t xml:space="preserve">URPS (urology)</w:t>
            </w:r>
          </w:p>
        </w:tc>
        <w:tc>
          <w:tcPr/>
          <w:p>
            <w:pPr>
              <w:pStyle w:val="Compact"/>
            </w:pPr>
            <w:r>
              <w:t xml:space="preserve">146.115</w:t>
            </w:r>
          </w:p>
        </w:tc>
        <w:tc>
          <w:tcPr/>
          <w:p>
            <w:pPr>
              <w:pStyle w:val="Compact"/>
            </w:pPr>
            <w:r>
              <w:t xml:space="preserve">264.909</w:t>
            </w:r>
          </w:p>
        </w:tc>
        <w:tc>
          <w:tcPr/>
          <w:p>
            <w:pPr>
              <w:pStyle w:val="Compact"/>
            </w:pPr>
            <w:r>
              <w:t xml:space="preserve">16.159</w:t>
            </w:r>
          </w:p>
        </w:tc>
        <w:tc>
          <w:tcPr/>
          <w:p>
            <w:pPr>
              <w:pStyle w:val="Compact"/>
            </w:pPr>
            <w:r>
              <w:t xml:space="preserve">0.501</w:t>
            </w:r>
          </w:p>
        </w:tc>
        <w:tc>
          <w:tcPr/>
          <w:p>
            <w:pPr>
              <w:pStyle w:val="Compact"/>
            </w:pPr>
            <w:r>
              <w:t xml:space="preserve">0.010</w:t>
            </w:r>
          </w:p>
        </w:tc>
      </w:tr>
      <w:tr>
        <w:tc>
          <w:tcPr/>
          <w:p>
            <w:pPr>
              <w:pStyle w:val="Compact"/>
            </w:pPr>
            <w:r>
              <w:t xml:space="preserve">HHI (0–10,000)</w:t>
            </w:r>
          </w:p>
        </w:tc>
        <w:tc>
          <w:tcPr/>
          <w:p>
            <w:pPr>
              <w:pStyle w:val="Compact"/>
            </w:pPr>
            <w:r>
              <w:t xml:space="preserve">Urology</w:t>
            </w:r>
          </w:p>
        </w:tc>
        <w:tc>
          <w:tcPr/>
          <w:p>
            <w:pPr>
              <w:pStyle w:val="Compact"/>
            </w:pPr>
            <w:r>
              <w:t xml:space="preserve">55.876</w:t>
            </w:r>
          </w:p>
        </w:tc>
        <w:tc>
          <w:tcPr/>
          <w:p>
            <w:pPr>
              <w:pStyle w:val="Compact"/>
            </w:pPr>
            <w:r>
              <w:t xml:space="preserve">253.877</w:t>
            </w:r>
          </w:p>
        </w:tc>
        <w:tc>
          <w:tcPr/>
          <w:p>
            <w:pPr>
              <w:pStyle w:val="Compact"/>
            </w:pPr>
            <w:r>
              <w:t xml:space="preserve">20.658</w:t>
            </w:r>
          </w:p>
        </w:tc>
        <w:tc>
          <w:tcPr/>
          <w:p>
            <w:pPr>
              <w:pStyle w:val="Compact"/>
            </w:pPr>
            <w:r>
              <w:t xml:space="preserve">0.861</w:t>
            </w:r>
          </w:p>
        </w:tc>
        <w:tc>
          <w:tcPr/>
          <w:p>
            <w:pPr>
              <w:pStyle w:val="Compact"/>
            </w:pPr>
            <w:r>
              <w:t xml:space="preserve">n/a</w:t>
            </w:r>
          </w:p>
        </w:tc>
      </w:tr>
      <w:tr>
        <w:tc>
          <w:tcPr/>
          <w:p>
            <w:pPr>
              <w:pStyle w:val="Compact"/>
            </w:pPr>
            <w:r>
              <w:t xml:space="preserve">Share by top 10% (%)</w:t>
            </w:r>
          </w:p>
        </w:tc>
        <w:tc>
          <w:tcPr/>
          <w:p>
            <w:pPr>
              <w:pStyle w:val="Compact"/>
            </w:pPr>
            <w:r>
              <w:t xml:space="preserve">All</w:t>
            </w:r>
          </w:p>
        </w:tc>
        <w:tc>
          <w:tcPr/>
          <w:p>
            <w:pPr>
              <w:pStyle w:val="Compact"/>
            </w:pPr>
            <w:r>
              <w:t xml:space="preserve">24.427</w:t>
            </w:r>
          </w:p>
        </w:tc>
        <w:tc>
          <w:tcPr/>
          <w:p>
            <w:pPr>
              <w:pStyle w:val="Compact"/>
            </w:pPr>
            <w:r>
              <w:t xml:space="preserve">22.903</w:t>
            </w:r>
          </w:p>
        </w:tc>
        <w:tc>
          <w:tcPr/>
          <w:p>
            <w:pPr>
              <w:pStyle w:val="Compact"/>
            </w:pPr>
            <w:r>
              <w:t xml:space="preserve">-0.080</w:t>
            </w:r>
          </w:p>
        </w:tc>
        <w:tc>
          <w:tcPr/>
          <w:p>
            <w:pPr>
              <w:pStyle w:val="Compact"/>
            </w:pPr>
            <w:r>
              <w:t xml:space="preserve">0.247</w:t>
            </w:r>
          </w:p>
        </w:tc>
        <w:tc>
          <w:tcPr/>
          <w:p>
            <w:pPr>
              <w:pStyle w:val="Compact"/>
            </w:pPr>
            <w:r>
              <w:t xml:space="preserve">0.120</w:t>
            </w:r>
          </w:p>
        </w:tc>
      </w:tr>
      <w:tr>
        <w:tc>
          <w:tcPr/>
          <w:p>
            <w:pPr>
              <w:pStyle w:val="Compact"/>
            </w:pPr>
            <w:r>
              <w:t xml:space="preserve">Share by top 10% (%)</w:t>
            </w:r>
          </w:p>
        </w:tc>
        <w:tc>
          <w:tcPr/>
          <w:p>
            <w:pPr>
              <w:pStyle w:val="Compact"/>
            </w:pPr>
            <w:r>
              <w:t xml:space="preserve">General OB/GYN</w:t>
            </w:r>
          </w:p>
        </w:tc>
        <w:tc>
          <w:tcPr/>
          <w:p>
            <w:pPr>
              <w:pStyle w:val="Compact"/>
            </w:pPr>
            <w:r>
              <w:t xml:space="preserve">25.194</w:t>
            </w:r>
          </w:p>
        </w:tc>
        <w:tc>
          <w:tcPr/>
          <w:p>
            <w:pPr>
              <w:pStyle w:val="Compact"/>
            </w:pPr>
            <w:r>
              <w:t xml:space="preserve">22.733</w:t>
            </w:r>
          </w:p>
        </w:tc>
        <w:tc>
          <w:tcPr/>
          <w:p>
            <w:pPr>
              <w:pStyle w:val="Compact"/>
            </w:pPr>
            <w:r>
              <w:t xml:space="preserve">0.045</w:t>
            </w:r>
          </w:p>
        </w:tc>
        <w:tc>
          <w:tcPr/>
          <w:p>
            <w:pPr>
              <w:pStyle w:val="Compact"/>
            </w:pPr>
            <w:r>
              <w:t xml:space="preserve">0.016</w:t>
            </w:r>
          </w:p>
        </w:tc>
        <w:tc>
          <w:tcPr/>
          <w:p>
            <w:pPr>
              <w:pStyle w:val="Compact"/>
            </w:pPr>
            <w:r>
              <w:t xml:space="preserve">0.710</w:t>
            </w:r>
          </w:p>
        </w:tc>
      </w:tr>
      <w:tr>
        <w:tc>
          <w:tcPr/>
          <w:p>
            <w:pPr>
              <w:pStyle w:val="Compact"/>
            </w:pPr>
            <w:r>
              <w:t xml:space="preserve">Share by top 10% (%)</w:t>
            </w:r>
          </w:p>
        </w:tc>
        <w:tc>
          <w:tcPr/>
          <w:p>
            <w:pPr>
              <w:pStyle w:val="Compact"/>
            </w:pPr>
            <w:r>
              <w:t xml:space="preserve">MIGS</w:t>
            </w:r>
          </w:p>
        </w:tc>
        <w:tc>
          <w:tcPr/>
          <w:p>
            <w:pPr>
              <w:pStyle w:val="Compact"/>
            </w:pPr>
            <w:r>
              <w:t xml:space="preserve">34.286</w:t>
            </w:r>
          </w:p>
        </w:tc>
        <w:tc>
          <w:tcPr/>
          <w:p>
            <w:pPr>
              <w:pStyle w:val="Compact"/>
            </w:pPr>
            <w:r>
              <w:t xml:space="preserve">60.606</w:t>
            </w:r>
          </w:p>
        </w:tc>
        <w:tc>
          <w:tcPr/>
          <w:p>
            <w:pPr>
              <w:pStyle w:val="Compact"/>
            </w:pPr>
            <w:r>
              <w:t xml:space="preserve">3.543</w:t>
            </w:r>
          </w:p>
        </w:tc>
        <w:tc>
          <w:tcPr/>
          <w:p>
            <w:pPr>
              <w:pStyle w:val="Compact"/>
            </w:pPr>
            <w:r>
              <w:t xml:space="preserve">0.623</w:t>
            </w:r>
          </w:p>
        </w:tc>
        <w:tc>
          <w:tcPr/>
          <w:p>
            <w:pPr>
              <w:pStyle w:val="Compact"/>
            </w:pPr>
            <w:r>
              <w:t xml:space="preserve">0.004</w:t>
            </w:r>
          </w:p>
        </w:tc>
      </w:tr>
      <w:tr>
        <w:tc>
          <w:tcPr/>
          <w:p>
            <w:pPr>
              <w:pStyle w:val="Compact"/>
            </w:pPr>
            <w:r>
              <w:t xml:space="preserve">Share by top 10% (%)</w:t>
            </w:r>
          </w:p>
        </w:tc>
        <w:tc>
          <w:tcPr/>
          <w:p>
            <w:pPr>
              <w:pStyle w:val="Compact"/>
            </w:pPr>
            <w:r>
              <w:t xml:space="preserve">Other/uncertain</w:t>
            </w:r>
          </w:p>
        </w:tc>
        <w:tc>
          <w:tcPr/>
          <w:p>
            <w:pPr>
              <w:pStyle w:val="Compact"/>
            </w:pPr>
            <w:r>
              <w:t xml:space="preserve">28.466</w:t>
            </w:r>
          </w:p>
        </w:tc>
        <w:tc>
          <w:tcPr/>
          <w:p>
            <w:pPr>
              <w:pStyle w:val="Compact"/>
            </w:pPr>
            <w:r>
              <w:t xml:space="preserve">21.588</w:t>
            </w:r>
          </w:p>
        </w:tc>
        <w:tc>
          <w:tcPr/>
          <w:p>
            <w:pPr>
              <w:pStyle w:val="Compact"/>
            </w:pPr>
            <w:r>
              <w:t xml:space="preserve">-0.773</w:t>
            </w:r>
          </w:p>
        </w:tc>
        <w:tc>
          <w:tcPr/>
          <w:p>
            <w:pPr>
              <w:pStyle w:val="Compact"/>
            </w:pPr>
            <w:r>
              <w:t xml:space="preserve">0.643</w:t>
            </w:r>
          </w:p>
        </w:tc>
        <w:tc>
          <w:tcPr/>
          <w:p>
            <w:pPr>
              <w:pStyle w:val="Compact"/>
            </w:pPr>
            <w:r>
              <w:t xml:space="preserve">0.003</w:t>
            </w:r>
          </w:p>
        </w:tc>
      </w:tr>
      <w:tr>
        <w:tc>
          <w:tcPr/>
          <w:p>
            <w:pPr>
              <w:pStyle w:val="Compact"/>
            </w:pPr>
            <w:r>
              <w:t xml:space="preserve">Share by top 10% (%)</w:t>
            </w:r>
          </w:p>
        </w:tc>
        <w:tc>
          <w:tcPr/>
          <w:p>
            <w:pPr>
              <w:pStyle w:val="Compact"/>
            </w:pPr>
            <w:r>
              <w:t xml:space="preserve">URPS (OB/GYN)</w:t>
            </w:r>
          </w:p>
        </w:tc>
        <w:tc>
          <w:tcPr/>
          <w:p>
            <w:pPr>
              <w:pStyle w:val="Compact"/>
            </w:pPr>
            <w:r>
              <w:t xml:space="preserve">24.250</w:t>
            </w:r>
          </w:p>
        </w:tc>
        <w:tc>
          <w:tcPr/>
          <w:p>
            <w:pPr>
              <w:pStyle w:val="Compact"/>
            </w:pPr>
            <w:r>
              <w:t xml:space="preserve">23.097</w:t>
            </w:r>
          </w:p>
        </w:tc>
        <w:tc>
          <w:tcPr/>
          <w:p>
            <w:pPr>
              <w:pStyle w:val="Compact"/>
            </w:pPr>
            <w:r>
              <w:t xml:space="preserve">-0.016</w:t>
            </w:r>
          </w:p>
        </w:tc>
        <w:tc>
          <w:tcPr/>
          <w:p>
            <w:pPr>
              <w:pStyle w:val="Compact"/>
            </w:pPr>
            <w:r>
              <w:t xml:space="preserve">0.007</w:t>
            </w:r>
          </w:p>
        </w:tc>
        <w:tc>
          <w:tcPr/>
          <w:p>
            <w:pPr>
              <w:pStyle w:val="Compact"/>
            </w:pPr>
            <w:r>
              <w:t xml:space="preserve">0.800</w:t>
            </w:r>
          </w:p>
        </w:tc>
      </w:tr>
      <w:tr>
        <w:tc>
          <w:tcPr/>
          <w:p>
            <w:pPr>
              <w:pStyle w:val="Compact"/>
            </w:pPr>
            <w:r>
              <w:t xml:space="preserve">Share by top 10% (%)</w:t>
            </w:r>
          </w:p>
        </w:tc>
        <w:tc>
          <w:tcPr/>
          <w:p>
            <w:pPr>
              <w:pStyle w:val="Compact"/>
            </w:pPr>
            <w:r>
              <w:t xml:space="preserve">URPS (urology)</w:t>
            </w:r>
          </w:p>
        </w:tc>
        <w:tc>
          <w:tcPr/>
          <w:p>
            <w:pPr>
              <w:pStyle w:val="Compact"/>
            </w:pPr>
            <w:r>
              <w:t xml:space="preserve">21.982</w:t>
            </w:r>
          </w:p>
        </w:tc>
        <w:tc>
          <w:tcPr/>
          <w:p>
            <w:pPr>
              <w:pStyle w:val="Compact"/>
            </w:pPr>
            <w:r>
              <w:t xml:space="preserve">21.688</w:t>
            </w:r>
          </w:p>
        </w:tc>
        <w:tc>
          <w:tcPr/>
          <w:p>
            <w:pPr>
              <w:pStyle w:val="Compact"/>
            </w:pPr>
            <w:r>
              <w:t xml:space="preserve">-0.036</w:t>
            </w:r>
          </w:p>
        </w:tc>
        <w:tc>
          <w:tcPr/>
          <w:p>
            <w:pPr>
              <w:pStyle w:val="Compact"/>
            </w:pPr>
            <w:r>
              <w:t xml:space="preserve">0.005</w:t>
            </w:r>
          </w:p>
        </w:tc>
        <w:tc>
          <w:tcPr/>
          <w:p>
            <w:pPr>
              <w:pStyle w:val="Compact"/>
            </w:pPr>
            <w:r>
              <w:t xml:space="preserve">0.840</w:t>
            </w:r>
          </w:p>
        </w:tc>
      </w:tr>
      <w:tr>
        <w:tc>
          <w:tcPr/>
          <w:p>
            <w:pPr>
              <w:pStyle w:val="Compact"/>
            </w:pPr>
            <w:r>
              <w:t xml:space="preserve">Share by top 10% (%)</w:t>
            </w:r>
          </w:p>
        </w:tc>
        <w:tc>
          <w:tcPr/>
          <w:p>
            <w:pPr>
              <w:pStyle w:val="Compact"/>
            </w:pPr>
            <w:r>
              <w:t xml:space="preserve">Urology</w:t>
            </w:r>
          </w:p>
        </w:tc>
        <w:tc>
          <w:tcPr/>
          <w:p>
            <w:pPr>
              <w:pStyle w:val="Compact"/>
            </w:pPr>
            <w:r>
              <w:t xml:space="preserve">20.797</w:t>
            </w:r>
          </w:p>
        </w:tc>
        <w:tc>
          <w:tcPr/>
          <w:p>
            <w:pPr>
              <w:pStyle w:val="Compact"/>
            </w:pPr>
            <w:r>
              <w:t xml:space="preserve">20.886</w:t>
            </w:r>
          </w:p>
        </w:tc>
        <w:tc>
          <w:tcPr/>
          <w:p>
            <w:pPr>
              <w:pStyle w:val="Compact"/>
            </w:pPr>
            <w:r>
              <w:t xml:space="preserve">0.082</w:t>
            </w:r>
          </w:p>
        </w:tc>
        <w:tc>
          <w:tcPr/>
          <w:p>
            <w:pPr>
              <w:pStyle w:val="Compact"/>
            </w:pPr>
            <w:r>
              <w:t xml:space="preserve">0.039</w:t>
            </w:r>
          </w:p>
        </w:tc>
        <w:tc>
          <w:tcPr/>
          <w:p>
            <w:pPr>
              <w:pStyle w:val="Compact"/>
            </w:pPr>
            <w:r>
              <w:t xml:space="preserve">0.560</w:t>
            </w:r>
          </w:p>
        </w:tc>
      </w:tr>
      <w:tr>
        <w:tc>
          <w:tcPr/>
          <w:p>
            <w:pPr>
              <w:pStyle w:val="Compact"/>
            </w:pPr>
            <w:r>
              <w:t xml:space="preserve">Share by top 20% (%)</w:t>
            </w:r>
          </w:p>
        </w:tc>
        <w:tc>
          <w:tcPr/>
          <w:p>
            <w:pPr>
              <w:pStyle w:val="Compact"/>
            </w:pPr>
            <w:r>
              <w:t xml:space="preserve">All</w:t>
            </w:r>
          </w:p>
        </w:tc>
        <w:tc>
          <w:tcPr/>
          <w:p>
            <w:pPr>
              <w:pStyle w:val="Compact"/>
            </w:pPr>
            <w:r>
              <w:t xml:space="preserve">39.308</w:t>
            </w:r>
          </w:p>
        </w:tc>
        <w:tc>
          <w:tcPr/>
          <w:p>
            <w:pPr>
              <w:pStyle w:val="Compact"/>
            </w:pPr>
            <w:r>
              <w:t xml:space="preserve">37.751</w:t>
            </w:r>
          </w:p>
        </w:tc>
        <w:tc>
          <w:tcPr/>
          <w:p>
            <w:pPr>
              <w:pStyle w:val="Compact"/>
            </w:pPr>
            <w:r>
              <w:t xml:space="preserve">-0.092</w:t>
            </w:r>
          </w:p>
        </w:tc>
        <w:tc>
          <w:tcPr/>
          <w:p>
            <w:pPr>
              <w:pStyle w:val="Compact"/>
            </w:pPr>
            <w:r>
              <w:t xml:space="preserve">0.246</w:t>
            </w:r>
          </w:p>
        </w:tc>
        <w:tc>
          <w:tcPr/>
          <w:p>
            <w:pPr>
              <w:pStyle w:val="Compact"/>
            </w:pPr>
            <w:r>
              <w:t xml:space="preserve">0.120</w:t>
            </w:r>
          </w:p>
        </w:tc>
      </w:tr>
      <w:tr>
        <w:tc>
          <w:tcPr/>
          <w:p>
            <w:pPr>
              <w:pStyle w:val="Compact"/>
            </w:pPr>
            <w:r>
              <w:t xml:space="preserve">Share by top 20% (%)</w:t>
            </w:r>
          </w:p>
        </w:tc>
        <w:tc>
          <w:tcPr/>
          <w:p>
            <w:pPr>
              <w:pStyle w:val="Compact"/>
            </w:pPr>
            <w:r>
              <w:t xml:space="preserve">General OB/GYN</w:t>
            </w:r>
          </w:p>
        </w:tc>
        <w:tc>
          <w:tcPr/>
          <w:p>
            <w:pPr>
              <w:pStyle w:val="Compact"/>
            </w:pPr>
            <w:r>
              <w:t xml:space="preserve">39.031</w:t>
            </w:r>
          </w:p>
        </w:tc>
        <w:tc>
          <w:tcPr/>
          <w:p>
            <w:pPr>
              <w:pStyle w:val="Compact"/>
            </w:pPr>
            <w:r>
              <w:t xml:space="preserve">37.667</w:t>
            </w:r>
          </w:p>
        </w:tc>
        <w:tc>
          <w:tcPr/>
          <w:p>
            <w:pPr>
              <w:pStyle w:val="Compact"/>
            </w:pPr>
            <w:r>
              <w:t xml:space="preserve">0.124</w:t>
            </w:r>
          </w:p>
        </w:tc>
        <w:tc>
          <w:tcPr/>
          <w:p>
            <w:pPr>
              <w:pStyle w:val="Compact"/>
            </w:pPr>
            <w:r>
              <w:t xml:space="preserve">0.113</w:t>
            </w:r>
          </w:p>
        </w:tc>
        <w:tc>
          <w:tcPr/>
          <w:p>
            <w:pPr>
              <w:pStyle w:val="Compact"/>
            </w:pPr>
            <w:r>
              <w:t xml:space="preserve">0.310</w:t>
            </w:r>
          </w:p>
        </w:tc>
      </w:tr>
      <w:tr>
        <w:tc>
          <w:tcPr/>
          <w:p>
            <w:pPr>
              <w:pStyle w:val="Compact"/>
            </w:pPr>
            <w:r>
              <w:t xml:space="preserve">Share by top 20% (%)</w:t>
            </w:r>
          </w:p>
        </w:tc>
        <w:tc>
          <w:tcPr/>
          <w:p>
            <w:pPr>
              <w:pStyle w:val="Compact"/>
            </w:pPr>
            <w:r>
              <w:t xml:space="preserve">MIGS</w:t>
            </w:r>
          </w:p>
        </w:tc>
        <w:tc>
          <w:tcPr/>
          <w:p>
            <w:pPr>
              <w:pStyle w:val="Compact"/>
            </w:pPr>
            <w:r>
              <w:t xml:space="preserve">34.286</w:t>
            </w:r>
          </w:p>
        </w:tc>
        <w:tc>
          <w:tcPr/>
          <w:p>
            <w:pPr>
              <w:pStyle w:val="Compact"/>
            </w:pPr>
            <w:r>
              <w:t xml:space="preserve">60.606</w:t>
            </w:r>
          </w:p>
        </w:tc>
        <w:tc>
          <w:tcPr/>
          <w:p>
            <w:pPr>
              <w:pStyle w:val="Compact"/>
            </w:pPr>
            <w:r>
              <w:t xml:space="preserve">3.543</w:t>
            </w:r>
          </w:p>
        </w:tc>
        <w:tc>
          <w:tcPr/>
          <w:p>
            <w:pPr>
              <w:pStyle w:val="Compact"/>
            </w:pPr>
            <w:r>
              <w:t xml:space="preserve">0.623</w:t>
            </w:r>
          </w:p>
        </w:tc>
        <w:tc>
          <w:tcPr/>
          <w:p>
            <w:pPr>
              <w:pStyle w:val="Compact"/>
            </w:pPr>
            <w:r>
              <w:t xml:space="preserve">0.004</w:t>
            </w:r>
          </w:p>
        </w:tc>
      </w:tr>
      <w:tr>
        <w:tc>
          <w:tcPr/>
          <w:p>
            <w:pPr>
              <w:pStyle w:val="Compact"/>
            </w:pPr>
            <w:r>
              <w:t xml:space="preserve">Share by top 20% (%)</w:t>
            </w:r>
          </w:p>
        </w:tc>
        <w:tc>
          <w:tcPr/>
          <w:p>
            <w:pPr>
              <w:pStyle w:val="Compact"/>
            </w:pPr>
            <w:r>
              <w:t xml:space="preserve">Other/uncertain</w:t>
            </w:r>
          </w:p>
        </w:tc>
        <w:tc>
          <w:tcPr/>
          <w:p>
            <w:pPr>
              <w:pStyle w:val="Compact"/>
            </w:pPr>
            <w:r>
              <w:t xml:space="preserve">47.407</w:t>
            </w:r>
          </w:p>
        </w:tc>
        <w:tc>
          <w:tcPr/>
          <w:p>
            <w:pPr>
              <w:pStyle w:val="Compact"/>
            </w:pPr>
            <w:r>
              <w:t xml:space="preserve">36.574</w:t>
            </w:r>
          </w:p>
        </w:tc>
        <w:tc>
          <w:tcPr/>
          <w:p>
            <w:pPr>
              <w:pStyle w:val="Compact"/>
            </w:pPr>
            <w:r>
              <w:t xml:space="preserve">-1.012</w:t>
            </w:r>
          </w:p>
        </w:tc>
        <w:tc>
          <w:tcPr/>
          <w:p>
            <w:pPr>
              <w:pStyle w:val="Compact"/>
            </w:pPr>
            <w:r>
              <w:t xml:space="preserve">0.710</w:t>
            </w:r>
          </w:p>
        </w:tc>
        <w:tc>
          <w:tcPr/>
          <w:p>
            <w:pPr>
              <w:pStyle w:val="Compact"/>
            </w:pPr>
            <w:r>
              <w:t xml:space="preserve">0.001</w:t>
            </w:r>
          </w:p>
        </w:tc>
      </w:tr>
      <w:tr>
        <w:tc>
          <w:tcPr/>
          <w:p>
            <w:pPr>
              <w:pStyle w:val="Compact"/>
            </w:pPr>
            <w:r>
              <w:t xml:space="preserve">Share by top 20% (%)</w:t>
            </w:r>
          </w:p>
        </w:tc>
        <w:tc>
          <w:tcPr/>
          <w:p>
            <w:pPr>
              <w:pStyle w:val="Compact"/>
            </w:pPr>
            <w:r>
              <w:t xml:space="preserve">URPS (OB/GYN)</w:t>
            </w:r>
          </w:p>
        </w:tc>
        <w:tc>
          <w:tcPr/>
          <w:p>
            <w:pPr>
              <w:pStyle w:val="Compact"/>
            </w:pPr>
            <w:r>
              <w:t xml:space="preserve">39.403</w:t>
            </w:r>
          </w:p>
        </w:tc>
        <w:tc>
          <w:tcPr/>
          <w:p>
            <w:pPr>
              <w:pStyle w:val="Compact"/>
            </w:pPr>
            <w:r>
              <w:t xml:space="preserve">38.365</w:t>
            </w:r>
          </w:p>
        </w:tc>
        <w:tc>
          <w:tcPr/>
          <w:p>
            <w:pPr>
              <w:pStyle w:val="Compact"/>
            </w:pPr>
            <w:r>
              <w:t xml:space="preserve">-0.004</w:t>
            </w:r>
          </w:p>
        </w:tc>
        <w:tc>
          <w:tcPr/>
          <w:p>
            <w:pPr>
              <w:pStyle w:val="Compact"/>
            </w:pPr>
            <w:r>
              <w:t xml:space="preserve">0.000</w:t>
            </w:r>
          </w:p>
        </w:tc>
        <w:tc>
          <w:tcPr/>
          <w:p>
            <w:pPr>
              <w:pStyle w:val="Compact"/>
            </w:pPr>
            <w:r>
              <w:t xml:space="preserve">0.950</w:t>
            </w:r>
          </w:p>
        </w:tc>
      </w:tr>
      <w:tr>
        <w:tc>
          <w:tcPr/>
          <w:p>
            <w:pPr>
              <w:pStyle w:val="Compact"/>
            </w:pPr>
            <w:r>
              <w:t xml:space="preserve">Share by top 20% (%)</w:t>
            </w:r>
          </w:p>
        </w:tc>
        <w:tc>
          <w:tcPr/>
          <w:p>
            <w:pPr>
              <w:pStyle w:val="Compact"/>
            </w:pPr>
            <w:r>
              <w:t xml:space="preserve">URPS (urology)</w:t>
            </w:r>
          </w:p>
        </w:tc>
        <w:tc>
          <w:tcPr/>
          <w:p>
            <w:pPr>
              <w:pStyle w:val="Compact"/>
            </w:pPr>
            <w:r>
              <w:t xml:space="preserve">34.322</w:t>
            </w:r>
          </w:p>
        </w:tc>
        <w:tc>
          <w:tcPr/>
          <w:p>
            <w:pPr>
              <w:pStyle w:val="Compact"/>
            </w:pPr>
            <w:r>
              <w:t xml:space="preserve">34.232</w:t>
            </w:r>
          </w:p>
        </w:tc>
        <w:tc>
          <w:tcPr/>
          <w:p>
            <w:pPr>
              <w:pStyle w:val="Compact"/>
            </w:pPr>
            <w:r>
              <w:t xml:space="preserve">-0.185</w:t>
            </w:r>
          </w:p>
        </w:tc>
        <w:tc>
          <w:tcPr/>
          <w:p>
            <w:pPr>
              <w:pStyle w:val="Compact"/>
            </w:pPr>
            <w:r>
              <w:t xml:space="preserve">0.123</w:t>
            </w:r>
          </w:p>
        </w:tc>
        <w:tc>
          <w:tcPr/>
          <w:p>
            <w:pPr>
              <w:pStyle w:val="Compact"/>
            </w:pPr>
            <w:r>
              <w:t xml:space="preserve">0.290</w:t>
            </w:r>
          </w:p>
        </w:tc>
      </w:tr>
      <w:tr>
        <w:tc>
          <w:tcPr/>
          <w:p>
            <w:pPr>
              <w:pStyle w:val="Compact"/>
            </w:pPr>
            <w:r>
              <w:t xml:space="preserve">Share by top 20% (%)</w:t>
            </w:r>
          </w:p>
        </w:tc>
        <w:tc>
          <w:tcPr/>
          <w:p>
            <w:pPr>
              <w:pStyle w:val="Compact"/>
            </w:pPr>
            <w:r>
              <w:t xml:space="preserve">Urology</w:t>
            </w:r>
          </w:p>
        </w:tc>
        <w:tc>
          <w:tcPr/>
          <w:p>
            <w:pPr>
              <w:pStyle w:val="Compact"/>
            </w:pPr>
            <w:r>
              <w:t xml:space="preserve">33.679</w:t>
            </w:r>
          </w:p>
        </w:tc>
        <w:tc>
          <w:tcPr/>
          <w:p>
            <w:pPr>
              <w:pStyle w:val="Compact"/>
            </w:pPr>
            <w:r>
              <w:t xml:space="preserve">35.865</w:t>
            </w:r>
          </w:p>
        </w:tc>
        <w:tc>
          <w:tcPr/>
          <w:p>
            <w:pPr>
              <w:pStyle w:val="Compact"/>
            </w:pPr>
            <w:r>
              <w:t xml:space="preserve">0.215</w:t>
            </w:r>
          </w:p>
        </w:tc>
        <w:tc>
          <w:tcPr/>
          <w:p>
            <w:pPr>
              <w:pStyle w:val="Compact"/>
            </w:pPr>
            <w:r>
              <w:t xml:space="preserve">0.189</w:t>
            </w:r>
          </w:p>
        </w:tc>
        <w:tc>
          <w:tcPr/>
          <w:p>
            <w:pPr>
              <w:pStyle w:val="Compact"/>
            </w:pPr>
            <w:r>
              <w:t xml:space="preserve">0.180</w:t>
            </w:r>
          </w:p>
        </w:tc>
      </w:tr>
      <w:tr>
        <w:tc>
          <w:tcPr/>
          <w:p>
            <w:pPr>
              <w:pStyle w:val="Compact"/>
            </w:pPr>
            <w:r>
              <w:t xml:space="preserve">Share by bottom 50% (%)</w:t>
            </w:r>
          </w:p>
        </w:tc>
        <w:tc>
          <w:tcPr/>
          <w:p>
            <w:pPr>
              <w:pStyle w:val="Compact"/>
            </w:pPr>
            <w:r>
              <w:t xml:space="preserve">All</w:t>
            </w:r>
          </w:p>
        </w:tc>
        <w:tc>
          <w:tcPr/>
          <w:p>
            <w:pPr>
              <w:pStyle w:val="Compact"/>
            </w:pPr>
            <w:r>
              <w:t xml:space="preserve">31.496</w:t>
            </w:r>
          </w:p>
        </w:tc>
        <w:tc>
          <w:tcPr/>
          <w:p>
            <w:pPr>
              <w:pStyle w:val="Compact"/>
            </w:pPr>
            <w:r>
              <w:t xml:space="preserve">31.569</w:t>
            </w:r>
          </w:p>
        </w:tc>
        <w:tc>
          <w:tcPr/>
          <w:p>
            <w:pPr>
              <w:pStyle w:val="Compact"/>
            </w:pPr>
            <w:r>
              <w:t xml:space="preserve">0.015</w:t>
            </w:r>
          </w:p>
        </w:tc>
        <w:tc>
          <w:tcPr/>
          <w:p>
            <w:pPr>
              <w:pStyle w:val="Compact"/>
            </w:pPr>
            <w:r>
              <w:t xml:space="preserve">0.013</w:t>
            </w:r>
          </w:p>
        </w:tc>
        <w:tc>
          <w:tcPr/>
          <w:p>
            <w:pPr>
              <w:pStyle w:val="Compact"/>
            </w:pPr>
            <w:r>
              <w:t xml:space="preserve">0.740</w:t>
            </w:r>
          </w:p>
        </w:tc>
      </w:tr>
      <w:tr>
        <w:tc>
          <w:tcPr/>
          <w:p>
            <w:pPr>
              <w:pStyle w:val="Compact"/>
            </w:pPr>
            <w:r>
              <w:t xml:space="preserve">Share by bottom 50% (%)</w:t>
            </w:r>
          </w:p>
        </w:tc>
        <w:tc>
          <w:tcPr/>
          <w:p>
            <w:pPr>
              <w:pStyle w:val="Compact"/>
            </w:pPr>
            <w:r>
              <w:t xml:space="preserve">General OB/GYN</w:t>
            </w:r>
          </w:p>
        </w:tc>
        <w:tc>
          <w:tcPr/>
          <w:p>
            <w:pPr>
              <w:pStyle w:val="Compact"/>
            </w:pPr>
            <w:r>
              <w:t xml:space="preserve">33.062</w:t>
            </w:r>
          </w:p>
        </w:tc>
        <w:tc>
          <w:tcPr/>
          <w:p>
            <w:pPr>
              <w:pStyle w:val="Compact"/>
            </w:pPr>
            <w:r>
              <w:t xml:space="preserve">32.667</w:t>
            </w:r>
          </w:p>
        </w:tc>
        <w:tc>
          <w:tcPr/>
          <w:p>
            <w:pPr>
              <w:pStyle w:val="Compact"/>
            </w:pPr>
            <w:r>
              <w:t xml:space="preserve">-0.081</w:t>
            </w:r>
          </w:p>
        </w:tc>
        <w:tc>
          <w:tcPr/>
          <w:p>
            <w:pPr>
              <w:pStyle w:val="Compact"/>
            </w:pPr>
            <w:r>
              <w:t xml:space="preserve">0.090</w:t>
            </w:r>
          </w:p>
        </w:tc>
        <w:tc>
          <w:tcPr/>
          <w:p>
            <w:pPr>
              <w:pStyle w:val="Compact"/>
            </w:pPr>
            <w:r>
              <w:t xml:space="preserve">0.370</w:t>
            </w:r>
          </w:p>
        </w:tc>
      </w:tr>
      <w:tr>
        <w:tc>
          <w:tcPr/>
          <w:p>
            <w:pPr>
              <w:pStyle w:val="Compact"/>
            </w:pPr>
            <w:r>
              <w:t xml:space="preserve">Share by bottom 50% (%)</w:t>
            </w:r>
          </w:p>
        </w:tc>
        <w:tc>
          <w:tcPr/>
          <w:p>
            <w:pPr>
              <w:pStyle w:val="Compact"/>
            </w:pPr>
            <w:r>
              <w:t xml:space="preserve">MIGS</w:t>
            </w:r>
          </w:p>
        </w:tc>
        <w:tc>
          <w:tcPr/>
          <w:p>
            <w:pPr>
              <w:pStyle w:val="Compact"/>
            </w:pPr>
            <w:r>
              <w:t xml:space="preserve">31.429</w:t>
            </w:r>
          </w:p>
        </w:tc>
        <w:tc>
          <w:tcPr/>
          <w:p>
            <w:pPr>
              <w:pStyle w:val="Compact"/>
            </w:pPr>
            <w:r>
              <w:t xml:space="preserve">23.232</w:t>
            </w:r>
          </w:p>
        </w:tc>
        <w:tc>
          <w:tcPr/>
          <w:p>
            <w:pPr>
              <w:pStyle w:val="Compact"/>
            </w:pPr>
            <w:r>
              <w:t xml:space="preserve">-1.345</w:t>
            </w:r>
          </w:p>
        </w:tc>
        <w:tc>
          <w:tcPr/>
          <w:p>
            <w:pPr>
              <w:pStyle w:val="Compact"/>
            </w:pPr>
            <w:r>
              <w:t xml:space="preserve">0.270</w:t>
            </w:r>
          </w:p>
        </w:tc>
        <w:tc>
          <w:tcPr/>
          <w:p>
            <w:pPr>
              <w:pStyle w:val="Compact"/>
            </w:pPr>
            <w:r>
              <w:t xml:space="preserve">0.100</w:t>
            </w:r>
          </w:p>
        </w:tc>
      </w:tr>
      <w:tr>
        <w:tc>
          <w:tcPr/>
          <w:p>
            <w:pPr>
              <w:pStyle w:val="Compact"/>
            </w:pPr>
            <w:r>
              <w:t xml:space="preserve">Share by bottom 50% (%)</w:t>
            </w:r>
          </w:p>
        </w:tc>
        <w:tc>
          <w:tcPr/>
          <w:p>
            <w:pPr>
              <w:pStyle w:val="Compact"/>
            </w:pPr>
            <w:r>
              <w:t xml:space="preserve">Other/uncertain</w:t>
            </w:r>
          </w:p>
        </w:tc>
        <w:tc>
          <w:tcPr/>
          <w:p>
            <w:pPr>
              <w:pStyle w:val="Compact"/>
            </w:pPr>
            <w:r>
              <w:t xml:space="preserve">25.397</w:t>
            </w:r>
          </w:p>
        </w:tc>
        <w:tc>
          <w:tcPr/>
          <w:p>
            <w:pPr>
              <w:pStyle w:val="Compact"/>
            </w:pPr>
            <w:r>
              <w:t xml:space="preserve">32.293</w:t>
            </w:r>
          </w:p>
        </w:tc>
        <w:tc>
          <w:tcPr/>
          <w:p>
            <w:pPr>
              <w:pStyle w:val="Compact"/>
            </w:pPr>
            <w:r>
              <w:t xml:space="preserve">0.710</w:t>
            </w:r>
          </w:p>
        </w:tc>
        <w:tc>
          <w:tcPr/>
          <w:p>
            <w:pPr>
              <w:pStyle w:val="Compact"/>
            </w:pPr>
            <w:r>
              <w:t xml:space="preserve">0.644</w:t>
            </w:r>
          </w:p>
        </w:tc>
        <w:tc>
          <w:tcPr/>
          <w:p>
            <w:pPr>
              <w:pStyle w:val="Compact"/>
            </w:pPr>
            <w:r>
              <w:t xml:space="preserve">0.003</w:t>
            </w:r>
          </w:p>
        </w:tc>
      </w:tr>
      <w:tr>
        <w:tc>
          <w:tcPr/>
          <w:p>
            <w:pPr>
              <w:pStyle w:val="Compact"/>
            </w:pPr>
            <w:r>
              <w:t xml:space="preserve">Share by bottom 50% (%)</w:t>
            </w:r>
          </w:p>
        </w:tc>
        <w:tc>
          <w:tcPr/>
          <w:p>
            <w:pPr>
              <w:pStyle w:val="Compact"/>
            </w:pPr>
            <w:r>
              <w:t xml:space="preserve">URPS (OB/GYN)</w:t>
            </w:r>
          </w:p>
        </w:tc>
        <w:tc>
          <w:tcPr/>
          <w:p>
            <w:pPr>
              <w:pStyle w:val="Compact"/>
            </w:pPr>
            <w:r>
              <w:t xml:space="preserve">29.769</w:t>
            </w:r>
          </w:p>
        </w:tc>
        <w:tc>
          <w:tcPr/>
          <w:p>
            <w:pPr>
              <w:pStyle w:val="Compact"/>
            </w:pPr>
            <w:r>
              <w:t xml:space="preserve">31.026</w:t>
            </w:r>
          </w:p>
        </w:tc>
        <w:tc>
          <w:tcPr/>
          <w:p>
            <w:pPr>
              <w:pStyle w:val="Compact"/>
            </w:pPr>
            <w:r>
              <w:t xml:space="preserve">0.084</w:t>
            </w:r>
          </w:p>
        </w:tc>
        <w:tc>
          <w:tcPr/>
          <w:p>
            <w:pPr>
              <w:pStyle w:val="Compact"/>
            </w:pPr>
            <w:r>
              <w:t xml:space="preserve">0.233</w:t>
            </w:r>
          </w:p>
        </w:tc>
        <w:tc>
          <w:tcPr/>
          <w:p>
            <w:pPr>
              <w:pStyle w:val="Compact"/>
            </w:pPr>
            <w:r>
              <w:t xml:space="preserve">0.130</w:t>
            </w:r>
          </w:p>
        </w:tc>
      </w:tr>
      <w:tr>
        <w:tc>
          <w:tcPr/>
          <w:p>
            <w:pPr>
              <w:pStyle w:val="Compact"/>
            </w:pPr>
            <w:r>
              <w:t xml:space="preserve">Share by bottom 50% (%)</w:t>
            </w:r>
          </w:p>
        </w:tc>
        <w:tc>
          <w:tcPr/>
          <w:p>
            <w:pPr>
              <w:pStyle w:val="Compact"/>
            </w:pPr>
            <w:r>
              <w:t xml:space="preserve">URPS (urology)</w:t>
            </w:r>
          </w:p>
        </w:tc>
        <w:tc>
          <w:tcPr/>
          <w:p>
            <w:pPr>
              <w:pStyle w:val="Compact"/>
            </w:pPr>
            <w:r>
              <w:t xml:space="preserve">36.210</w:t>
            </w:r>
          </w:p>
        </w:tc>
        <w:tc>
          <w:tcPr/>
          <w:p>
            <w:pPr>
              <w:pStyle w:val="Compact"/>
            </w:pPr>
            <w:r>
              <w:t xml:space="preserve">33.060</w:t>
            </w:r>
          </w:p>
        </w:tc>
        <w:tc>
          <w:tcPr/>
          <w:p>
            <w:pPr>
              <w:pStyle w:val="Compact"/>
            </w:pPr>
            <w:r>
              <w:t xml:space="preserve">0.043</w:t>
            </w:r>
          </w:p>
        </w:tc>
        <w:tc>
          <w:tcPr/>
          <w:p>
            <w:pPr>
              <w:pStyle w:val="Compact"/>
            </w:pPr>
            <w:r>
              <w:t xml:space="preserve">0.012</w:t>
            </w:r>
          </w:p>
        </w:tc>
        <w:tc>
          <w:tcPr/>
          <w:p>
            <w:pPr>
              <w:pStyle w:val="Compact"/>
            </w:pPr>
            <w:r>
              <w:t xml:space="preserve">0.740</w:t>
            </w:r>
          </w:p>
        </w:tc>
      </w:tr>
      <w:tr>
        <w:tc>
          <w:tcPr/>
          <w:p>
            <w:pPr>
              <w:pStyle w:val="Compact"/>
            </w:pPr>
            <w:r>
              <w:t xml:space="preserve">Share by bottom 50% (%)</w:t>
            </w:r>
          </w:p>
        </w:tc>
        <w:tc>
          <w:tcPr/>
          <w:p>
            <w:pPr>
              <w:pStyle w:val="Compact"/>
            </w:pPr>
            <w:r>
              <w:t xml:space="preserve">Urology</w:t>
            </w:r>
          </w:p>
        </w:tc>
        <w:tc>
          <w:tcPr/>
          <w:p>
            <w:pPr>
              <w:pStyle w:val="Compact"/>
            </w:pPr>
            <w:r>
              <w:t xml:space="preserve">36.290</w:t>
            </w:r>
          </w:p>
        </w:tc>
        <w:tc>
          <w:tcPr/>
          <w:p>
            <w:pPr>
              <w:pStyle w:val="Compact"/>
            </w:pPr>
            <w:r>
              <w:t xml:space="preserve">33.333</w:t>
            </w:r>
          </w:p>
        </w:tc>
        <w:tc>
          <w:tcPr/>
          <w:p>
            <w:pPr>
              <w:pStyle w:val="Compact"/>
            </w:pPr>
            <w:r>
              <w:t xml:space="preserve">-0.220</w:t>
            </w:r>
          </w:p>
        </w:tc>
        <w:tc>
          <w:tcPr/>
          <w:p>
            <w:pPr>
              <w:pStyle w:val="Compact"/>
            </w:pPr>
            <w:r>
              <w:t xml:space="preserve">0.216</w:t>
            </w:r>
          </w:p>
        </w:tc>
        <w:tc>
          <w:tcPr/>
          <w:p>
            <w:pPr>
              <w:pStyle w:val="Compact"/>
            </w:pPr>
            <w:r>
              <w:t xml:space="preserve">0.150</w:t>
            </w:r>
          </w:p>
        </w:tc>
      </w:tr>
    </w:tbl>
    <w:p>
      <w:pPr>
        <w:pStyle w:val="BodyText"/>
      </w:pPr>
      <w:r>
        <w:rPr>
          <w:b/>
          <w:bCs/>
        </w:rPr>
        <w:t xml:space="preserve">Supplementary Table S3.</w:t>
      </w:r>
      <w:r>
        <w:t xml:space="preserve"> </w:t>
      </w:r>
      <w:r>
        <w:t xml:space="preserve">Specialty-specific market-share trends. Each specialty’s annual share of observed procedures is regressed on calendar year separately (fixed-membership classification).</w:t>
      </w:r>
    </w:p>
    <w:tbl>
      <w:tblPr>
        <w:tblStyle w:val="Table"/>
        <w:tblW w:type="pct" w:w="5000"/>
        <w:tblLayout w:type="fixed"/>
        <w:tblLook w:firstRow="1" w:lastRow="0" w:firstColumn="0" w:lastColumn="0" w:noHBand="0" w:noVBand="0" w:val="0020"/>
      </w:tblPr>
      <w:tblGrid>
        <w:gridCol w:w="1844"/>
        <w:gridCol w:w="1735"/>
        <w:gridCol w:w="1735"/>
        <w:gridCol w:w="1627"/>
        <w:gridCol w:w="976"/>
      </w:tblGrid>
      <w:tr>
        <w:trPr>
          <w:tblHeader w:val="on"/>
        </w:trPr>
        <w:tc>
          <w:tcPr/>
          <w:p>
            <w:pPr>
              <w:pStyle w:val="Compact"/>
            </w:pPr>
            <w:r>
              <w:t xml:space="preserve">Specialty</w:t>
            </w:r>
          </w:p>
        </w:tc>
        <w:tc>
          <w:tcPr/>
          <w:p>
            <w:pPr>
              <w:pStyle w:val="Compact"/>
            </w:pPr>
            <w:r>
              <w:t xml:space="preserve">2013 share (%)</w:t>
            </w:r>
          </w:p>
        </w:tc>
        <w:tc>
          <w:tcPr/>
          <w:p>
            <w:pPr>
              <w:pStyle w:val="Compact"/>
            </w:pPr>
            <w:r>
              <w:t xml:space="preserve">2023 share (%)</w:t>
            </w:r>
          </w:p>
        </w:tc>
        <w:tc>
          <w:tcPr/>
          <w:p>
            <w:pPr>
              <w:pStyle w:val="Compact"/>
            </w:pPr>
            <w:r>
              <w:t xml:space="preserve">Slope (pp/yr)</w:t>
            </w:r>
          </w:p>
        </w:tc>
        <w:tc>
          <w:tcPr/>
          <w:p>
            <w:pPr>
              <w:pStyle w:val="Compact"/>
            </w:pPr>
            <w:r>
              <w:t xml:space="preserve">p-value</w:t>
            </w:r>
          </w:p>
        </w:tc>
      </w:tr>
      <w:tr>
        <w:tc>
          <w:tcPr/>
          <w:p>
            <w:pPr>
              <w:pStyle w:val="Compact"/>
            </w:pPr>
            <w:r>
              <w:t xml:space="preserve">General OB/GYN</w:t>
            </w:r>
          </w:p>
        </w:tc>
        <w:tc>
          <w:tcPr/>
          <w:p>
            <w:pPr>
              <w:pStyle w:val="Compact"/>
            </w:pPr>
            <w:r>
              <w:t xml:space="preserve">16.3</w:t>
            </w:r>
          </w:p>
        </w:tc>
        <w:tc>
          <w:tcPr/>
          <w:p>
            <w:pPr>
              <w:pStyle w:val="Compact"/>
            </w:pPr>
            <w:r>
              <w:t xml:space="preserve">13.1</w:t>
            </w:r>
          </w:p>
        </w:tc>
        <w:tc>
          <w:tcPr/>
          <w:p>
            <w:pPr>
              <w:pStyle w:val="Compact"/>
            </w:pPr>
            <w:r>
              <w:t xml:space="preserve">-0.397</w:t>
            </w:r>
          </w:p>
        </w:tc>
        <w:tc>
          <w:tcPr/>
          <w:p>
            <w:pPr>
              <w:pStyle w:val="Compact"/>
            </w:pPr>
            <w:r>
              <w:t xml:space="preserve">0.008</w:t>
            </w:r>
          </w:p>
        </w:tc>
      </w:tr>
      <w:tr>
        <w:tc>
          <w:tcPr/>
          <w:p>
            <w:pPr>
              <w:pStyle w:val="Compact"/>
            </w:pPr>
            <w:r>
              <w:t xml:space="preserve">MIGS</w:t>
            </w:r>
          </w:p>
        </w:tc>
        <w:tc>
          <w:tcPr/>
          <w:p>
            <w:pPr>
              <w:pStyle w:val="Compact"/>
            </w:pPr>
            <w:r>
              <w:t xml:space="preserve">0.2</w:t>
            </w:r>
          </w:p>
        </w:tc>
        <w:tc>
          <w:tcPr/>
          <w:p>
            <w:pPr>
              <w:pStyle w:val="Compact"/>
            </w:pPr>
            <w:r>
              <w:t xml:space="preserve">0.9</w:t>
            </w:r>
          </w:p>
        </w:tc>
        <w:tc>
          <w:tcPr/>
          <w:p>
            <w:pPr>
              <w:pStyle w:val="Compact"/>
            </w:pPr>
            <w:r>
              <w:t xml:space="preserve">0.077</w:t>
            </w:r>
          </w:p>
        </w:tc>
        <w:tc>
          <w:tcPr/>
          <w:p>
            <w:pPr>
              <w:pStyle w:val="Compact"/>
            </w:pPr>
            <w:r>
              <w:t xml:space="preserve">0.004</w:t>
            </w:r>
          </w:p>
        </w:tc>
      </w:tr>
      <w:tr>
        <w:tc>
          <w:tcPr/>
          <w:p>
            <w:pPr>
              <w:pStyle w:val="Compact"/>
            </w:pPr>
            <w:r>
              <w:t xml:space="preserve">Other/uncertain</w:t>
            </w:r>
          </w:p>
        </w:tc>
        <w:tc>
          <w:tcPr/>
          <w:p>
            <w:pPr>
              <w:pStyle w:val="Compact"/>
            </w:pPr>
            <w:r>
              <w:t xml:space="preserve">6.0</w:t>
            </w:r>
          </w:p>
        </w:tc>
        <w:tc>
          <w:tcPr/>
          <w:p>
            <w:pPr>
              <w:pStyle w:val="Compact"/>
            </w:pPr>
            <w:r>
              <w:t xml:space="preserve">9.8</w:t>
            </w:r>
          </w:p>
        </w:tc>
        <w:tc>
          <w:tcPr/>
          <w:p>
            <w:pPr>
              <w:pStyle w:val="Compact"/>
            </w:pPr>
            <w:r>
              <w:t xml:space="preserve">0.488</w:t>
            </w:r>
          </w:p>
        </w:tc>
        <w:tc>
          <w:tcPr/>
          <w:p>
            <w:pPr>
              <w:pStyle w:val="Compact"/>
            </w:pPr>
            <w:r>
              <w:t xml:space="preserve">&lt;0.001</w:t>
            </w:r>
          </w:p>
        </w:tc>
      </w:tr>
      <w:tr>
        <w:tc>
          <w:tcPr/>
          <w:p>
            <w:pPr>
              <w:pStyle w:val="Compact"/>
            </w:pPr>
            <w:r>
              <w:t xml:space="preserve">URPS (OB/GYN)</w:t>
            </w:r>
          </w:p>
        </w:tc>
        <w:tc>
          <w:tcPr/>
          <w:p>
            <w:pPr>
              <w:pStyle w:val="Compact"/>
            </w:pPr>
            <w:r>
              <w:t xml:space="preserve">45.8</w:t>
            </w:r>
          </w:p>
        </w:tc>
        <w:tc>
          <w:tcPr/>
          <w:p>
            <w:pPr>
              <w:pStyle w:val="Compact"/>
            </w:pPr>
            <w:r>
              <w:t xml:space="preserve">60.6</w:t>
            </w:r>
          </w:p>
        </w:tc>
        <w:tc>
          <w:tcPr/>
          <w:p>
            <w:pPr>
              <w:pStyle w:val="Compact"/>
            </w:pPr>
            <w:r>
              <w:t xml:space="preserve">1.416</w:t>
            </w:r>
          </w:p>
        </w:tc>
        <w:tc>
          <w:tcPr/>
          <w:p>
            <w:pPr>
              <w:pStyle w:val="Compact"/>
            </w:pPr>
            <w:r>
              <w:t xml:space="preserve">&lt;0.001</w:t>
            </w:r>
          </w:p>
        </w:tc>
      </w:tr>
      <w:tr>
        <w:tc>
          <w:tcPr/>
          <w:p>
            <w:pPr>
              <w:pStyle w:val="Compact"/>
            </w:pPr>
            <w:r>
              <w:t xml:space="preserve">URPS (urology)</w:t>
            </w:r>
          </w:p>
        </w:tc>
        <w:tc>
          <w:tcPr/>
          <w:p>
            <w:pPr>
              <w:pStyle w:val="Compact"/>
            </w:pPr>
            <w:r>
              <w:t xml:space="preserve">9.3</w:t>
            </w:r>
          </w:p>
        </w:tc>
        <w:tc>
          <w:tcPr/>
          <w:p>
            <w:pPr>
              <w:pStyle w:val="Compact"/>
            </w:pPr>
            <w:r>
              <w:t xml:space="preserve">7.4</w:t>
            </w:r>
          </w:p>
        </w:tc>
        <w:tc>
          <w:tcPr/>
          <w:p>
            <w:pPr>
              <w:pStyle w:val="Compact"/>
            </w:pPr>
            <w:r>
              <w:t xml:space="preserve">-0.299</w:t>
            </w:r>
          </w:p>
        </w:tc>
        <w:tc>
          <w:tcPr/>
          <w:p>
            <w:pPr>
              <w:pStyle w:val="Compact"/>
            </w:pPr>
            <w:r>
              <w:t xml:space="preserve">0.001</w:t>
            </w:r>
          </w:p>
        </w:tc>
      </w:tr>
      <w:tr>
        <w:tc>
          <w:tcPr/>
          <w:p>
            <w:pPr>
              <w:pStyle w:val="Compact"/>
            </w:pPr>
            <w:r>
              <w:t xml:space="preserve">Urology</w:t>
            </w:r>
          </w:p>
        </w:tc>
        <w:tc>
          <w:tcPr/>
          <w:p>
            <w:pPr>
              <w:pStyle w:val="Compact"/>
            </w:pPr>
            <w:r>
              <w:t xml:space="preserve">22.4</w:t>
            </w:r>
          </w:p>
        </w:tc>
        <w:tc>
          <w:tcPr/>
          <w:p>
            <w:pPr>
              <w:pStyle w:val="Compact"/>
            </w:pPr>
            <w:r>
              <w:t xml:space="preserve">8.3</w:t>
            </w:r>
          </w:p>
        </w:tc>
        <w:tc>
          <w:tcPr/>
          <w:p>
            <w:pPr>
              <w:pStyle w:val="Compact"/>
            </w:pPr>
            <w:r>
              <w:t xml:space="preserve">-1.284</w:t>
            </w:r>
          </w:p>
        </w:tc>
        <w:tc>
          <w:tcPr/>
          <w:p>
            <w:pPr>
              <w:pStyle w:val="Compact"/>
            </w:pPr>
            <w:r>
              <w:t xml:space="preserve">&lt;0.001</w:t>
            </w:r>
          </w:p>
        </w:tc>
      </w:tr>
    </w:tbl>
    <w:p>
      <w:pPr>
        <w:pStyle w:val="BodyText"/>
      </w:pPr>
      <w:r>
        <w:rPr>
          <w:b/>
          <w:bCs/>
        </w:rPr>
        <w:t xml:space="preserve">Supplementary Table S4.</w:t>
      </w:r>
      <w:r>
        <w:t xml:space="preserve"> </w:t>
      </w:r>
      <w:r>
        <w:t xml:space="preserve">Adjusted rate ratios for annual sling volume from a Poisson GEE clustered by NPI, excluding calendar year 2020 (COVID-19 sensitivity analysis; URPS reference).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Term</w:t>
            </w:r>
          </w:p>
        </w:tc>
        <w:tc>
          <w:tcPr/>
          <w:p>
            <w:pPr>
              <w:pStyle w:val="Compact"/>
            </w:pPr>
            <w:r>
              <w:t xml:space="preserve">RR (95% CI)</w:t>
            </w:r>
          </w:p>
        </w:tc>
        <w:tc>
          <w:tcPr/>
          <w:p>
            <w:pPr>
              <w:pStyle w:val="Compact"/>
            </w:pPr>
            <w:r>
              <w:t xml:space="preserve">p-value</w:t>
            </w:r>
          </w:p>
        </w:tc>
      </w:tr>
      <w:tr>
        <w:tc>
          <w:tcPr/>
          <w:p>
            <w:pPr>
              <w:pStyle w:val="Compact"/>
            </w:pPr>
            <w:r>
              <w:t xml:space="preserve">(Intercept)</w:t>
            </w:r>
          </w:p>
        </w:tc>
        <w:tc>
          <w:tcPr/>
          <w:p>
            <w:pPr>
              <w:pStyle w:val="Compact"/>
            </w:pPr>
            <w:r>
              <w:t xml:space="preserve">21.79 (20.23-23.48)</w:t>
            </w:r>
          </w:p>
        </w:tc>
        <w:tc>
          <w:tcPr/>
          <w:p>
            <w:pPr>
              <w:pStyle w:val="Compact"/>
            </w:pPr>
            <w:r>
              <w:t xml:space="preserve">n/a</w:t>
            </w:r>
          </w:p>
        </w:tc>
      </w:tr>
      <w:tr>
        <w:tc>
          <w:tcPr/>
          <w:p>
            <w:pPr>
              <w:pStyle w:val="Compact"/>
            </w:pPr>
            <w:r>
              <w:t xml:space="preserve">Specialty: General OB/GYN</w:t>
            </w:r>
          </w:p>
        </w:tc>
        <w:tc>
          <w:tcPr/>
          <w:p>
            <w:pPr>
              <w:pStyle w:val="Compact"/>
            </w:pPr>
            <w:r>
              <w:t xml:space="preserve">0.64 (0.46-0.90)</w:t>
            </w:r>
          </w:p>
        </w:tc>
        <w:tc>
          <w:tcPr/>
          <w:p>
            <w:pPr>
              <w:pStyle w:val="Compact"/>
            </w:pPr>
            <w:r>
              <w:t xml:space="preserve">0.010</w:t>
            </w:r>
          </w:p>
        </w:tc>
      </w:tr>
      <w:tr>
        <w:tc>
          <w:tcPr/>
          <w:p>
            <w:pPr>
              <w:pStyle w:val="Compact"/>
            </w:pPr>
            <w:r>
              <w:t xml:space="preserve">Specialty: MIGS</w:t>
            </w:r>
          </w:p>
        </w:tc>
        <w:tc>
          <w:tcPr/>
          <w:p>
            <w:pPr>
              <w:pStyle w:val="Compact"/>
            </w:pPr>
            <w:r>
              <w:t xml:space="preserve">0.88 (0.58-1.34)</w:t>
            </w:r>
          </w:p>
        </w:tc>
        <w:tc>
          <w:tcPr/>
          <w:p>
            <w:pPr>
              <w:pStyle w:val="Compact"/>
            </w:pPr>
            <w:r>
              <w:t xml:space="preserve">0.540</w:t>
            </w:r>
          </w:p>
        </w:tc>
      </w:tr>
      <w:tr>
        <w:tc>
          <w:tcPr/>
          <w:p>
            <w:pPr>
              <w:pStyle w:val="Compact"/>
            </w:pPr>
            <w:r>
              <w:t xml:space="preserve">Specialty: Other/uncertain</w:t>
            </w:r>
          </w:p>
        </w:tc>
        <w:tc>
          <w:tcPr/>
          <w:p>
            <w:pPr>
              <w:pStyle w:val="Compact"/>
            </w:pPr>
            <w:r>
              <w:t xml:space="preserve">0.89 (0.80-0.98)</w:t>
            </w:r>
          </w:p>
        </w:tc>
        <w:tc>
          <w:tcPr/>
          <w:p>
            <w:pPr>
              <w:pStyle w:val="Compact"/>
            </w:pPr>
            <w:r>
              <w:t xml:space="preserve">0.020</w:t>
            </w:r>
          </w:p>
        </w:tc>
      </w:tr>
      <w:tr>
        <w:tc>
          <w:tcPr/>
          <w:p>
            <w:pPr>
              <w:pStyle w:val="Compact"/>
            </w:pPr>
            <w:r>
              <w:t xml:space="preserve">Specialty: Urology</w:t>
            </w:r>
          </w:p>
        </w:tc>
        <w:tc>
          <w:tcPr/>
          <w:p>
            <w:pPr>
              <w:pStyle w:val="Compact"/>
            </w:pPr>
            <w:r>
              <w:t xml:space="preserve">0.69 (0.57-0.83)</w:t>
            </w:r>
          </w:p>
        </w:tc>
        <w:tc>
          <w:tcPr/>
          <w:p>
            <w:pPr>
              <w:pStyle w:val="Compact"/>
            </w:pPr>
            <w:r>
              <w:t xml:space="preserve">n/a</w:t>
            </w:r>
          </w:p>
        </w:tc>
      </w:tr>
      <w:tr>
        <w:tc>
          <w:tcPr/>
          <w:p>
            <w:pPr>
              <w:pStyle w:val="Compact"/>
            </w:pPr>
            <w:r>
              <w:t xml:space="preserve">Specialty: URPS (urology)</w:t>
            </w:r>
          </w:p>
        </w:tc>
        <w:tc>
          <w:tcPr/>
          <w:p>
            <w:pPr>
              <w:pStyle w:val="Compact"/>
            </w:pPr>
            <w:r>
              <w:t xml:space="preserve">0.75 (0.68-0.83)</w:t>
            </w:r>
          </w:p>
        </w:tc>
        <w:tc>
          <w:tcPr/>
          <w:p>
            <w:pPr>
              <w:pStyle w:val="Compact"/>
            </w:pPr>
            <w:r>
              <w:t xml:space="preserve">n/a</w:t>
            </w:r>
          </w:p>
        </w:tc>
      </w:tr>
      <w:tr>
        <w:tc>
          <w:tcPr/>
          <w:p>
            <w:pPr>
              <w:pStyle w:val="Compact"/>
            </w:pPr>
            <w:r>
              <w:t xml:space="preserve">year_c</w:t>
            </w:r>
          </w:p>
        </w:tc>
        <w:tc>
          <w:tcPr/>
          <w:p>
            <w:pPr>
              <w:pStyle w:val="Compact"/>
            </w:pPr>
            <w:r>
              <w:t xml:space="preserve">1.00 (0.99-1.01)</w:t>
            </w:r>
          </w:p>
        </w:tc>
        <w:tc>
          <w:tcPr/>
          <w:p>
            <w:pPr>
              <w:pStyle w:val="Compact"/>
            </w:pPr>
            <w:r>
              <w:t xml:space="preserve">0.850</w:t>
            </w:r>
          </w:p>
        </w:tc>
      </w:tr>
      <w:tr>
        <w:tc>
          <w:tcPr/>
          <w:p>
            <w:pPr>
              <w:pStyle w:val="Compact"/>
            </w:pPr>
            <w:r>
              <w:t xml:space="preserve">Specialty: General OB/GYN:year_c</w:t>
            </w:r>
          </w:p>
        </w:tc>
        <w:tc>
          <w:tcPr/>
          <w:p>
            <w:pPr>
              <w:pStyle w:val="Compact"/>
            </w:pPr>
            <w:r>
              <w:t xml:space="preserve">1.00 (0.97-1.02)</w:t>
            </w:r>
          </w:p>
        </w:tc>
        <w:tc>
          <w:tcPr/>
          <w:p>
            <w:pPr>
              <w:pStyle w:val="Compact"/>
            </w:pPr>
            <w:r>
              <w:t xml:space="preserve">0.900</w:t>
            </w:r>
          </w:p>
        </w:tc>
      </w:tr>
      <w:tr>
        <w:tc>
          <w:tcPr/>
          <w:p>
            <w:pPr>
              <w:pStyle w:val="Compact"/>
            </w:pPr>
            <w:r>
              <w:t xml:space="preserve">Specialty: MIGS:year_c</w:t>
            </w:r>
          </w:p>
        </w:tc>
        <w:tc>
          <w:tcPr/>
          <w:p>
            <w:pPr>
              <w:pStyle w:val="Compact"/>
            </w:pPr>
            <w:r>
              <w:t xml:space="preserve">1.08 (1.02-1.14)</w:t>
            </w:r>
          </w:p>
        </w:tc>
        <w:tc>
          <w:tcPr/>
          <w:p>
            <w:pPr>
              <w:pStyle w:val="Compact"/>
            </w:pPr>
            <w:r>
              <w:t xml:space="preserve">0.006</w:t>
            </w:r>
          </w:p>
        </w:tc>
      </w:tr>
      <w:tr>
        <w:tc>
          <w:tcPr/>
          <w:p>
            <w:pPr>
              <w:pStyle w:val="Compact"/>
            </w:pPr>
            <w:r>
              <w:t xml:space="preserve">Specialty: Other/uncertain:year_c</w:t>
            </w:r>
          </w:p>
        </w:tc>
        <w:tc>
          <w:tcPr/>
          <w:p>
            <w:pPr>
              <w:pStyle w:val="Compact"/>
            </w:pPr>
            <w:r>
              <w:t xml:space="preserve">0.99 (0.95-1.03)</w:t>
            </w:r>
          </w:p>
        </w:tc>
        <w:tc>
          <w:tcPr/>
          <w:p>
            <w:pPr>
              <w:pStyle w:val="Compact"/>
            </w:pPr>
            <w:r>
              <w:t xml:space="preserve">0.550</w:t>
            </w:r>
          </w:p>
        </w:tc>
      </w:tr>
      <w:tr>
        <w:tc>
          <w:tcPr/>
          <w:p>
            <w:pPr>
              <w:pStyle w:val="Compact"/>
            </w:pPr>
            <w:r>
              <w:t xml:space="preserve">Specialty: Urology:year_c</w:t>
            </w:r>
          </w:p>
        </w:tc>
        <w:tc>
          <w:tcPr/>
          <w:p>
            <w:pPr>
              <w:pStyle w:val="Compact"/>
            </w:pPr>
            <w:r>
              <w:t xml:space="preserve">0.99 (0.97-1.01)</w:t>
            </w:r>
          </w:p>
        </w:tc>
        <w:tc>
          <w:tcPr/>
          <w:p>
            <w:pPr>
              <w:pStyle w:val="Compact"/>
            </w:pPr>
            <w:r>
              <w:t xml:space="preserve">0.230</w:t>
            </w:r>
          </w:p>
        </w:tc>
      </w:tr>
      <w:tr>
        <w:tc>
          <w:tcPr/>
          <w:p>
            <w:pPr>
              <w:pStyle w:val="Compact"/>
            </w:pPr>
            <w:r>
              <w:t xml:space="preserve">Specialty: URPS (urology):year_c</w:t>
            </w:r>
          </w:p>
        </w:tc>
        <w:tc>
          <w:tcPr/>
          <w:p>
            <w:pPr>
              <w:pStyle w:val="Compact"/>
            </w:pPr>
            <w:r>
              <w:t xml:space="preserve">0.99 (0.97-1.01)</w:t>
            </w:r>
          </w:p>
        </w:tc>
        <w:tc>
          <w:tcPr/>
          <w:p>
            <w:pPr>
              <w:pStyle w:val="Compact"/>
            </w:pPr>
            <w:r>
              <w:t xml:space="preserve">0.210</w:t>
            </w:r>
          </w:p>
        </w:tc>
      </w:tr>
    </w:tbl>
    <w:p>
      <w:pPr>
        <w:pStyle w:val="BodyText"/>
      </w:pPr>
      <w:r>
        <w:rPr>
          <w:b/>
          <w:bCs/>
        </w:rPr>
        <w:t xml:space="preserve">Supplementary Table S5.</w:t>
      </w:r>
      <w:r>
        <w:t xml:space="preserve"> </w:t>
      </w:r>
      <w:r>
        <w:t xml:space="preserve">Per-physician volume comparisons (one median value per physician), Kruskal-Wallis and pairwise Wilcoxon tests with Bonferroni correction.</w:t>
      </w:r>
    </w:p>
    <w:tbl>
      <w:tblPr>
        <w:tblStyle w:val="Table"/>
        <w:tblW w:type="pct" w:w="5000"/>
        <w:tblLayout w:type="fixed"/>
        <w:tblLook w:firstRow="1" w:lastRow="0" w:firstColumn="0" w:lastColumn="0" w:noHBand="0" w:noVBand="0" w:val="0020"/>
      </w:tblPr>
      <w:tblGrid>
        <w:gridCol w:w="5960"/>
        <w:gridCol w:w="898"/>
        <w:gridCol w:w="326"/>
        <w:gridCol w:w="734"/>
      </w:tblGrid>
      <w:tr>
        <w:trPr>
          <w:tblHeader w:val="on"/>
        </w:trPr>
        <w:tc>
          <w:tcPr/>
          <w:p>
            <w:pPr>
              <w:pStyle w:val="Compact"/>
            </w:pPr>
            <w:r>
              <w:t xml:space="preserve">Test</w:t>
            </w:r>
          </w:p>
        </w:tc>
        <w:tc>
          <w:tcPr/>
          <w:p>
            <w:pPr>
              <w:pStyle w:val="Compact"/>
            </w:pPr>
            <w:r>
              <w:t xml:space="preserve">Statistic</w:t>
            </w:r>
          </w:p>
        </w:tc>
        <w:tc>
          <w:tcPr/>
          <w:p>
            <w:pPr>
              <w:pStyle w:val="Compact"/>
            </w:pPr>
            <w:r>
              <w:t xml:space="preserve">df</w:t>
            </w:r>
          </w:p>
        </w:tc>
        <w:tc>
          <w:tcPr/>
          <w:p>
            <w:pPr>
              <w:pStyle w:val="Compact"/>
            </w:pPr>
            <w:r>
              <w:t xml:space="preserve">p-value</w:t>
            </w:r>
          </w:p>
        </w:tc>
      </w:tr>
      <w:tr>
        <w:tc>
          <w:tcPr/>
          <w:p>
            <w:pPr>
              <w:pStyle w:val="Compact"/>
            </w:pPr>
            <w:r>
              <w:t xml:space="preserve">Kruskal-Wallis: per-physician median volume across specialties</w:t>
            </w:r>
          </w:p>
        </w:tc>
        <w:tc>
          <w:tcPr/>
          <w:p>
            <w:pPr>
              <w:pStyle w:val="Compact"/>
            </w:pPr>
            <w:r>
              <w:t xml:space="preserve">97.35</w:t>
            </w:r>
          </w:p>
        </w:tc>
        <w:tc>
          <w:tcPr/>
          <w:p>
            <w:pPr>
              <w:pStyle w:val="Compact"/>
            </w:pPr>
            <w:r>
              <w:t xml:space="preserve">5</w:t>
            </w:r>
          </w:p>
        </w:tc>
        <w:tc>
          <w:tcPr/>
          <w:p>
            <w:pPr>
              <w:pStyle w:val="Compact"/>
            </w:pPr>
            <w:r>
              <w:t xml:space="preserve">&lt;0.001</w:t>
            </w:r>
          </w:p>
        </w:tc>
      </w:tr>
      <w:tr>
        <w:tc>
          <w:tcPr/>
          <w:p>
            <w:pPr>
              <w:pStyle w:val="Compact"/>
            </w:pPr>
            <w:r>
              <w:t xml:space="preserve">Wilcoxon (per-physician, bonferroni): MIGS vs General OB/GYN</w:t>
            </w:r>
          </w:p>
        </w:tc>
        <w:tc>
          <w:tcPr/>
          <w:p>
            <w:pPr>
              <w:pStyle w:val="Compact"/>
            </w:pPr>
            <w:r>
              <w:t xml:space="preserve">n/a</w:t>
            </w:r>
          </w:p>
        </w:tc>
        <w:tc>
          <w:tcPr/>
          <w:p>
            <w:pPr>
              <w:pStyle w:val="Compact"/>
            </w:pPr>
            <w:r>
              <w:t xml:space="preserve">NA</w:t>
            </w:r>
          </w:p>
        </w:tc>
        <w:tc>
          <w:tcPr/>
          <w:p>
            <w:pPr>
              <w:pStyle w:val="Compact"/>
            </w:pPr>
            <w:r>
              <w:t xml:space="preserve">1.00</w:t>
            </w:r>
          </w:p>
        </w:tc>
      </w:tr>
      <w:tr>
        <w:tc>
          <w:tcPr/>
          <w:p>
            <w:pPr>
              <w:pStyle w:val="Compact"/>
            </w:pPr>
            <w:r>
              <w:t xml:space="preserve">Wilcoxon (per-physician, bonferroni): Other/uncertain vs General OB/GYN</w:t>
            </w:r>
          </w:p>
        </w:tc>
        <w:tc>
          <w:tcPr/>
          <w:p>
            <w:pPr>
              <w:pStyle w:val="Compact"/>
            </w:pPr>
            <w:r>
              <w:t xml:space="preserve">n/a</w:t>
            </w:r>
          </w:p>
        </w:tc>
        <w:tc>
          <w:tcPr/>
          <w:p>
            <w:pPr>
              <w:pStyle w:val="Compact"/>
            </w:pPr>
            <w:r>
              <w:t xml:space="preserve">NA</w:t>
            </w:r>
          </w:p>
        </w:tc>
        <w:tc>
          <w:tcPr/>
          <w:p>
            <w:pPr>
              <w:pStyle w:val="Compact"/>
            </w:pPr>
            <w:r>
              <w:t xml:space="preserve">0.002</w:t>
            </w:r>
          </w:p>
        </w:tc>
      </w:tr>
      <w:tr>
        <w:tc>
          <w:tcPr/>
          <w:p>
            <w:pPr>
              <w:pStyle w:val="Compact"/>
            </w:pPr>
            <w:r>
              <w:t xml:space="preserve">Wilcoxon (per-physician, bonferroni): Other/uncertain vs MIGS</w:t>
            </w:r>
          </w:p>
        </w:tc>
        <w:tc>
          <w:tcPr/>
          <w:p>
            <w:pPr>
              <w:pStyle w:val="Compact"/>
            </w:pPr>
            <w:r>
              <w:t xml:space="preserve">n/a</w:t>
            </w:r>
          </w:p>
        </w:tc>
        <w:tc>
          <w:tcPr/>
          <w:p>
            <w:pPr>
              <w:pStyle w:val="Compact"/>
            </w:pPr>
            <w:r>
              <w:t xml:space="preserve">NA</w:t>
            </w:r>
          </w:p>
        </w:tc>
        <w:tc>
          <w:tcPr/>
          <w:p>
            <w:pPr>
              <w:pStyle w:val="Compact"/>
            </w:pPr>
            <w:r>
              <w:t xml:space="preserve">1.00</w:t>
            </w:r>
          </w:p>
        </w:tc>
      </w:tr>
      <w:tr>
        <w:tc>
          <w:tcPr/>
          <w:p>
            <w:pPr>
              <w:pStyle w:val="Compact"/>
            </w:pPr>
            <w:r>
              <w:t xml:space="preserve">Wilcoxon (per-physician, bonferroni): Urology vs General OB/GYN</w:t>
            </w:r>
          </w:p>
        </w:tc>
        <w:tc>
          <w:tcPr/>
          <w:p>
            <w:pPr>
              <w:pStyle w:val="Compact"/>
            </w:pPr>
            <w:r>
              <w:t xml:space="preserve">n/a</w:t>
            </w:r>
          </w:p>
        </w:tc>
        <w:tc>
          <w:tcPr/>
          <w:p>
            <w:pPr>
              <w:pStyle w:val="Compact"/>
            </w:pPr>
            <w:r>
              <w:t xml:space="preserve">NA</w:t>
            </w:r>
          </w:p>
        </w:tc>
        <w:tc>
          <w:tcPr/>
          <w:p>
            <w:pPr>
              <w:pStyle w:val="Compact"/>
            </w:pPr>
            <w:r>
              <w:t xml:space="preserve">1.00</w:t>
            </w:r>
          </w:p>
        </w:tc>
      </w:tr>
      <w:tr>
        <w:tc>
          <w:tcPr/>
          <w:p>
            <w:pPr>
              <w:pStyle w:val="Compact"/>
            </w:pPr>
            <w:r>
              <w:t xml:space="preserve">Wilcoxon (per-physician, bonferroni): Urology vs MIGS</w:t>
            </w:r>
          </w:p>
        </w:tc>
        <w:tc>
          <w:tcPr/>
          <w:p>
            <w:pPr>
              <w:pStyle w:val="Compact"/>
            </w:pPr>
            <w:r>
              <w:t xml:space="preserve">n/a</w:t>
            </w:r>
          </w:p>
        </w:tc>
        <w:tc>
          <w:tcPr/>
          <w:p>
            <w:pPr>
              <w:pStyle w:val="Compact"/>
            </w:pPr>
            <w:r>
              <w:t xml:space="preserve">NA</w:t>
            </w:r>
          </w:p>
        </w:tc>
        <w:tc>
          <w:tcPr/>
          <w:p>
            <w:pPr>
              <w:pStyle w:val="Compact"/>
            </w:pPr>
            <w:r>
              <w:t xml:space="preserve">1.00</w:t>
            </w:r>
          </w:p>
        </w:tc>
      </w:tr>
      <w:tr>
        <w:tc>
          <w:tcPr/>
          <w:p>
            <w:pPr>
              <w:pStyle w:val="Compact"/>
            </w:pPr>
            <w:r>
              <w:t xml:space="preserve">Wilcoxon (per-physician, bonferroni): Urology vs Other/uncertain</w:t>
            </w:r>
          </w:p>
        </w:tc>
        <w:tc>
          <w:tcPr/>
          <w:p>
            <w:pPr>
              <w:pStyle w:val="Compact"/>
            </w:pPr>
            <w:r>
              <w:t xml:space="preserve">n/a</w:t>
            </w:r>
          </w:p>
        </w:tc>
        <w:tc>
          <w:tcPr/>
          <w:p>
            <w:pPr>
              <w:pStyle w:val="Compact"/>
            </w:pPr>
            <w:r>
              <w:t xml:space="preserve">NA</w:t>
            </w:r>
          </w:p>
        </w:tc>
        <w:tc>
          <w:tcPr/>
          <w:p>
            <w:pPr>
              <w:pStyle w:val="Compact"/>
            </w:pPr>
            <w:r>
              <w:t xml:space="preserve">&lt;0.001</w:t>
            </w:r>
          </w:p>
        </w:tc>
      </w:tr>
      <w:tr>
        <w:tc>
          <w:tcPr/>
          <w:p>
            <w:pPr>
              <w:pStyle w:val="Compact"/>
            </w:pPr>
            <w:r>
              <w:t xml:space="preserve">Wilcoxon (per-physician, bonferroni): URPS (OB/GYN) vs General OB/GYN</w:t>
            </w:r>
          </w:p>
        </w:tc>
        <w:tc>
          <w:tcPr/>
          <w:p>
            <w:pPr>
              <w:pStyle w:val="Compact"/>
            </w:pPr>
            <w:r>
              <w:t xml:space="preserve">n/a</w:t>
            </w:r>
          </w:p>
        </w:tc>
        <w:tc>
          <w:tcPr/>
          <w:p>
            <w:pPr>
              <w:pStyle w:val="Compact"/>
            </w:pPr>
            <w:r>
              <w:t xml:space="preserve">NA</w:t>
            </w:r>
          </w:p>
        </w:tc>
        <w:tc>
          <w:tcPr/>
          <w:p>
            <w:pPr>
              <w:pStyle w:val="Compact"/>
            </w:pPr>
            <w:r>
              <w:t xml:space="preserve">&lt;0.001</w:t>
            </w:r>
          </w:p>
        </w:tc>
      </w:tr>
      <w:tr>
        <w:tc>
          <w:tcPr/>
          <w:p>
            <w:pPr>
              <w:pStyle w:val="Compact"/>
            </w:pPr>
            <w:r>
              <w:t xml:space="preserve">Wilcoxon (per-physician, bonferroni): URPS (OB/GYN) vs MIGS</w:t>
            </w:r>
          </w:p>
        </w:tc>
        <w:tc>
          <w:tcPr/>
          <w:p>
            <w:pPr>
              <w:pStyle w:val="Compact"/>
            </w:pPr>
            <w:r>
              <w:t xml:space="preserve">n/a</w:t>
            </w:r>
          </w:p>
        </w:tc>
        <w:tc>
          <w:tcPr/>
          <w:p>
            <w:pPr>
              <w:pStyle w:val="Compact"/>
            </w:pPr>
            <w:r>
              <w:t xml:space="preserve">NA</w:t>
            </w:r>
          </w:p>
        </w:tc>
        <w:tc>
          <w:tcPr/>
          <w:p>
            <w:pPr>
              <w:pStyle w:val="Compact"/>
            </w:pPr>
            <w:r>
              <w:t xml:space="preserve">1.00</w:t>
            </w:r>
          </w:p>
        </w:tc>
      </w:tr>
      <w:tr>
        <w:tc>
          <w:tcPr/>
          <w:p>
            <w:pPr>
              <w:pStyle w:val="Compact"/>
            </w:pPr>
            <w:r>
              <w:t xml:space="preserve">Wilcoxon (per-physician, bonferroni): URPS (OB/GYN) vs Other/uncertain</w:t>
            </w:r>
          </w:p>
        </w:tc>
        <w:tc>
          <w:tcPr/>
          <w:p>
            <w:pPr>
              <w:pStyle w:val="Compact"/>
            </w:pPr>
            <w:r>
              <w:t xml:space="preserve">n/a</w:t>
            </w:r>
          </w:p>
        </w:tc>
        <w:tc>
          <w:tcPr/>
          <w:p>
            <w:pPr>
              <w:pStyle w:val="Compact"/>
            </w:pPr>
            <w:r>
              <w:t xml:space="preserve">NA</w:t>
            </w:r>
          </w:p>
        </w:tc>
        <w:tc>
          <w:tcPr/>
          <w:p>
            <w:pPr>
              <w:pStyle w:val="Compact"/>
            </w:pPr>
            <w:r>
              <w:t xml:space="preserve">1.00</w:t>
            </w:r>
          </w:p>
        </w:tc>
      </w:tr>
      <w:tr>
        <w:tc>
          <w:tcPr/>
          <w:p>
            <w:pPr>
              <w:pStyle w:val="Compact"/>
            </w:pPr>
            <w:r>
              <w:t xml:space="preserve">Wilcoxon (per-physician, bonferroni): URPS (OB/GYN) vs Urology</w:t>
            </w:r>
          </w:p>
        </w:tc>
        <w:tc>
          <w:tcPr/>
          <w:p>
            <w:pPr>
              <w:pStyle w:val="Compact"/>
            </w:pPr>
            <w:r>
              <w:t xml:space="preserve">n/a</w:t>
            </w:r>
          </w:p>
        </w:tc>
        <w:tc>
          <w:tcPr/>
          <w:p>
            <w:pPr>
              <w:pStyle w:val="Compact"/>
            </w:pPr>
            <w:r>
              <w:t xml:space="preserve">NA</w:t>
            </w:r>
          </w:p>
        </w:tc>
        <w:tc>
          <w:tcPr/>
          <w:p>
            <w:pPr>
              <w:pStyle w:val="Compact"/>
            </w:pPr>
            <w:r>
              <w:t xml:space="preserve">&lt;0.001</w:t>
            </w:r>
          </w:p>
        </w:tc>
      </w:tr>
      <w:tr>
        <w:tc>
          <w:tcPr/>
          <w:p>
            <w:pPr>
              <w:pStyle w:val="Compact"/>
            </w:pPr>
            <w:r>
              <w:t xml:space="preserve">Wilcoxon (per-physician, bonferroni): URPS (urology) vs General OB/GYN</w:t>
            </w:r>
          </w:p>
        </w:tc>
        <w:tc>
          <w:tcPr/>
          <w:p>
            <w:pPr>
              <w:pStyle w:val="Compact"/>
            </w:pPr>
            <w:r>
              <w:t xml:space="preserve">n/a</w:t>
            </w:r>
          </w:p>
        </w:tc>
        <w:tc>
          <w:tcPr/>
          <w:p>
            <w:pPr>
              <w:pStyle w:val="Compact"/>
            </w:pPr>
            <w:r>
              <w:t xml:space="preserve">NA</w:t>
            </w:r>
          </w:p>
        </w:tc>
        <w:tc>
          <w:tcPr/>
          <w:p>
            <w:pPr>
              <w:pStyle w:val="Compact"/>
            </w:pPr>
            <w:r>
              <w:t xml:space="preserve">1.00</w:t>
            </w:r>
          </w:p>
        </w:tc>
      </w:tr>
      <w:tr>
        <w:tc>
          <w:tcPr/>
          <w:p>
            <w:pPr>
              <w:pStyle w:val="Compact"/>
            </w:pPr>
            <w:r>
              <w:t xml:space="preserve">Wilcoxon (per-physician, bonferroni): URPS (urology) vs MIGS</w:t>
            </w:r>
          </w:p>
        </w:tc>
        <w:tc>
          <w:tcPr/>
          <w:p>
            <w:pPr>
              <w:pStyle w:val="Compact"/>
            </w:pPr>
            <w:r>
              <w:t xml:space="preserve">n/a</w:t>
            </w:r>
          </w:p>
        </w:tc>
        <w:tc>
          <w:tcPr/>
          <w:p>
            <w:pPr>
              <w:pStyle w:val="Compact"/>
            </w:pPr>
            <w:r>
              <w:t xml:space="preserve">NA</w:t>
            </w:r>
          </w:p>
        </w:tc>
        <w:tc>
          <w:tcPr/>
          <w:p>
            <w:pPr>
              <w:pStyle w:val="Compact"/>
            </w:pPr>
            <w:r>
              <w:t xml:space="preserve">1.00</w:t>
            </w:r>
          </w:p>
        </w:tc>
      </w:tr>
      <w:tr>
        <w:tc>
          <w:tcPr/>
          <w:p>
            <w:pPr>
              <w:pStyle w:val="Compact"/>
            </w:pPr>
            <w:r>
              <w:t xml:space="preserve">Wilcoxon (per-physician, bonferroni): URPS (urology) vs Other/uncertain</w:t>
            </w:r>
          </w:p>
        </w:tc>
        <w:tc>
          <w:tcPr/>
          <w:p>
            <w:pPr>
              <w:pStyle w:val="Compact"/>
            </w:pPr>
            <w:r>
              <w:t xml:space="preserve">n/a</w:t>
            </w:r>
          </w:p>
        </w:tc>
        <w:tc>
          <w:tcPr/>
          <w:p>
            <w:pPr>
              <w:pStyle w:val="Compact"/>
            </w:pPr>
            <w:r>
              <w:t xml:space="preserve">NA</w:t>
            </w:r>
          </w:p>
        </w:tc>
        <w:tc>
          <w:tcPr/>
          <w:p>
            <w:pPr>
              <w:pStyle w:val="Compact"/>
            </w:pPr>
            <w:r>
              <w:t xml:space="preserve">0.76</w:t>
            </w:r>
          </w:p>
        </w:tc>
      </w:tr>
      <w:tr>
        <w:tc>
          <w:tcPr/>
          <w:p>
            <w:pPr>
              <w:pStyle w:val="Compact"/>
            </w:pPr>
            <w:r>
              <w:t xml:space="preserve">Wilcoxon (per-physician, bonferroni): URPS (urology) vs Urology</w:t>
            </w:r>
          </w:p>
        </w:tc>
        <w:tc>
          <w:tcPr/>
          <w:p>
            <w:pPr>
              <w:pStyle w:val="Compact"/>
            </w:pPr>
            <w:r>
              <w:t xml:space="preserve">n/a</w:t>
            </w:r>
          </w:p>
        </w:tc>
        <w:tc>
          <w:tcPr/>
          <w:p>
            <w:pPr>
              <w:pStyle w:val="Compact"/>
            </w:pPr>
            <w:r>
              <w:t xml:space="preserve">NA</w:t>
            </w:r>
          </w:p>
        </w:tc>
        <w:tc>
          <w:tcPr/>
          <w:p>
            <w:pPr>
              <w:pStyle w:val="Compact"/>
            </w:pPr>
            <w:r>
              <w:t xml:space="preserve">0.86</w:t>
            </w:r>
          </w:p>
        </w:tc>
      </w:tr>
      <w:tr>
        <w:tc>
          <w:tcPr/>
          <w:p>
            <w:pPr>
              <w:pStyle w:val="Compact"/>
            </w:pPr>
            <w:r>
              <w:t xml:space="preserve">Wilcoxon (per-physician, bonferroni): URPS (urology) vs URPS (OB/GYN)</w:t>
            </w:r>
          </w:p>
        </w:tc>
        <w:tc>
          <w:tcPr/>
          <w:p>
            <w:pPr>
              <w:pStyle w:val="Compact"/>
            </w:pPr>
            <w:r>
              <w:t xml:space="preserve">n/a</w:t>
            </w:r>
          </w:p>
        </w:tc>
        <w:tc>
          <w:tcPr/>
          <w:p>
            <w:pPr>
              <w:pStyle w:val="Compact"/>
            </w:pPr>
            <w:r>
              <w:t xml:space="preserve">NA</w:t>
            </w:r>
          </w:p>
        </w:tc>
        <w:tc>
          <w:tcPr/>
          <w:p>
            <w:pPr>
              <w:pStyle w:val="Compact"/>
            </w:pPr>
            <w:r>
              <w:t xml:space="preserve">&lt;0.001</w:t>
            </w:r>
          </w:p>
        </w:tc>
      </w:tr>
    </w:tbl>
    <w:p>
      <w:pPr>
        <w:pStyle w:val="BodyText"/>
      </w:pPr>
      <w:r>
        <w:rPr>
          <w:b/>
          <w:bCs/>
        </w:rPr>
        <w:t xml:space="preserve">Supplementary Table S6a.</w:t>
      </w:r>
      <w:r>
        <w:t xml:space="preserve"> </w:t>
      </w:r>
      <w:r>
        <w:t xml:space="preserve">Specialty distribution under alternative classification schemes (time-varying, modal, ever-URPS/MIGS, certification-gated).</w:t>
      </w:r>
    </w:p>
    <w:tbl>
      <w:tblPr>
        <w:tblStyle w:val="Table"/>
        <w:tblW w:type="pct" w:w="5000"/>
        <w:tblLayout w:type="fixed"/>
        <w:tblLook w:firstRow="1" w:lastRow="0" w:firstColumn="0" w:lastColumn="0" w:noHBand="0" w:noVBand="0" w:val="0020"/>
      </w:tblPr>
      <w:tblGrid>
        <w:gridCol w:w="3717"/>
        <w:gridCol w:w="1373"/>
        <w:gridCol w:w="1050"/>
        <w:gridCol w:w="969"/>
        <w:gridCol w:w="808"/>
      </w:tblGrid>
      <w:tr>
        <w:trPr>
          <w:tblHeader w:val="on"/>
        </w:trPr>
        <w:tc>
          <w:tcPr/>
          <w:p>
            <w:pPr>
              <w:pStyle w:val="Compact"/>
            </w:pPr>
            <w:r>
              <w:t xml:space="preserve">Scheme</w:t>
            </w:r>
          </w:p>
        </w:tc>
        <w:tc>
          <w:tcPr/>
          <w:p>
            <w:pPr>
              <w:pStyle w:val="Compact"/>
            </w:pPr>
            <w:r>
              <w:t xml:space="preserve">Specialty</w:t>
            </w:r>
          </w:p>
        </w:tc>
        <w:tc>
          <w:tcPr/>
          <w:p>
            <w:pPr>
              <w:pStyle w:val="Compact"/>
            </w:pPr>
            <w:r>
              <w:t xml:space="preserve">N providers</w:t>
            </w:r>
          </w:p>
        </w:tc>
        <w:tc>
          <w:tcPr/>
          <w:p>
            <w:pPr>
              <w:pStyle w:val="Compact"/>
            </w:pPr>
            <w:r>
              <w:t xml:space="preserve">Procedures</w:t>
            </w:r>
          </w:p>
        </w:tc>
        <w:tc>
          <w:tcPr/>
          <w:p>
            <w:pPr>
              <w:pStyle w:val="Compact"/>
            </w:pPr>
            <w:r>
              <w:t xml:space="preserve">% of all</w:t>
            </w:r>
          </w:p>
        </w:tc>
      </w:tr>
      <w:tr>
        <w:tc>
          <w:tcPr/>
          <w:p>
            <w:pPr>
              <w:pStyle w:val="Compact"/>
            </w:pPr>
            <w:r>
              <w:t xml:space="preserve">Time-varying (per physician-year)</w:t>
            </w:r>
          </w:p>
        </w:tc>
        <w:tc>
          <w:tcPr/>
          <w:p>
            <w:pPr>
              <w:pStyle w:val="Compact"/>
            </w:pPr>
            <w:r>
              <w:t xml:space="preserve">General OB/GYN</w:t>
            </w:r>
          </w:p>
        </w:tc>
        <w:tc>
          <w:tcPr/>
          <w:p>
            <w:pPr>
              <w:pStyle w:val="Compact"/>
            </w:pPr>
            <w:r>
              <w:t xml:space="preserve">336</w:t>
            </w:r>
          </w:p>
        </w:tc>
        <w:tc>
          <w:tcPr/>
          <w:p>
            <w:pPr>
              <w:pStyle w:val="Compact"/>
            </w:pPr>
            <w:r>
              <w:t xml:space="preserve">18316</w:t>
            </w:r>
          </w:p>
        </w:tc>
        <w:tc>
          <w:tcPr/>
          <w:p>
            <w:pPr>
              <w:pStyle w:val="Compact"/>
            </w:pPr>
            <w:r>
              <w:t xml:space="preserve">13.0%</w:t>
            </w:r>
          </w:p>
        </w:tc>
      </w:tr>
      <w:tr>
        <w:tc>
          <w:tcPr/>
          <w:p>
            <w:pPr>
              <w:pStyle w:val="Compact"/>
            </w:pPr>
            <w:r>
              <w:t xml:space="preserve">Time-varying (per physician-year)</w:t>
            </w:r>
          </w:p>
        </w:tc>
        <w:tc>
          <w:tcPr/>
          <w:p>
            <w:pPr>
              <w:pStyle w:val="Compact"/>
            </w:pPr>
            <w:r>
              <w:t xml:space="preserve">MIGS</w:t>
            </w:r>
          </w:p>
        </w:tc>
        <w:tc>
          <w:tcPr/>
          <w:p>
            <w:pPr>
              <w:pStyle w:val="Compact"/>
            </w:pPr>
            <w:r>
              <w:t xml:space="preserve">10</w:t>
            </w:r>
          </w:p>
        </w:tc>
        <w:tc>
          <w:tcPr/>
          <w:p>
            <w:pPr>
              <w:pStyle w:val="Compact"/>
            </w:pPr>
            <w:r>
              <w:t xml:space="preserve">941</w:t>
            </w:r>
          </w:p>
        </w:tc>
        <w:tc>
          <w:tcPr/>
          <w:p>
            <w:pPr>
              <w:pStyle w:val="Compact"/>
            </w:pPr>
            <w:r>
              <w:t xml:space="preserve">0.7%</w:t>
            </w:r>
          </w:p>
        </w:tc>
      </w:tr>
      <w:tr>
        <w:tc>
          <w:tcPr/>
          <w:p>
            <w:pPr>
              <w:pStyle w:val="Compact"/>
            </w:pPr>
            <w:r>
              <w:t xml:space="preserve">Time-varying (per physician-year)</w:t>
            </w:r>
          </w:p>
        </w:tc>
        <w:tc>
          <w:tcPr/>
          <w:p>
            <w:pPr>
              <w:pStyle w:val="Compact"/>
            </w:pPr>
            <w:r>
              <w:t xml:space="preserve">Other/uncertain</w:t>
            </w:r>
          </w:p>
        </w:tc>
        <w:tc>
          <w:tcPr/>
          <w:p>
            <w:pPr>
              <w:pStyle w:val="Compact"/>
            </w:pPr>
            <w:r>
              <w:t xml:space="preserve">200</w:t>
            </w:r>
          </w:p>
        </w:tc>
        <w:tc>
          <w:tcPr/>
          <w:p>
            <w:pPr>
              <w:pStyle w:val="Compact"/>
            </w:pPr>
            <w:r>
              <w:t xml:space="preserve">11504</w:t>
            </w:r>
          </w:p>
        </w:tc>
        <w:tc>
          <w:tcPr/>
          <w:p>
            <w:pPr>
              <w:pStyle w:val="Compact"/>
            </w:pPr>
            <w:r>
              <w:t xml:space="preserve">8.2%</w:t>
            </w:r>
          </w:p>
        </w:tc>
      </w:tr>
      <w:tr>
        <w:tc>
          <w:tcPr/>
          <w:p>
            <w:pPr>
              <w:pStyle w:val="Compact"/>
            </w:pPr>
            <w:r>
              <w:t xml:space="preserve">Time-varying (per physician-year)</w:t>
            </w:r>
          </w:p>
        </w:tc>
        <w:tc>
          <w:tcPr/>
          <w:p>
            <w:pPr>
              <w:pStyle w:val="Compact"/>
            </w:pPr>
            <w:r>
              <w:t xml:space="preserve">URPS</w:t>
            </w:r>
          </w:p>
        </w:tc>
        <w:tc>
          <w:tcPr/>
          <w:p>
            <w:pPr>
              <w:pStyle w:val="Compact"/>
            </w:pPr>
            <w:r>
              <w:t xml:space="preserve">767</w:t>
            </w:r>
          </w:p>
        </w:tc>
        <w:tc>
          <w:tcPr/>
          <w:p>
            <w:pPr>
              <w:pStyle w:val="Compact"/>
            </w:pPr>
            <w:r>
              <w:t xml:space="preserve">89773</w:t>
            </w:r>
          </w:p>
        </w:tc>
        <w:tc>
          <w:tcPr/>
          <w:p>
            <w:pPr>
              <w:pStyle w:val="Compact"/>
            </w:pPr>
            <w:r>
              <w:t xml:space="preserve">63.7%</w:t>
            </w:r>
          </w:p>
        </w:tc>
      </w:tr>
      <w:tr>
        <w:tc>
          <w:tcPr/>
          <w:p>
            <w:pPr>
              <w:pStyle w:val="Compact"/>
            </w:pPr>
            <w:r>
              <w:t xml:space="preserve">Time-varying (per physician-year)</w:t>
            </w:r>
          </w:p>
        </w:tc>
        <w:tc>
          <w:tcPr/>
          <w:p>
            <w:pPr>
              <w:pStyle w:val="Compact"/>
            </w:pPr>
            <w:r>
              <w:t xml:space="preserve">Urology</w:t>
            </w:r>
          </w:p>
        </w:tc>
        <w:tc>
          <w:tcPr/>
          <w:p>
            <w:pPr>
              <w:pStyle w:val="Compact"/>
            </w:pPr>
            <w:r>
              <w:t xml:space="preserve">366</w:t>
            </w:r>
          </w:p>
        </w:tc>
        <w:tc>
          <w:tcPr/>
          <w:p>
            <w:pPr>
              <w:pStyle w:val="Compact"/>
            </w:pPr>
            <w:r>
              <w:t xml:space="preserve">20475</w:t>
            </w:r>
          </w:p>
        </w:tc>
        <w:tc>
          <w:tcPr/>
          <w:p>
            <w:pPr>
              <w:pStyle w:val="Compact"/>
            </w:pPr>
            <w:r>
              <w:t xml:space="preserve">14.5%</w:t>
            </w:r>
          </w:p>
        </w:tc>
      </w:tr>
      <w:tr>
        <w:tc>
          <w:tcPr/>
          <w:p>
            <w:pPr>
              <w:pStyle w:val="Compact"/>
            </w:pPr>
            <w:r>
              <w:t xml:space="preserve">Modal (single most-frequent specialty)</w:t>
            </w:r>
          </w:p>
        </w:tc>
        <w:tc>
          <w:tcPr/>
          <w:p>
            <w:pPr>
              <w:pStyle w:val="Compact"/>
            </w:pPr>
            <w:r>
              <w:t xml:space="preserve">General OB/GYN</w:t>
            </w:r>
          </w:p>
        </w:tc>
        <w:tc>
          <w:tcPr/>
          <w:p>
            <w:pPr>
              <w:pStyle w:val="Compact"/>
            </w:pPr>
            <w:r>
              <w:t xml:space="preserve">332</w:t>
            </w:r>
          </w:p>
        </w:tc>
        <w:tc>
          <w:tcPr/>
          <w:p>
            <w:pPr>
              <w:pStyle w:val="Compact"/>
            </w:pPr>
            <w:r>
              <w:t xml:space="preserve">18287</w:t>
            </w:r>
          </w:p>
        </w:tc>
        <w:tc>
          <w:tcPr/>
          <w:p>
            <w:pPr>
              <w:pStyle w:val="Compact"/>
            </w:pPr>
            <w:r>
              <w:t xml:space="preserve">13.0%</w:t>
            </w:r>
          </w:p>
        </w:tc>
      </w:tr>
      <w:tr>
        <w:tc>
          <w:tcPr/>
          <w:p>
            <w:pPr>
              <w:pStyle w:val="Compact"/>
            </w:pPr>
            <w:r>
              <w:t xml:space="preserve">Modal (single most-frequent specialty)</w:t>
            </w:r>
          </w:p>
        </w:tc>
        <w:tc>
          <w:tcPr/>
          <w:p>
            <w:pPr>
              <w:pStyle w:val="Compact"/>
            </w:pPr>
            <w:r>
              <w:t xml:space="preserve">MIGS</w:t>
            </w:r>
          </w:p>
        </w:tc>
        <w:tc>
          <w:tcPr/>
          <w:p>
            <w:pPr>
              <w:pStyle w:val="Compact"/>
            </w:pPr>
            <w:r>
              <w:t xml:space="preserve">10</w:t>
            </w:r>
          </w:p>
        </w:tc>
        <w:tc>
          <w:tcPr/>
          <w:p>
            <w:pPr>
              <w:pStyle w:val="Compact"/>
            </w:pPr>
            <w:r>
              <w:t xml:space="preserve">941</w:t>
            </w:r>
          </w:p>
        </w:tc>
        <w:tc>
          <w:tcPr/>
          <w:p>
            <w:pPr>
              <w:pStyle w:val="Compact"/>
            </w:pPr>
            <w:r>
              <w:t xml:space="preserve">0.7%</w:t>
            </w:r>
          </w:p>
        </w:tc>
      </w:tr>
      <w:tr>
        <w:tc>
          <w:tcPr/>
          <w:p>
            <w:pPr>
              <w:pStyle w:val="Compact"/>
            </w:pPr>
            <w:r>
              <w:t xml:space="preserve">Modal (single most-frequent specialty)</w:t>
            </w:r>
          </w:p>
        </w:tc>
        <w:tc>
          <w:tcPr/>
          <w:p>
            <w:pPr>
              <w:pStyle w:val="Compact"/>
            </w:pPr>
            <w:r>
              <w:t xml:space="preserve">Other/uncertain</w:t>
            </w:r>
          </w:p>
        </w:tc>
        <w:tc>
          <w:tcPr/>
          <w:p>
            <w:pPr>
              <w:pStyle w:val="Compact"/>
            </w:pPr>
            <w:r>
              <w:t xml:space="preserve">200</w:t>
            </w:r>
          </w:p>
        </w:tc>
        <w:tc>
          <w:tcPr/>
          <w:p>
            <w:pPr>
              <w:pStyle w:val="Compact"/>
            </w:pPr>
            <w:r>
              <w:t xml:space="preserve">11504</w:t>
            </w:r>
          </w:p>
        </w:tc>
        <w:tc>
          <w:tcPr/>
          <w:p>
            <w:pPr>
              <w:pStyle w:val="Compact"/>
            </w:pPr>
            <w:r>
              <w:t xml:space="preserve">8.2%</w:t>
            </w:r>
          </w:p>
        </w:tc>
      </w:tr>
      <w:tr>
        <w:tc>
          <w:tcPr/>
          <w:p>
            <w:pPr>
              <w:pStyle w:val="Compact"/>
            </w:pPr>
            <w:r>
              <w:t xml:space="preserve">Modal (single most-frequent specialty)</w:t>
            </w:r>
          </w:p>
        </w:tc>
        <w:tc>
          <w:tcPr/>
          <w:p>
            <w:pPr>
              <w:pStyle w:val="Compact"/>
            </w:pPr>
            <w:r>
              <w:t xml:space="preserve">URPS</w:t>
            </w:r>
          </w:p>
        </w:tc>
        <w:tc>
          <w:tcPr/>
          <w:p>
            <w:pPr>
              <w:pStyle w:val="Compact"/>
            </w:pPr>
            <w:r>
              <w:t xml:space="preserve">766</w:t>
            </w:r>
          </w:p>
        </w:tc>
        <w:tc>
          <w:tcPr/>
          <w:p>
            <w:pPr>
              <w:pStyle w:val="Compact"/>
            </w:pPr>
            <w:r>
              <w:t xml:space="preserve">90107</w:t>
            </w:r>
          </w:p>
        </w:tc>
        <w:tc>
          <w:tcPr/>
          <w:p>
            <w:pPr>
              <w:pStyle w:val="Compact"/>
            </w:pPr>
            <w:r>
              <w:t xml:space="preserve">63.9%</w:t>
            </w:r>
          </w:p>
        </w:tc>
      </w:tr>
      <w:tr>
        <w:tc>
          <w:tcPr/>
          <w:p>
            <w:pPr>
              <w:pStyle w:val="Compact"/>
            </w:pPr>
            <w:r>
              <w:t xml:space="preserve">Modal (single most-frequent specialty)</w:t>
            </w:r>
          </w:p>
        </w:tc>
        <w:tc>
          <w:tcPr/>
          <w:p>
            <w:pPr>
              <w:pStyle w:val="Compact"/>
            </w:pPr>
            <w:r>
              <w:t xml:space="preserve">Urology</w:t>
            </w:r>
          </w:p>
        </w:tc>
        <w:tc>
          <w:tcPr/>
          <w:p>
            <w:pPr>
              <w:pStyle w:val="Compact"/>
            </w:pPr>
            <w:r>
              <w:t xml:space="preserve">358</w:t>
            </w:r>
          </w:p>
        </w:tc>
        <w:tc>
          <w:tcPr/>
          <w:p>
            <w:pPr>
              <w:pStyle w:val="Compact"/>
            </w:pPr>
            <w:r>
              <w:t xml:space="preserve">20170</w:t>
            </w:r>
          </w:p>
        </w:tc>
        <w:tc>
          <w:tcPr/>
          <w:p>
            <w:pPr>
              <w:pStyle w:val="Compact"/>
            </w:pPr>
            <w:r>
              <w:t xml:space="preserve">14.3%</w:t>
            </w:r>
          </w:p>
        </w:tc>
      </w:tr>
      <w:tr>
        <w:tc>
          <w:tcPr/>
          <w:p>
            <w:pPr>
              <w:pStyle w:val="Compact"/>
            </w:pPr>
            <w:r>
              <w:t xml:space="preserve">Ever URPS/MIGS</w:t>
            </w:r>
          </w:p>
        </w:tc>
        <w:tc>
          <w:tcPr/>
          <w:p>
            <w:pPr>
              <w:pStyle w:val="Compact"/>
            </w:pPr>
            <w:r>
              <w:t xml:space="preserve">General OB/GYN</w:t>
            </w:r>
          </w:p>
        </w:tc>
        <w:tc>
          <w:tcPr/>
          <w:p>
            <w:pPr>
              <w:pStyle w:val="Compact"/>
            </w:pPr>
            <w:r>
              <w:t xml:space="preserve">332</w:t>
            </w:r>
          </w:p>
        </w:tc>
        <w:tc>
          <w:tcPr/>
          <w:p>
            <w:pPr>
              <w:pStyle w:val="Compact"/>
            </w:pPr>
            <w:r>
              <w:t xml:space="preserve">18287</w:t>
            </w:r>
          </w:p>
        </w:tc>
        <w:tc>
          <w:tcPr/>
          <w:p>
            <w:pPr>
              <w:pStyle w:val="Compact"/>
            </w:pPr>
            <w:r>
              <w:t xml:space="preserve">13.0%</w:t>
            </w:r>
          </w:p>
        </w:tc>
      </w:tr>
      <w:tr>
        <w:tc>
          <w:tcPr/>
          <w:p>
            <w:pPr>
              <w:pStyle w:val="Compact"/>
            </w:pPr>
            <w:r>
              <w:t xml:space="preserve">Ever URPS/MIGS</w:t>
            </w:r>
          </w:p>
        </w:tc>
        <w:tc>
          <w:tcPr/>
          <w:p>
            <w:pPr>
              <w:pStyle w:val="Compact"/>
            </w:pPr>
            <w:r>
              <w:t xml:space="preserve">MIGS</w:t>
            </w:r>
          </w:p>
        </w:tc>
        <w:tc>
          <w:tcPr/>
          <w:p>
            <w:pPr>
              <w:pStyle w:val="Compact"/>
            </w:pPr>
            <w:r>
              <w:t xml:space="preserve">10</w:t>
            </w:r>
          </w:p>
        </w:tc>
        <w:tc>
          <w:tcPr/>
          <w:p>
            <w:pPr>
              <w:pStyle w:val="Compact"/>
            </w:pPr>
            <w:r>
              <w:t xml:space="preserve">941</w:t>
            </w:r>
          </w:p>
        </w:tc>
        <w:tc>
          <w:tcPr/>
          <w:p>
            <w:pPr>
              <w:pStyle w:val="Compact"/>
            </w:pPr>
            <w:r>
              <w:t xml:space="preserve">0.7%</w:t>
            </w:r>
          </w:p>
        </w:tc>
      </w:tr>
      <w:tr>
        <w:tc>
          <w:tcPr/>
          <w:p>
            <w:pPr>
              <w:pStyle w:val="Compact"/>
            </w:pPr>
            <w:r>
              <w:t xml:space="preserve">Ever URPS/MIGS</w:t>
            </w:r>
          </w:p>
        </w:tc>
        <w:tc>
          <w:tcPr/>
          <w:p>
            <w:pPr>
              <w:pStyle w:val="Compact"/>
            </w:pPr>
            <w:r>
              <w:t xml:space="preserve">Other/uncertain</w:t>
            </w:r>
          </w:p>
        </w:tc>
        <w:tc>
          <w:tcPr/>
          <w:p>
            <w:pPr>
              <w:pStyle w:val="Compact"/>
            </w:pPr>
            <w:r>
              <w:t xml:space="preserve">200</w:t>
            </w:r>
          </w:p>
        </w:tc>
        <w:tc>
          <w:tcPr/>
          <w:p>
            <w:pPr>
              <w:pStyle w:val="Compact"/>
            </w:pPr>
            <w:r>
              <w:t xml:space="preserve">11504</w:t>
            </w:r>
          </w:p>
        </w:tc>
        <w:tc>
          <w:tcPr/>
          <w:p>
            <w:pPr>
              <w:pStyle w:val="Compact"/>
            </w:pPr>
            <w:r>
              <w:t xml:space="preserve">8.2%</w:t>
            </w:r>
          </w:p>
        </w:tc>
      </w:tr>
      <w:tr>
        <w:tc>
          <w:tcPr/>
          <w:p>
            <w:pPr>
              <w:pStyle w:val="Compact"/>
            </w:pPr>
            <w:r>
              <w:t xml:space="preserve">Ever URPS/MIGS</w:t>
            </w:r>
          </w:p>
        </w:tc>
        <w:tc>
          <w:tcPr/>
          <w:p>
            <w:pPr>
              <w:pStyle w:val="Compact"/>
            </w:pPr>
            <w:r>
              <w:t xml:space="preserve">URPS</w:t>
            </w:r>
          </w:p>
        </w:tc>
        <w:tc>
          <w:tcPr/>
          <w:p>
            <w:pPr>
              <w:pStyle w:val="Compact"/>
            </w:pPr>
            <w:r>
              <w:t xml:space="preserve">767</w:t>
            </w:r>
          </w:p>
        </w:tc>
        <w:tc>
          <w:tcPr/>
          <w:p>
            <w:pPr>
              <w:pStyle w:val="Compact"/>
            </w:pPr>
            <w:r>
              <w:t xml:space="preserve">90686</w:t>
            </w:r>
          </w:p>
        </w:tc>
        <w:tc>
          <w:tcPr/>
          <w:p>
            <w:pPr>
              <w:pStyle w:val="Compact"/>
            </w:pPr>
            <w:r>
              <w:t xml:space="preserve">64.3%</w:t>
            </w:r>
          </w:p>
        </w:tc>
      </w:tr>
      <w:tr>
        <w:tc>
          <w:tcPr/>
          <w:p>
            <w:pPr>
              <w:pStyle w:val="Compact"/>
            </w:pPr>
            <w:r>
              <w:t xml:space="preserve">Ever URPS/MIGS</w:t>
            </w:r>
          </w:p>
        </w:tc>
        <w:tc>
          <w:tcPr/>
          <w:p>
            <w:pPr>
              <w:pStyle w:val="Compact"/>
            </w:pPr>
            <w:r>
              <w:t xml:space="preserve">Urology</w:t>
            </w:r>
          </w:p>
        </w:tc>
        <w:tc>
          <w:tcPr/>
          <w:p>
            <w:pPr>
              <w:pStyle w:val="Compact"/>
            </w:pPr>
            <w:r>
              <w:t xml:space="preserve">357</w:t>
            </w:r>
          </w:p>
        </w:tc>
        <w:tc>
          <w:tcPr/>
          <w:p>
            <w:pPr>
              <w:pStyle w:val="Compact"/>
            </w:pPr>
            <w:r>
              <w:t xml:space="preserve">19591</w:t>
            </w:r>
          </w:p>
        </w:tc>
        <w:tc>
          <w:tcPr/>
          <w:p>
            <w:pPr>
              <w:pStyle w:val="Compact"/>
            </w:pPr>
            <w:r>
              <w:t xml:space="preserve">13.9%</w:t>
            </w:r>
          </w:p>
        </w:tc>
      </w:tr>
      <w:tr>
        <w:tc>
          <w:tcPr/>
          <w:p>
            <w:pPr>
              <w:pStyle w:val="Compact"/>
            </w:pPr>
            <w:r>
              <w:t xml:space="preserve">Time-varying cert-gated (ABOG sub1startdate)</w:t>
            </w:r>
          </w:p>
        </w:tc>
        <w:tc>
          <w:tcPr/>
          <w:p>
            <w:pPr>
              <w:pStyle w:val="Compact"/>
            </w:pPr>
            <w:r>
              <w:t xml:space="preserve">General OB/GYN</w:t>
            </w:r>
          </w:p>
        </w:tc>
        <w:tc>
          <w:tcPr/>
          <w:p>
            <w:pPr>
              <w:pStyle w:val="Compact"/>
            </w:pPr>
            <w:r>
              <w:t xml:space="preserve">533</w:t>
            </w:r>
          </w:p>
        </w:tc>
        <w:tc>
          <w:tcPr/>
          <w:p>
            <w:pPr>
              <w:pStyle w:val="Compact"/>
            </w:pPr>
            <w:r>
              <w:t xml:space="preserve">27453</w:t>
            </w:r>
          </w:p>
        </w:tc>
        <w:tc>
          <w:tcPr/>
          <w:p>
            <w:pPr>
              <w:pStyle w:val="Compact"/>
            </w:pPr>
            <w:r>
              <w:t xml:space="preserve">19.5%</w:t>
            </w:r>
          </w:p>
        </w:tc>
      </w:tr>
      <w:tr>
        <w:tc>
          <w:tcPr/>
          <w:p>
            <w:pPr>
              <w:pStyle w:val="Compact"/>
            </w:pPr>
            <w:r>
              <w:t xml:space="preserve">Time-varying cert-gated (ABOG sub1startdate)</w:t>
            </w:r>
          </w:p>
        </w:tc>
        <w:tc>
          <w:tcPr/>
          <w:p>
            <w:pPr>
              <w:pStyle w:val="Compact"/>
            </w:pPr>
            <w:r>
              <w:t xml:space="preserve">MIGS</w:t>
            </w:r>
          </w:p>
        </w:tc>
        <w:tc>
          <w:tcPr/>
          <w:p>
            <w:pPr>
              <w:pStyle w:val="Compact"/>
            </w:pPr>
            <w:r>
              <w:t xml:space="preserve">5</w:t>
            </w:r>
          </w:p>
        </w:tc>
        <w:tc>
          <w:tcPr/>
          <w:p>
            <w:pPr>
              <w:pStyle w:val="Compact"/>
            </w:pPr>
            <w:r>
              <w:t xml:space="preserve">201</w:t>
            </w:r>
          </w:p>
        </w:tc>
        <w:tc>
          <w:tcPr/>
          <w:p>
            <w:pPr>
              <w:pStyle w:val="Compact"/>
            </w:pPr>
            <w:r>
              <w:t xml:space="preserve">0.1%</w:t>
            </w:r>
          </w:p>
        </w:tc>
      </w:tr>
      <w:tr>
        <w:tc>
          <w:tcPr/>
          <w:p>
            <w:pPr>
              <w:pStyle w:val="Compact"/>
            </w:pPr>
            <w:r>
              <w:t xml:space="preserve">Time-varying cert-gated (ABOG sub1startdate)</w:t>
            </w:r>
          </w:p>
        </w:tc>
        <w:tc>
          <w:tcPr/>
          <w:p>
            <w:pPr>
              <w:pStyle w:val="Compact"/>
            </w:pPr>
            <w:r>
              <w:t xml:space="preserve">Other/uncertain</w:t>
            </w:r>
          </w:p>
        </w:tc>
        <w:tc>
          <w:tcPr/>
          <w:p>
            <w:pPr>
              <w:pStyle w:val="Compact"/>
            </w:pPr>
            <w:r>
              <w:t xml:space="preserve">200</w:t>
            </w:r>
          </w:p>
        </w:tc>
        <w:tc>
          <w:tcPr/>
          <w:p>
            <w:pPr>
              <w:pStyle w:val="Compact"/>
            </w:pPr>
            <w:r>
              <w:t xml:space="preserve">11492</w:t>
            </w:r>
          </w:p>
        </w:tc>
        <w:tc>
          <w:tcPr/>
          <w:p>
            <w:pPr>
              <w:pStyle w:val="Compact"/>
            </w:pPr>
            <w:r>
              <w:t xml:space="preserve">8.1%</w:t>
            </w:r>
          </w:p>
        </w:tc>
      </w:tr>
      <w:tr>
        <w:tc>
          <w:tcPr/>
          <w:p>
            <w:pPr>
              <w:pStyle w:val="Compact"/>
            </w:pPr>
            <w:r>
              <w:t xml:space="preserve">Time-varying cert-gated (ABOG sub1startdate)</w:t>
            </w:r>
          </w:p>
        </w:tc>
        <w:tc>
          <w:tcPr/>
          <w:p>
            <w:pPr>
              <w:pStyle w:val="Compact"/>
            </w:pPr>
            <w:r>
              <w:t xml:space="preserve">URPS</w:t>
            </w:r>
          </w:p>
        </w:tc>
        <w:tc>
          <w:tcPr/>
          <w:p>
            <w:pPr>
              <w:pStyle w:val="Compact"/>
            </w:pPr>
            <w:r>
              <w:t xml:space="preserve">716</w:t>
            </w:r>
          </w:p>
        </w:tc>
        <w:tc>
          <w:tcPr/>
          <w:p>
            <w:pPr>
              <w:pStyle w:val="Compact"/>
            </w:pPr>
            <w:r>
              <w:t xml:space="preserve">83348</w:t>
            </w:r>
          </w:p>
        </w:tc>
        <w:tc>
          <w:tcPr/>
          <w:p>
            <w:pPr>
              <w:pStyle w:val="Compact"/>
            </w:pPr>
            <w:r>
              <w:t xml:space="preserve">59.1%</w:t>
            </w:r>
          </w:p>
        </w:tc>
      </w:tr>
      <w:tr>
        <w:tc>
          <w:tcPr/>
          <w:p>
            <w:pPr>
              <w:pStyle w:val="Compact"/>
            </w:pPr>
            <w:r>
              <w:t xml:space="preserve">Time-varying cert-gated (ABOG sub1startdate)</w:t>
            </w:r>
          </w:p>
        </w:tc>
        <w:tc>
          <w:tcPr/>
          <w:p>
            <w:pPr>
              <w:pStyle w:val="Compact"/>
            </w:pPr>
            <w:r>
              <w:t xml:space="preserve">Urology</w:t>
            </w:r>
          </w:p>
        </w:tc>
        <w:tc>
          <w:tcPr/>
          <w:p>
            <w:pPr>
              <w:pStyle w:val="Compact"/>
            </w:pPr>
            <w:r>
              <w:t xml:space="preserve">353</w:t>
            </w:r>
          </w:p>
        </w:tc>
        <w:tc>
          <w:tcPr/>
          <w:p>
            <w:pPr>
              <w:pStyle w:val="Compact"/>
            </w:pPr>
            <w:r>
              <w:t xml:space="preserve">18515</w:t>
            </w:r>
          </w:p>
        </w:tc>
        <w:tc>
          <w:tcPr/>
          <w:p>
            <w:pPr>
              <w:pStyle w:val="Compact"/>
            </w:pPr>
            <w:r>
              <w:t xml:space="preserve">13.1%</w:t>
            </w:r>
          </w:p>
        </w:tc>
      </w:tr>
    </w:tbl>
    <w:p>
      <w:pPr>
        <w:pStyle w:val="BodyText"/>
      </w:pPr>
      <w:r>
        <w:rPr>
          <w:b/>
          <w:bCs/>
        </w:rPr>
        <w:t xml:space="preserve">Supplementary Table S6b.</w:t>
      </w:r>
      <w:r>
        <w:t xml:space="preserve"> </w:t>
      </w:r>
      <w:r>
        <w:t xml:space="preserve">All-pathway URPS and OB/GYN-based market-share trends under each classification scheme. The URPS increase remains positive and significant in every scheme.</w:t>
      </w:r>
    </w:p>
    <w:tbl>
      <w:tblPr>
        <w:tblStyle w:val="Table"/>
        <w:tblW w:type="pct" w:w="5000"/>
        <w:tblLayout w:type="fixed"/>
        <w:tblLook w:firstRow="1" w:lastRow="0" w:firstColumn="0" w:lastColumn="0" w:noHBand="0" w:noVBand="0" w:val="0020"/>
      </w:tblPr>
      <w:tblGrid>
        <w:gridCol w:w="3607"/>
        <w:gridCol w:w="1568"/>
        <w:gridCol w:w="627"/>
        <w:gridCol w:w="1489"/>
        <w:gridCol w:w="627"/>
      </w:tblGrid>
      <w:tr>
        <w:trPr>
          <w:tblHeader w:val="on"/>
        </w:trPr>
        <w:tc>
          <w:tcPr/>
          <w:p>
            <w:pPr>
              <w:pStyle w:val="Compact"/>
            </w:pPr>
            <w:r>
              <w:t xml:space="preserve">Scheme</w:t>
            </w:r>
          </w:p>
        </w:tc>
        <w:tc>
          <w:tcPr/>
          <w:p>
            <w:pPr>
              <w:pStyle w:val="Compact"/>
            </w:pPr>
            <w:r>
              <w:t xml:space="preserve">URPS slope (pp/yr)</w:t>
            </w:r>
          </w:p>
        </w:tc>
        <w:tc>
          <w:tcPr/>
          <w:p>
            <w:pPr>
              <w:pStyle w:val="Compact"/>
            </w:pPr>
            <w:r>
              <w:t xml:space="preserve">URPS p</w:t>
            </w:r>
          </w:p>
        </w:tc>
        <w:tc>
          <w:tcPr/>
          <w:p>
            <w:pPr>
              <w:pStyle w:val="Compact"/>
            </w:pPr>
            <w:r>
              <w:t xml:space="preserve">Gyn slope (pp/yr)</w:t>
            </w:r>
          </w:p>
        </w:tc>
        <w:tc>
          <w:tcPr/>
          <w:p>
            <w:pPr>
              <w:pStyle w:val="Compact"/>
            </w:pPr>
            <w:r>
              <w:t xml:space="preserve">Gyn p</w:t>
            </w:r>
          </w:p>
        </w:tc>
      </w:tr>
      <w:tr>
        <w:tc>
          <w:tcPr/>
          <w:p>
            <w:pPr>
              <w:pStyle w:val="Compact"/>
            </w:pPr>
            <w:r>
              <w:t xml:space="preserve">Time-varying (per physician-year)</w:t>
            </w:r>
          </w:p>
        </w:tc>
        <w:tc>
          <w:tcPr/>
          <w:p>
            <w:pPr>
              <w:pStyle w:val="Compact"/>
            </w:pPr>
            <w:r>
              <w:t xml:space="preserve">1.116</w:t>
            </w:r>
          </w:p>
        </w:tc>
        <w:tc>
          <w:tcPr/>
          <w:p>
            <w:pPr>
              <w:pStyle w:val="Compact"/>
            </w:pPr>
            <w:r>
              <w:t xml:space="preserve">&lt;0.001</w:t>
            </w:r>
          </w:p>
        </w:tc>
        <w:tc>
          <w:tcPr/>
          <w:p>
            <w:pPr>
              <w:pStyle w:val="Compact"/>
            </w:pPr>
            <w:r>
              <w:t xml:space="preserve">0.796</w:t>
            </w:r>
          </w:p>
        </w:tc>
        <w:tc>
          <w:tcPr/>
          <w:p>
            <w:pPr>
              <w:pStyle w:val="Compact"/>
            </w:pPr>
            <w:r>
              <w:t xml:space="preserve">&lt;0.001</w:t>
            </w:r>
          </w:p>
        </w:tc>
      </w:tr>
      <w:tr>
        <w:tc>
          <w:tcPr/>
          <w:p>
            <w:pPr>
              <w:pStyle w:val="Compact"/>
            </w:pPr>
            <w:r>
              <w:t xml:space="preserve">Modal (single most-frequent specialty)</w:t>
            </w:r>
          </w:p>
        </w:tc>
        <w:tc>
          <w:tcPr/>
          <w:p>
            <w:pPr>
              <w:pStyle w:val="Compact"/>
            </w:pPr>
            <w:r>
              <w:t xml:space="preserve">1.200</w:t>
            </w:r>
          </w:p>
        </w:tc>
        <w:tc>
          <w:tcPr/>
          <w:p>
            <w:pPr>
              <w:pStyle w:val="Compact"/>
            </w:pPr>
            <w:r>
              <w:t xml:space="preserve">&lt;0.001</w:t>
            </w:r>
          </w:p>
        </w:tc>
        <w:tc>
          <w:tcPr/>
          <w:p>
            <w:pPr>
              <w:pStyle w:val="Compact"/>
            </w:pPr>
            <w:r>
              <w:t xml:space="preserve">0.906</w:t>
            </w:r>
          </w:p>
        </w:tc>
        <w:tc>
          <w:tcPr/>
          <w:p>
            <w:pPr>
              <w:pStyle w:val="Compact"/>
            </w:pPr>
            <w:r>
              <w:t xml:space="preserve">&lt;0.001</w:t>
            </w:r>
          </w:p>
        </w:tc>
      </w:tr>
      <w:tr>
        <w:tc>
          <w:tcPr/>
          <w:p>
            <w:pPr>
              <w:pStyle w:val="Compact"/>
            </w:pPr>
            <w:r>
              <w:t xml:space="preserve">Ever URPS/MIGS</w:t>
            </w:r>
          </w:p>
        </w:tc>
        <w:tc>
          <w:tcPr/>
          <w:p>
            <w:pPr>
              <w:pStyle w:val="Compact"/>
            </w:pPr>
            <w:r>
              <w:t xml:space="preserve">1.174</w:t>
            </w:r>
          </w:p>
        </w:tc>
        <w:tc>
          <w:tcPr/>
          <w:p>
            <w:pPr>
              <w:pStyle w:val="Compact"/>
            </w:pPr>
            <w:r>
              <w:t xml:space="preserve">&lt;0.001</w:t>
            </w:r>
          </w:p>
        </w:tc>
        <w:tc>
          <w:tcPr/>
          <w:p>
            <w:pPr>
              <w:pStyle w:val="Compact"/>
            </w:pPr>
            <w:r>
              <w:t xml:space="preserve">0.881</w:t>
            </w:r>
          </w:p>
        </w:tc>
        <w:tc>
          <w:tcPr/>
          <w:p>
            <w:pPr>
              <w:pStyle w:val="Compact"/>
            </w:pPr>
            <w:r>
              <w:t xml:space="preserve">&lt;0.001</w:t>
            </w:r>
          </w:p>
        </w:tc>
      </w:tr>
      <w:tr>
        <w:tc>
          <w:tcPr/>
          <w:p>
            <w:pPr>
              <w:pStyle w:val="Compact"/>
            </w:pPr>
            <w:r>
              <w:t xml:space="preserve">Time-varying cert-gated (ABOG sub1startdate)</w:t>
            </w:r>
          </w:p>
        </w:tc>
        <w:tc>
          <w:tcPr/>
          <w:p>
            <w:pPr>
              <w:pStyle w:val="Compact"/>
            </w:pPr>
            <w:r>
              <w:t xml:space="preserve">1.762</w:t>
            </w:r>
          </w:p>
        </w:tc>
        <w:tc>
          <w:tcPr/>
          <w:p>
            <w:pPr>
              <w:pStyle w:val="Compact"/>
            </w:pPr>
            <w:r>
              <w:t xml:space="preserve">&lt;0.001</w:t>
            </w:r>
          </w:p>
        </w:tc>
        <w:tc>
          <w:tcPr/>
          <w:p>
            <w:pPr>
              <w:pStyle w:val="Compact"/>
            </w:pPr>
            <w:r>
              <w:t xml:space="preserve">0.792</w:t>
            </w:r>
          </w:p>
        </w:tc>
        <w:tc>
          <w:tcPr/>
          <w:p>
            <w:pPr>
              <w:pStyle w:val="Compact"/>
            </w:pPr>
            <w:r>
              <w:t xml:space="preserve">&lt;0.001</w:t>
            </w:r>
          </w:p>
        </w:tc>
      </w:tr>
    </w:tbl>
    <w:p>
      <w:pPr>
        <w:pStyle w:val="BodyText"/>
      </w:pPr>
      <w:r>
        <w:rPr>
          <w:b/>
          <w:bCs/>
        </w:rPr>
        <w:t xml:space="preserve">Supplementary Table S7.</w:t>
      </w:r>
      <w:r>
        <w:t xml:space="preserve"> </w:t>
      </w:r>
      <w:r>
        <w:t xml:space="preserve">Observable surgeons and URPS share by provider practice state (geography, secondary analysis). A state with no observable URPS surgeon may still have URPS surgeons who each fell below the CMS reporting threshold.</w:t>
      </w:r>
    </w:p>
    <w:tbl>
      <w:tblPr>
        <w:tblStyle w:val="Table"/>
        <w:tblW w:type="pct" w:w="5000"/>
        <w:tblLayout w:type="fixed"/>
        <w:tblLook w:firstRow="1" w:lastRow="0" w:firstColumn="0" w:lastColumn="0" w:noHBand="0" w:noVBand="0" w:val="0020"/>
      </w:tblPr>
      <w:tblGrid>
        <w:gridCol w:w="759"/>
        <w:gridCol w:w="2278"/>
        <w:gridCol w:w="1627"/>
        <w:gridCol w:w="1301"/>
        <w:gridCol w:w="1952"/>
      </w:tblGrid>
      <w:tr>
        <w:trPr>
          <w:tblHeader w:val="on"/>
        </w:trPr>
        <w:tc>
          <w:tcPr/>
          <w:p>
            <w:pPr>
              <w:pStyle w:val="Compact"/>
            </w:pPr>
            <w:r>
              <w:t xml:space="preserve">State</w:t>
            </w:r>
          </w:p>
        </w:tc>
        <w:tc>
          <w:tcPr/>
          <w:p>
            <w:pPr>
              <w:pStyle w:val="Compact"/>
            </w:pPr>
            <w:r>
              <w:t xml:space="preserve">Observable surgeons</w:t>
            </w:r>
          </w:p>
        </w:tc>
        <w:tc>
          <w:tcPr/>
          <w:p>
            <w:pPr>
              <w:pStyle w:val="Compact"/>
            </w:pPr>
            <w:r>
              <w:t xml:space="preserve">URPS surgeons</w:t>
            </w:r>
          </w:p>
        </w:tc>
        <w:tc>
          <w:tcPr/>
          <w:p>
            <w:pPr>
              <w:pStyle w:val="Compact"/>
            </w:pPr>
            <w:r>
              <w:t xml:space="preserve">URPS share</w:t>
            </w:r>
          </w:p>
        </w:tc>
        <w:tc>
          <w:tcPr/>
          <w:p>
            <w:pPr>
              <w:pStyle w:val="Compact"/>
            </w:pPr>
            <w:r>
              <w:t xml:space="preserve">Observable URPS?</w:t>
            </w:r>
          </w:p>
        </w:tc>
      </w:tr>
      <w:tr>
        <w:tc>
          <w:tcPr/>
          <w:p>
            <w:pPr>
              <w:pStyle w:val="Compact"/>
            </w:pPr>
            <w:r>
              <w:t xml:space="preserve">CA</w:t>
            </w:r>
          </w:p>
        </w:tc>
        <w:tc>
          <w:tcPr/>
          <w:p>
            <w:pPr>
              <w:pStyle w:val="Compact"/>
            </w:pPr>
            <w:r>
              <w:t xml:space="preserve">138</w:t>
            </w:r>
          </w:p>
        </w:tc>
        <w:tc>
          <w:tcPr/>
          <w:p>
            <w:pPr>
              <w:pStyle w:val="Compact"/>
            </w:pPr>
            <w:r>
              <w:t xml:space="preserve">50</w:t>
            </w:r>
          </w:p>
        </w:tc>
        <w:tc>
          <w:tcPr/>
          <w:p>
            <w:pPr>
              <w:pStyle w:val="Compact"/>
            </w:pPr>
            <w:r>
              <w:t xml:space="preserve">36.2%</w:t>
            </w:r>
          </w:p>
        </w:tc>
        <w:tc>
          <w:tcPr/>
          <w:p>
            <w:pPr>
              <w:pStyle w:val="Compact"/>
            </w:pPr>
            <w:r>
              <w:t xml:space="preserve">Yes</w:t>
            </w:r>
          </w:p>
        </w:tc>
      </w:tr>
      <w:tr>
        <w:tc>
          <w:tcPr/>
          <w:p>
            <w:pPr>
              <w:pStyle w:val="Compact"/>
            </w:pPr>
            <w:r>
              <w:t xml:space="preserve">TX</w:t>
            </w:r>
          </w:p>
        </w:tc>
        <w:tc>
          <w:tcPr/>
          <w:p>
            <w:pPr>
              <w:pStyle w:val="Compact"/>
            </w:pPr>
            <w:r>
              <w:t xml:space="preserve">133</w:t>
            </w:r>
          </w:p>
        </w:tc>
        <w:tc>
          <w:tcPr/>
          <w:p>
            <w:pPr>
              <w:pStyle w:val="Compact"/>
            </w:pPr>
            <w:r>
              <w:t xml:space="preserve">47</w:t>
            </w:r>
          </w:p>
        </w:tc>
        <w:tc>
          <w:tcPr/>
          <w:p>
            <w:pPr>
              <w:pStyle w:val="Compact"/>
            </w:pPr>
            <w:r>
              <w:t xml:space="preserve">35.3%</w:t>
            </w:r>
          </w:p>
        </w:tc>
        <w:tc>
          <w:tcPr/>
          <w:p>
            <w:pPr>
              <w:pStyle w:val="Compact"/>
            </w:pPr>
            <w:r>
              <w:t xml:space="preserve">Yes</w:t>
            </w:r>
          </w:p>
        </w:tc>
      </w:tr>
      <w:tr>
        <w:tc>
          <w:tcPr/>
          <w:p>
            <w:pPr>
              <w:pStyle w:val="Compact"/>
            </w:pPr>
            <w:r>
              <w:t xml:space="preserve">FL</w:t>
            </w:r>
          </w:p>
        </w:tc>
        <w:tc>
          <w:tcPr/>
          <w:p>
            <w:pPr>
              <w:pStyle w:val="Compact"/>
            </w:pPr>
            <w:r>
              <w:t xml:space="preserve">127</w:t>
            </w:r>
          </w:p>
        </w:tc>
        <w:tc>
          <w:tcPr/>
          <w:p>
            <w:pPr>
              <w:pStyle w:val="Compact"/>
            </w:pPr>
            <w:r>
              <w:t xml:space="preserve">49</w:t>
            </w:r>
          </w:p>
        </w:tc>
        <w:tc>
          <w:tcPr/>
          <w:p>
            <w:pPr>
              <w:pStyle w:val="Compact"/>
            </w:pPr>
            <w:r>
              <w:t xml:space="preserve">38.6%</w:t>
            </w:r>
          </w:p>
        </w:tc>
        <w:tc>
          <w:tcPr/>
          <w:p>
            <w:pPr>
              <w:pStyle w:val="Compact"/>
            </w:pPr>
            <w:r>
              <w:t xml:space="preserve">Yes</w:t>
            </w:r>
          </w:p>
        </w:tc>
      </w:tr>
      <w:tr>
        <w:tc>
          <w:tcPr/>
          <w:p>
            <w:pPr>
              <w:pStyle w:val="Compact"/>
            </w:pPr>
            <w:r>
              <w:t xml:space="preserve">NY</w:t>
            </w:r>
          </w:p>
        </w:tc>
        <w:tc>
          <w:tcPr/>
          <w:p>
            <w:pPr>
              <w:pStyle w:val="Compact"/>
            </w:pPr>
            <w:r>
              <w:t xml:space="preserve">70</w:t>
            </w:r>
          </w:p>
        </w:tc>
        <w:tc>
          <w:tcPr/>
          <w:p>
            <w:pPr>
              <w:pStyle w:val="Compact"/>
            </w:pPr>
            <w:r>
              <w:t xml:space="preserve">41</w:t>
            </w:r>
          </w:p>
        </w:tc>
        <w:tc>
          <w:tcPr/>
          <w:p>
            <w:pPr>
              <w:pStyle w:val="Compact"/>
            </w:pPr>
            <w:r>
              <w:t xml:space="preserve">58.6%</w:t>
            </w:r>
          </w:p>
        </w:tc>
        <w:tc>
          <w:tcPr/>
          <w:p>
            <w:pPr>
              <w:pStyle w:val="Compact"/>
            </w:pPr>
            <w:r>
              <w:t xml:space="preserve">Yes</w:t>
            </w:r>
          </w:p>
        </w:tc>
      </w:tr>
      <w:tr>
        <w:tc>
          <w:tcPr/>
          <w:p>
            <w:pPr>
              <w:pStyle w:val="Compact"/>
            </w:pPr>
            <w:r>
              <w:t xml:space="preserve">IL</w:t>
            </w:r>
          </w:p>
        </w:tc>
        <w:tc>
          <w:tcPr/>
          <w:p>
            <w:pPr>
              <w:pStyle w:val="Compact"/>
            </w:pPr>
            <w:r>
              <w:t xml:space="preserve">62</w:t>
            </w:r>
          </w:p>
        </w:tc>
        <w:tc>
          <w:tcPr/>
          <w:p>
            <w:pPr>
              <w:pStyle w:val="Compact"/>
            </w:pPr>
            <w:r>
              <w:t xml:space="preserve">39</w:t>
            </w:r>
          </w:p>
        </w:tc>
        <w:tc>
          <w:tcPr/>
          <w:p>
            <w:pPr>
              <w:pStyle w:val="Compact"/>
            </w:pPr>
            <w:r>
              <w:t xml:space="preserve">62.9%</w:t>
            </w:r>
          </w:p>
        </w:tc>
        <w:tc>
          <w:tcPr/>
          <w:p>
            <w:pPr>
              <w:pStyle w:val="Compact"/>
            </w:pPr>
            <w:r>
              <w:t xml:space="preserve">Yes</w:t>
            </w:r>
          </w:p>
        </w:tc>
      </w:tr>
      <w:tr>
        <w:tc>
          <w:tcPr/>
          <w:p>
            <w:pPr>
              <w:pStyle w:val="Compact"/>
            </w:pPr>
            <w:r>
              <w:t xml:space="preserve">OH</w:t>
            </w:r>
          </w:p>
        </w:tc>
        <w:tc>
          <w:tcPr/>
          <w:p>
            <w:pPr>
              <w:pStyle w:val="Compact"/>
            </w:pPr>
            <w:r>
              <w:t xml:space="preserve">59</w:t>
            </w:r>
          </w:p>
        </w:tc>
        <w:tc>
          <w:tcPr/>
          <w:p>
            <w:pPr>
              <w:pStyle w:val="Compact"/>
            </w:pPr>
            <w:r>
              <w:t xml:space="preserve">44</w:t>
            </w:r>
          </w:p>
        </w:tc>
        <w:tc>
          <w:tcPr/>
          <w:p>
            <w:pPr>
              <w:pStyle w:val="Compact"/>
            </w:pPr>
            <w:r>
              <w:t xml:space="preserve">74.6%</w:t>
            </w:r>
          </w:p>
        </w:tc>
        <w:tc>
          <w:tcPr/>
          <w:p>
            <w:pPr>
              <w:pStyle w:val="Compact"/>
            </w:pPr>
            <w:r>
              <w:t xml:space="preserve">Yes</w:t>
            </w:r>
          </w:p>
        </w:tc>
      </w:tr>
      <w:tr>
        <w:tc>
          <w:tcPr/>
          <w:p>
            <w:pPr>
              <w:pStyle w:val="Compact"/>
            </w:pPr>
            <w:r>
              <w:t xml:space="preserve">PA</w:t>
            </w:r>
          </w:p>
        </w:tc>
        <w:tc>
          <w:tcPr/>
          <w:p>
            <w:pPr>
              <w:pStyle w:val="Compact"/>
            </w:pPr>
            <w:r>
              <w:t xml:space="preserve">57</w:t>
            </w:r>
          </w:p>
        </w:tc>
        <w:tc>
          <w:tcPr/>
          <w:p>
            <w:pPr>
              <w:pStyle w:val="Compact"/>
            </w:pPr>
            <w:r>
              <w:t xml:space="preserve">33</w:t>
            </w:r>
          </w:p>
        </w:tc>
        <w:tc>
          <w:tcPr/>
          <w:p>
            <w:pPr>
              <w:pStyle w:val="Compact"/>
            </w:pPr>
            <w:r>
              <w:t xml:space="preserve">57.9%</w:t>
            </w:r>
          </w:p>
        </w:tc>
        <w:tc>
          <w:tcPr/>
          <w:p>
            <w:pPr>
              <w:pStyle w:val="Compact"/>
            </w:pPr>
            <w:r>
              <w:t xml:space="preserve">Yes</w:t>
            </w:r>
          </w:p>
        </w:tc>
      </w:tr>
      <w:tr>
        <w:tc>
          <w:tcPr/>
          <w:p>
            <w:pPr>
              <w:pStyle w:val="Compact"/>
            </w:pPr>
            <w:r>
              <w:t xml:space="preserve">AZ</w:t>
            </w:r>
          </w:p>
        </w:tc>
        <w:tc>
          <w:tcPr/>
          <w:p>
            <w:pPr>
              <w:pStyle w:val="Compact"/>
            </w:pPr>
            <w:r>
              <w:t xml:space="preserve">55</w:t>
            </w:r>
          </w:p>
        </w:tc>
        <w:tc>
          <w:tcPr/>
          <w:p>
            <w:pPr>
              <w:pStyle w:val="Compact"/>
            </w:pPr>
            <w:r>
              <w:t xml:space="preserve">19</w:t>
            </w:r>
          </w:p>
        </w:tc>
        <w:tc>
          <w:tcPr/>
          <w:p>
            <w:pPr>
              <w:pStyle w:val="Compact"/>
            </w:pPr>
            <w:r>
              <w:t xml:space="preserve">34.5%</w:t>
            </w:r>
          </w:p>
        </w:tc>
        <w:tc>
          <w:tcPr/>
          <w:p>
            <w:pPr>
              <w:pStyle w:val="Compact"/>
            </w:pPr>
            <w:r>
              <w:t xml:space="preserve">Yes</w:t>
            </w:r>
          </w:p>
        </w:tc>
      </w:tr>
      <w:tr>
        <w:tc>
          <w:tcPr/>
          <w:p>
            <w:pPr>
              <w:pStyle w:val="Compact"/>
            </w:pPr>
            <w:r>
              <w:t xml:space="preserve">MI</w:t>
            </w:r>
          </w:p>
        </w:tc>
        <w:tc>
          <w:tcPr/>
          <w:p>
            <w:pPr>
              <w:pStyle w:val="Compact"/>
            </w:pPr>
            <w:r>
              <w:t xml:space="preserve">52</w:t>
            </w:r>
          </w:p>
        </w:tc>
        <w:tc>
          <w:tcPr/>
          <w:p>
            <w:pPr>
              <w:pStyle w:val="Compact"/>
            </w:pPr>
            <w:r>
              <w:t xml:space="preserve">22</w:t>
            </w:r>
          </w:p>
        </w:tc>
        <w:tc>
          <w:tcPr/>
          <w:p>
            <w:pPr>
              <w:pStyle w:val="Compact"/>
            </w:pPr>
            <w:r>
              <w:t xml:space="preserve">42.3%</w:t>
            </w:r>
          </w:p>
        </w:tc>
        <w:tc>
          <w:tcPr/>
          <w:p>
            <w:pPr>
              <w:pStyle w:val="Compact"/>
            </w:pPr>
            <w:r>
              <w:t xml:space="preserve">Yes</w:t>
            </w:r>
          </w:p>
        </w:tc>
      </w:tr>
      <w:tr>
        <w:tc>
          <w:tcPr/>
          <w:p>
            <w:pPr>
              <w:pStyle w:val="Compact"/>
            </w:pPr>
            <w:r>
              <w:t xml:space="preserve">NC</w:t>
            </w:r>
          </w:p>
        </w:tc>
        <w:tc>
          <w:tcPr/>
          <w:p>
            <w:pPr>
              <w:pStyle w:val="Compact"/>
            </w:pPr>
            <w:r>
              <w:t xml:space="preserve">52</w:t>
            </w:r>
          </w:p>
        </w:tc>
        <w:tc>
          <w:tcPr/>
          <w:p>
            <w:pPr>
              <w:pStyle w:val="Compact"/>
            </w:pPr>
            <w:r>
              <w:t xml:space="preserve">35</w:t>
            </w:r>
          </w:p>
        </w:tc>
        <w:tc>
          <w:tcPr/>
          <w:p>
            <w:pPr>
              <w:pStyle w:val="Compact"/>
            </w:pPr>
            <w:r>
              <w:t xml:space="preserve">67.3%</w:t>
            </w:r>
          </w:p>
        </w:tc>
        <w:tc>
          <w:tcPr/>
          <w:p>
            <w:pPr>
              <w:pStyle w:val="Compact"/>
            </w:pPr>
            <w:r>
              <w:t xml:space="preserve">Yes</w:t>
            </w:r>
          </w:p>
        </w:tc>
      </w:tr>
      <w:tr>
        <w:tc>
          <w:tcPr/>
          <w:p>
            <w:pPr>
              <w:pStyle w:val="Compact"/>
            </w:pPr>
            <w:r>
              <w:t xml:space="preserve">NJ</w:t>
            </w:r>
          </w:p>
        </w:tc>
        <w:tc>
          <w:tcPr/>
          <w:p>
            <w:pPr>
              <w:pStyle w:val="Compact"/>
            </w:pPr>
            <w:r>
              <w:t xml:space="preserve">52</w:t>
            </w:r>
          </w:p>
        </w:tc>
        <w:tc>
          <w:tcPr/>
          <w:p>
            <w:pPr>
              <w:pStyle w:val="Compact"/>
            </w:pPr>
            <w:r>
              <w:t xml:space="preserve">28</w:t>
            </w:r>
          </w:p>
        </w:tc>
        <w:tc>
          <w:tcPr/>
          <w:p>
            <w:pPr>
              <w:pStyle w:val="Compact"/>
            </w:pPr>
            <w:r>
              <w:t xml:space="preserve">53.8%</w:t>
            </w:r>
          </w:p>
        </w:tc>
        <w:tc>
          <w:tcPr/>
          <w:p>
            <w:pPr>
              <w:pStyle w:val="Compact"/>
            </w:pPr>
            <w:r>
              <w:t xml:space="preserve">Yes</w:t>
            </w:r>
          </w:p>
        </w:tc>
      </w:tr>
      <w:tr>
        <w:tc>
          <w:tcPr/>
          <w:p>
            <w:pPr>
              <w:pStyle w:val="Compact"/>
            </w:pPr>
            <w:r>
              <w:t xml:space="preserve">MA</w:t>
            </w:r>
          </w:p>
        </w:tc>
        <w:tc>
          <w:tcPr/>
          <w:p>
            <w:pPr>
              <w:pStyle w:val="Compact"/>
            </w:pPr>
            <w:r>
              <w:t xml:space="preserve">51</w:t>
            </w:r>
          </w:p>
        </w:tc>
        <w:tc>
          <w:tcPr/>
          <w:p>
            <w:pPr>
              <w:pStyle w:val="Compact"/>
            </w:pPr>
            <w:r>
              <w:t xml:space="preserve">33</w:t>
            </w:r>
          </w:p>
        </w:tc>
        <w:tc>
          <w:tcPr/>
          <w:p>
            <w:pPr>
              <w:pStyle w:val="Compact"/>
            </w:pPr>
            <w:r>
              <w:t xml:space="preserve">64.7%</w:t>
            </w:r>
          </w:p>
        </w:tc>
        <w:tc>
          <w:tcPr/>
          <w:p>
            <w:pPr>
              <w:pStyle w:val="Compact"/>
            </w:pPr>
            <w:r>
              <w:t xml:space="preserve">Yes</w:t>
            </w:r>
          </w:p>
        </w:tc>
      </w:tr>
      <w:tr>
        <w:tc>
          <w:tcPr/>
          <w:p>
            <w:pPr>
              <w:pStyle w:val="Compact"/>
            </w:pPr>
            <w:r>
              <w:t xml:space="preserve">TN</w:t>
            </w:r>
          </w:p>
        </w:tc>
        <w:tc>
          <w:tcPr/>
          <w:p>
            <w:pPr>
              <w:pStyle w:val="Compact"/>
            </w:pPr>
            <w:r>
              <w:t xml:space="preserve">48</w:t>
            </w:r>
          </w:p>
        </w:tc>
        <w:tc>
          <w:tcPr/>
          <w:p>
            <w:pPr>
              <w:pStyle w:val="Compact"/>
            </w:pPr>
            <w:r>
              <w:t xml:space="preserve">20</w:t>
            </w:r>
          </w:p>
        </w:tc>
        <w:tc>
          <w:tcPr/>
          <w:p>
            <w:pPr>
              <w:pStyle w:val="Compact"/>
            </w:pPr>
            <w:r>
              <w:t xml:space="preserve">41.7%</w:t>
            </w:r>
          </w:p>
        </w:tc>
        <w:tc>
          <w:tcPr/>
          <w:p>
            <w:pPr>
              <w:pStyle w:val="Compact"/>
            </w:pPr>
            <w:r>
              <w:t xml:space="preserve">Yes</w:t>
            </w:r>
          </w:p>
        </w:tc>
      </w:tr>
      <w:tr>
        <w:tc>
          <w:tcPr/>
          <w:p>
            <w:pPr>
              <w:pStyle w:val="Compact"/>
            </w:pPr>
            <w:r>
              <w:t xml:space="preserve">WA</w:t>
            </w:r>
          </w:p>
        </w:tc>
        <w:tc>
          <w:tcPr/>
          <w:p>
            <w:pPr>
              <w:pStyle w:val="Compact"/>
            </w:pPr>
            <w:r>
              <w:t xml:space="preserve">44</w:t>
            </w:r>
          </w:p>
        </w:tc>
        <w:tc>
          <w:tcPr/>
          <w:p>
            <w:pPr>
              <w:pStyle w:val="Compact"/>
            </w:pPr>
            <w:r>
              <w:t xml:space="preserve">19</w:t>
            </w:r>
          </w:p>
        </w:tc>
        <w:tc>
          <w:tcPr/>
          <w:p>
            <w:pPr>
              <w:pStyle w:val="Compact"/>
            </w:pPr>
            <w:r>
              <w:t xml:space="preserve">43.2%</w:t>
            </w:r>
          </w:p>
        </w:tc>
        <w:tc>
          <w:tcPr/>
          <w:p>
            <w:pPr>
              <w:pStyle w:val="Compact"/>
            </w:pPr>
            <w:r>
              <w:t xml:space="preserve">Yes</w:t>
            </w:r>
          </w:p>
        </w:tc>
      </w:tr>
      <w:tr>
        <w:tc>
          <w:tcPr/>
          <w:p>
            <w:pPr>
              <w:pStyle w:val="Compact"/>
            </w:pPr>
            <w:r>
              <w:t xml:space="preserve">GA</w:t>
            </w:r>
          </w:p>
        </w:tc>
        <w:tc>
          <w:tcPr/>
          <w:p>
            <w:pPr>
              <w:pStyle w:val="Compact"/>
            </w:pPr>
            <w:r>
              <w:t xml:space="preserve">39</w:t>
            </w:r>
          </w:p>
        </w:tc>
        <w:tc>
          <w:tcPr/>
          <w:p>
            <w:pPr>
              <w:pStyle w:val="Compact"/>
            </w:pPr>
            <w:r>
              <w:t xml:space="preserve">17</w:t>
            </w:r>
          </w:p>
        </w:tc>
        <w:tc>
          <w:tcPr/>
          <w:p>
            <w:pPr>
              <w:pStyle w:val="Compact"/>
            </w:pPr>
            <w:r>
              <w:t xml:space="preserve">43.6%</w:t>
            </w:r>
          </w:p>
        </w:tc>
        <w:tc>
          <w:tcPr/>
          <w:p>
            <w:pPr>
              <w:pStyle w:val="Compact"/>
            </w:pPr>
            <w:r>
              <w:t xml:space="preserve">Yes</w:t>
            </w:r>
          </w:p>
        </w:tc>
      </w:tr>
      <w:tr>
        <w:tc>
          <w:tcPr/>
          <w:p>
            <w:pPr>
              <w:pStyle w:val="Compact"/>
            </w:pPr>
            <w:r>
              <w:t xml:space="preserve">MO</w:t>
            </w:r>
          </w:p>
        </w:tc>
        <w:tc>
          <w:tcPr/>
          <w:p>
            <w:pPr>
              <w:pStyle w:val="Compact"/>
            </w:pPr>
            <w:r>
              <w:t xml:space="preserve">39</w:t>
            </w:r>
          </w:p>
        </w:tc>
        <w:tc>
          <w:tcPr/>
          <w:p>
            <w:pPr>
              <w:pStyle w:val="Compact"/>
            </w:pPr>
            <w:r>
              <w:t xml:space="preserve">16</w:t>
            </w:r>
          </w:p>
        </w:tc>
        <w:tc>
          <w:tcPr/>
          <w:p>
            <w:pPr>
              <w:pStyle w:val="Compact"/>
            </w:pPr>
            <w:r>
              <w:t xml:space="preserve">41.0%</w:t>
            </w:r>
          </w:p>
        </w:tc>
        <w:tc>
          <w:tcPr/>
          <w:p>
            <w:pPr>
              <w:pStyle w:val="Compact"/>
            </w:pPr>
            <w:r>
              <w:t xml:space="preserve">Yes</w:t>
            </w:r>
          </w:p>
        </w:tc>
      </w:tr>
      <w:tr>
        <w:tc>
          <w:tcPr/>
          <w:p>
            <w:pPr>
              <w:pStyle w:val="Compact"/>
            </w:pPr>
            <w:r>
              <w:t xml:space="preserve">VA</w:t>
            </w:r>
          </w:p>
        </w:tc>
        <w:tc>
          <w:tcPr/>
          <w:p>
            <w:pPr>
              <w:pStyle w:val="Compact"/>
            </w:pPr>
            <w:r>
              <w:t xml:space="preserve">39</w:t>
            </w:r>
          </w:p>
        </w:tc>
        <w:tc>
          <w:tcPr/>
          <w:p>
            <w:pPr>
              <w:pStyle w:val="Compact"/>
            </w:pPr>
            <w:r>
              <w:t xml:space="preserve">27</w:t>
            </w:r>
          </w:p>
        </w:tc>
        <w:tc>
          <w:tcPr/>
          <w:p>
            <w:pPr>
              <w:pStyle w:val="Compact"/>
            </w:pPr>
            <w:r>
              <w:t xml:space="preserve">69.2%</w:t>
            </w:r>
          </w:p>
        </w:tc>
        <w:tc>
          <w:tcPr/>
          <w:p>
            <w:pPr>
              <w:pStyle w:val="Compact"/>
            </w:pPr>
            <w:r>
              <w:t xml:space="preserve">Yes</w:t>
            </w:r>
          </w:p>
        </w:tc>
      </w:tr>
      <w:tr>
        <w:tc>
          <w:tcPr/>
          <w:p>
            <w:pPr>
              <w:pStyle w:val="Compact"/>
            </w:pPr>
            <w:r>
              <w:t xml:space="preserve">IN</w:t>
            </w:r>
          </w:p>
        </w:tc>
        <w:tc>
          <w:tcPr/>
          <w:p>
            <w:pPr>
              <w:pStyle w:val="Compact"/>
            </w:pPr>
            <w:r>
              <w:t xml:space="preserve">37</w:t>
            </w:r>
          </w:p>
        </w:tc>
        <w:tc>
          <w:tcPr/>
          <w:p>
            <w:pPr>
              <w:pStyle w:val="Compact"/>
            </w:pPr>
            <w:r>
              <w:t xml:space="preserve">13</w:t>
            </w:r>
          </w:p>
        </w:tc>
        <w:tc>
          <w:tcPr/>
          <w:p>
            <w:pPr>
              <w:pStyle w:val="Compact"/>
            </w:pPr>
            <w:r>
              <w:t xml:space="preserve">35.1%</w:t>
            </w:r>
          </w:p>
        </w:tc>
        <w:tc>
          <w:tcPr/>
          <w:p>
            <w:pPr>
              <w:pStyle w:val="Compact"/>
            </w:pPr>
            <w:r>
              <w:t xml:space="preserve">Yes</w:t>
            </w:r>
          </w:p>
        </w:tc>
      </w:tr>
      <w:tr>
        <w:tc>
          <w:tcPr/>
          <w:p>
            <w:pPr>
              <w:pStyle w:val="Compact"/>
            </w:pPr>
            <w:r>
              <w:t xml:space="preserve">AL</w:t>
            </w:r>
          </w:p>
        </w:tc>
        <w:tc>
          <w:tcPr/>
          <w:p>
            <w:pPr>
              <w:pStyle w:val="Compact"/>
            </w:pPr>
            <w:r>
              <w:t xml:space="preserve">35</w:t>
            </w:r>
          </w:p>
        </w:tc>
        <w:tc>
          <w:tcPr/>
          <w:p>
            <w:pPr>
              <w:pStyle w:val="Compact"/>
            </w:pPr>
            <w:r>
              <w:t xml:space="preserve">12</w:t>
            </w:r>
          </w:p>
        </w:tc>
        <w:tc>
          <w:tcPr/>
          <w:p>
            <w:pPr>
              <w:pStyle w:val="Compact"/>
            </w:pPr>
            <w:r>
              <w:t xml:space="preserve">34.3%</w:t>
            </w:r>
          </w:p>
        </w:tc>
        <w:tc>
          <w:tcPr/>
          <w:p>
            <w:pPr>
              <w:pStyle w:val="Compact"/>
            </w:pPr>
            <w:r>
              <w:t xml:space="preserve">Yes</w:t>
            </w:r>
          </w:p>
        </w:tc>
      </w:tr>
      <w:tr>
        <w:tc>
          <w:tcPr/>
          <w:p>
            <w:pPr>
              <w:pStyle w:val="Compact"/>
            </w:pPr>
            <w:r>
              <w:t xml:space="preserve">SC</w:t>
            </w:r>
          </w:p>
        </w:tc>
        <w:tc>
          <w:tcPr/>
          <w:p>
            <w:pPr>
              <w:pStyle w:val="Compact"/>
            </w:pPr>
            <w:r>
              <w:t xml:space="preserve">31</w:t>
            </w:r>
          </w:p>
        </w:tc>
        <w:tc>
          <w:tcPr/>
          <w:p>
            <w:pPr>
              <w:pStyle w:val="Compact"/>
            </w:pPr>
            <w:r>
              <w:t xml:space="preserve">11</w:t>
            </w:r>
          </w:p>
        </w:tc>
        <w:tc>
          <w:tcPr/>
          <w:p>
            <w:pPr>
              <w:pStyle w:val="Compact"/>
            </w:pPr>
            <w:r>
              <w:t xml:space="preserve">35.5%</w:t>
            </w:r>
          </w:p>
        </w:tc>
        <w:tc>
          <w:tcPr/>
          <w:p>
            <w:pPr>
              <w:pStyle w:val="Compact"/>
            </w:pPr>
            <w:r>
              <w:t xml:space="preserve">Yes</w:t>
            </w:r>
          </w:p>
        </w:tc>
      </w:tr>
      <w:tr>
        <w:tc>
          <w:tcPr/>
          <w:p>
            <w:pPr>
              <w:pStyle w:val="Compact"/>
            </w:pPr>
            <w:r>
              <w:t xml:space="preserve">MD</w:t>
            </w:r>
          </w:p>
        </w:tc>
        <w:tc>
          <w:tcPr/>
          <w:p>
            <w:pPr>
              <w:pStyle w:val="Compact"/>
            </w:pPr>
            <w:r>
              <w:t xml:space="preserve">29</w:t>
            </w:r>
          </w:p>
        </w:tc>
        <w:tc>
          <w:tcPr/>
          <w:p>
            <w:pPr>
              <w:pStyle w:val="Compact"/>
            </w:pPr>
            <w:r>
              <w:t xml:space="preserve">14</w:t>
            </w:r>
          </w:p>
        </w:tc>
        <w:tc>
          <w:tcPr/>
          <w:p>
            <w:pPr>
              <w:pStyle w:val="Compact"/>
            </w:pPr>
            <w:r>
              <w:t xml:space="preserve">48.3%</w:t>
            </w:r>
          </w:p>
        </w:tc>
        <w:tc>
          <w:tcPr/>
          <w:p>
            <w:pPr>
              <w:pStyle w:val="Compact"/>
            </w:pPr>
            <w:r>
              <w:t xml:space="preserve">Yes</w:t>
            </w:r>
          </w:p>
        </w:tc>
      </w:tr>
      <w:tr>
        <w:tc>
          <w:tcPr/>
          <w:p>
            <w:pPr>
              <w:pStyle w:val="Compact"/>
            </w:pPr>
            <w:r>
              <w:t xml:space="preserve">KY</w:t>
            </w:r>
          </w:p>
        </w:tc>
        <w:tc>
          <w:tcPr/>
          <w:p>
            <w:pPr>
              <w:pStyle w:val="Compact"/>
            </w:pPr>
            <w:r>
              <w:t xml:space="preserve">28</w:t>
            </w:r>
          </w:p>
        </w:tc>
        <w:tc>
          <w:tcPr/>
          <w:p>
            <w:pPr>
              <w:pStyle w:val="Compact"/>
            </w:pPr>
            <w:r>
              <w:t xml:space="preserve">10</w:t>
            </w:r>
          </w:p>
        </w:tc>
        <w:tc>
          <w:tcPr/>
          <w:p>
            <w:pPr>
              <w:pStyle w:val="Compact"/>
            </w:pPr>
            <w:r>
              <w:t xml:space="preserve">35.7%</w:t>
            </w:r>
          </w:p>
        </w:tc>
        <w:tc>
          <w:tcPr/>
          <w:p>
            <w:pPr>
              <w:pStyle w:val="Compact"/>
            </w:pPr>
            <w:r>
              <w:t xml:space="preserve">Yes</w:t>
            </w:r>
          </w:p>
        </w:tc>
      </w:tr>
      <w:tr>
        <w:tc>
          <w:tcPr/>
          <w:p>
            <w:pPr>
              <w:pStyle w:val="Compact"/>
            </w:pPr>
            <w:r>
              <w:t xml:space="preserve">OK</w:t>
            </w:r>
          </w:p>
        </w:tc>
        <w:tc>
          <w:tcPr/>
          <w:p>
            <w:pPr>
              <w:pStyle w:val="Compact"/>
            </w:pPr>
            <w:r>
              <w:t xml:space="preserve">28</w:t>
            </w:r>
          </w:p>
        </w:tc>
        <w:tc>
          <w:tcPr/>
          <w:p>
            <w:pPr>
              <w:pStyle w:val="Compact"/>
            </w:pPr>
            <w:r>
              <w:t xml:space="preserve">10</w:t>
            </w:r>
          </w:p>
        </w:tc>
        <w:tc>
          <w:tcPr/>
          <w:p>
            <w:pPr>
              <w:pStyle w:val="Compact"/>
            </w:pPr>
            <w:r>
              <w:t xml:space="preserve">35.7%</w:t>
            </w:r>
          </w:p>
        </w:tc>
        <w:tc>
          <w:tcPr/>
          <w:p>
            <w:pPr>
              <w:pStyle w:val="Compact"/>
            </w:pPr>
            <w:r>
              <w:t xml:space="preserve">Yes</w:t>
            </w:r>
          </w:p>
        </w:tc>
      </w:tr>
      <w:tr>
        <w:tc>
          <w:tcPr/>
          <w:p>
            <w:pPr>
              <w:pStyle w:val="Compact"/>
            </w:pPr>
            <w:r>
              <w:t xml:space="preserve">LA</w:t>
            </w:r>
          </w:p>
        </w:tc>
        <w:tc>
          <w:tcPr/>
          <w:p>
            <w:pPr>
              <w:pStyle w:val="Compact"/>
            </w:pPr>
            <w:r>
              <w:t xml:space="preserve">26</w:t>
            </w:r>
          </w:p>
        </w:tc>
        <w:tc>
          <w:tcPr/>
          <w:p>
            <w:pPr>
              <w:pStyle w:val="Compact"/>
            </w:pPr>
            <w:r>
              <w:t xml:space="preserve">6</w:t>
            </w:r>
          </w:p>
        </w:tc>
        <w:tc>
          <w:tcPr/>
          <w:p>
            <w:pPr>
              <w:pStyle w:val="Compact"/>
            </w:pPr>
            <w:r>
              <w:t xml:space="preserve">23.1%</w:t>
            </w:r>
          </w:p>
        </w:tc>
        <w:tc>
          <w:tcPr/>
          <w:p>
            <w:pPr>
              <w:pStyle w:val="Compact"/>
            </w:pPr>
            <w:r>
              <w:t xml:space="preserve">Yes</w:t>
            </w:r>
          </w:p>
        </w:tc>
      </w:tr>
      <w:tr>
        <w:tc>
          <w:tcPr/>
          <w:p>
            <w:pPr>
              <w:pStyle w:val="Compact"/>
            </w:pPr>
            <w:r>
              <w:t xml:space="preserve">NE</w:t>
            </w:r>
          </w:p>
        </w:tc>
        <w:tc>
          <w:tcPr/>
          <w:p>
            <w:pPr>
              <w:pStyle w:val="Compact"/>
            </w:pPr>
            <w:r>
              <w:t xml:space="preserve">25</w:t>
            </w:r>
          </w:p>
        </w:tc>
        <w:tc>
          <w:tcPr/>
          <w:p>
            <w:pPr>
              <w:pStyle w:val="Compact"/>
            </w:pPr>
            <w:r>
              <w:t xml:space="preserve">4</w:t>
            </w:r>
          </w:p>
        </w:tc>
        <w:tc>
          <w:tcPr/>
          <w:p>
            <w:pPr>
              <w:pStyle w:val="Compact"/>
            </w:pPr>
            <w:r>
              <w:t xml:space="preserve">16.0%</w:t>
            </w:r>
          </w:p>
        </w:tc>
        <w:tc>
          <w:tcPr/>
          <w:p>
            <w:pPr>
              <w:pStyle w:val="Compact"/>
            </w:pPr>
            <w:r>
              <w:t xml:space="preserve">Yes</w:t>
            </w:r>
          </w:p>
        </w:tc>
      </w:tr>
      <w:tr>
        <w:tc>
          <w:tcPr/>
          <w:p>
            <w:pPr>
              <w:pStyle w:val="Compact"/>
            </w:pPr>
            <w:r>
              <w:t xml:space="preserve">OR</w:t>
            </w:r>
          </w:p>
        </w:tc>
        <w:tc>
          <w:tcPr/>
          <w:p>
            <w:pPr>
              <w:pStyle w:val="Compact"/>
            </w:pPr>
            <w:r>
              <w:t xml:space="preserve">25</w:t>
            </w:r>
          </w:p>
        </w:tc>
        <w:tc>
          <w:tcPr/>
          <w:p>
            <w:pPr>
              <w:pStyle w:val="Compact"/>
            </w:pPr>
            <w:r>
              <w:t xml:space="preserve">9</w:t>
            </w:r>
          </w:p>
        </w:tc>
        <w:tc>
          <w:tcPr/>
          <w:p>
            <w:pPr>
              <w:pStyle w:val="Compact"/>
            </w:pPr>
            <w:r>
              <w:t xml:space="preserve">36.0%</w:t>
            </w:r>
          </w:p>
        </w:tc>
        <w:tc>
          <w:tcPr/>
          <w:p>
            <w:pPr>
              <w:pStyle w:val="Compact"/>
            </w:pPr>
            <w:r>
              <w:t xml:space="preserve">Yes</w:t>
            </w:r>
          </w:p>
        </w:tc>
      </w:tr>
      <w:tr>
        <w:tc>
          <w:tcPr/>
          <w:p>
            <w:pPr>
              <w:pStyle w:val="Compact"/>
            </w:pPr>
            <w:r>
              <w:t xml:space="preserve">CO</w:t>
            </w:r>
          </w:p>
        </w:tc>
        <w:tc>
          <w:tcPr/>
          <w:p>
            <w:pPr>
              <w:pStyle w:val="Compact"/>
            </w:pPr>
            <w:r>
              <w:t xml:space="preserve">24</w:t>
            </w:r>
          </w:p>
        </w:tc>
        <w:tc>
          <w:tcPr/>
          <w:p>
            <w:pPr>
              <w:pStyle w:val="Compact"/>
            </w:pPr>
            <w:r>
              <w:t xml:space="preserve">14</w:t>
            </w:r>
          </w:p>
        </w:tc>
        <w:tc>
          <w:tcPr/>
          <w:p>
            <w:pPr>
              <w:pStyle w:val="Compact"/>
            </w:pPr>
            <w:r>
              <w:t xml:space="preserve">58.3%</w:t>
            </w:r>
          </w:p>
        </w:tc>
        <w:tc>
          <w:tcPr/>
          <w:p>
            <w:pPr>
              <w:pStyle w:val="Compact"/>
            </w:pPr>
            <w:r>
              <w:t xml:space="preserve">Yes</w:t>
            </w:r>
          </w:p>
        </w:tc>
      </w:tr>
      <w:tr>
        <w:tc>
          <w:tcPr/>
          <w:p>
            <w:pPr>
              <w:pStyle w:val="Compact"/>
            </w:pPr>
            <w:r>
              <w:t xml:space="preserve">NV</w:t>
            </w:r>
          </w:p>
        </w:tc>
        <w:tc>
          <w:tcPr/>
          <w:p>
            <w:pPr>
              <w:pStyle w:val="Compact"/>
            </w:pPr>
            <w:r>
              <w:t xml:space="preserve">21</w:t>
            </w:r>
          </w:p>
        </w:tc>
        <w:tc>
          <w:tcPr/>
          <w:p>
            <w:pPr>
              <w:pStyle w:val="Compact"/>
            </w:pPr>
            <w:r>
              <w:t xml:space="preserve">8</w:t>
            </w:r>
          </w:p>
        </w:tc>
        <w:tc>
          <w:tcPr/>
          <w:p>
            <w:pPr>
              <w:pStyle w:val="Compact"/>
            </w:pPr>
            <w:r>
              <w:t xml:space="preserve">38.1%</w:t>
            </w:r>
          </w:p>
        </w:tc>
        <w:tc>
          <w:tcPr/>
          <w:p>
            <w:pPr>
              <w:pStyle w:val="Compact"/>
            </w:pPr>
            <w:r>
              <w:t xml:space="preserve">Yes</w:t>
            </w:r>
          </w:p>
        </w:tc>
      </w:tr>
      <w:tr>
        <w:tc>
          <w:tcPr/>
          <w:p>
            <w:pPr>
              <w:pStyle w:val="Compact"/>
            </w:pPr>
            <w:r>
              <w:t xml:space="preserve">WI</w:t>
            </w:r>
          </w:p>
        </w:tc>
        <w:tc>
          <w:tcPr/>
          <w:p>
            <w:pPr>
              <w:pStyle w:val="Compact"/>
            </w:pPr>
            <w:r>
              <w:t xml:space="preserve">20</w:t>
            </w:r>
          </w:p>
        </w:tc>
        <w:tc>
          <w:tcPr/>
          <w:p>
            <w:pPr>
              <w:pStyle w:val="Compact"/>
            </w:pPr>
            <w:r>
              <w:t xml:space="preserve">12</w:t>
            </w:r>
          </w:p>
        </w:tc>
        <w:tc>
          <w:tcPr/>
          <w:p>
            <w:pPr>
              <w:pStyle w:val="Compact"/>
            </w:pPr>
            <w:r>
              <w:t xml:space="preserve">60.0%</w:t>
            </w:r>
          </w:p>
        </w:tc>
        <w:tc>
          <w:tcPr/>
          <w:p>
            <w:pPr>
              <w:pStyle w:val="Compact"/>
            </w:pPr>
            <w:r>
              <w:t xml:space="preserve">Yes</w:t>
            </w:r>
          </w:p>
        </w:tc>
      </w:tr>
      <w:tr>
        <w:tc>
          <w:tcPr/>
          <w:p>
            <w:pPr>
              <w:pStyle w:val="Compact"/>
            </w:pPr>
            <w:r>
              <w:t xml:space="preserve">AR</w:t>
            </w:r>
          </w:p>
        </w:tc>
        <w:tc>
          <w:tcPr/>
          <w:p>
            <w:pPr>
              <w:pStyle w:val="Compact"/>
            </w:pPr>
            <w:r>
              <w:t xml:space="preserve">19</w:t>
            </w:r>
          </w:p>
        </w:tc>
        <w:tc>
          <w:tcPr/>
          <w:p>
            <w:pPr>
              <w:pStyle w:val="Compact"/>
            </w:pPr>
            <w:r>
              <w:t xml:space="preserve">3</w:t>
            </w:r>
          </w:p>
        </w:tc>
        <w:tc>
          <w:tcPr/>
          <w:p>
            <w:pPr>
              <w:pStyle w:val="Compact"/>
            </w:pPr>
            <w:r>
              <w:t xml:space="preserve">15.8%</w:t>
            </w:r>
          </w:p>
        </w:tc>
        <w:tc>
          <w:tcPr/>
          <w:p>
            <w:pPr>
              <w:pStyle w:val="Compact"/>
            </w:pPr>
            <w:r>
              <w:t xml:space="preserve">Yes</w:t>
            </w:r>
          </w:p>
        </w:tc>
      </w:tr>
      <w:tr>
        <w:tc>
          <w:tcPr/>
          <w:p>
            <w:pPr>
              <w:pStyle w:val="Compact"/>
            </w:pPr>
            <w:r>
              <w:t xml:space="preserve">KS</w:t>
            </w:r>
          </w:p>
        </w:tc>
        <w:tc>
          <w:tcPr/>
          <w:p>
            <w:pPr>
              <w:pStyle w:val="Compact"/>
            </w:pPr>
            <w:r>
              <w:t xml:space="preserve">18</w:t>
            </w:r>
          </w:p>
        </w:tc>
        <w:tc>
          <w:tcPr/>
          <w:p>
            <w:pPr>
              <w:pStyle w:val="Compact"/>
            </w:pPr>
            <w:r>
              <w:t xml:space="preserve">4</w:t>
            </w:r>
          </w:p>
        </w:tc>
        <w:tc>
          <w:tcPr/>
          <w:p>
            <w:pPr>
              <w:pStyle w:val="Compact"/>
            </w:pPr>
            <w:r>
              <w:t xml:space="preserve">22.2%</w:t>
            </w:r>
          </w:p>
        </w:tc>
        <w:tc>
          <w:tcPr/>
          <w:p>
            <w:pPr>
              <w:pStyle w:val="Compact"/>
            </w:pPr>
            <w:r>
              <w:t xml:space="preserve">Yes</w:t>
            </w:r>
          </w:p>
        </w:tc>
      </w:tr>
      <w:tr>
        <w:tc>
          <w:tcPr/>
          <w:p>
            <w:pPr>
              <w:pStyle w:val="Compact"/>
            </w:pPr>
            <w:r>
              <w:t xml:space="preserve">CT</w:t>
            </w:r>
          </w:p>
        </w:tc>
        <w:tc>
          <w:tcPr/>
          <w:p>
            <w:pPr>
              <w:pStyle w:val="Compact"/>
            </w:pPr>
            <w:r>
              <w:t xml:space="preserve">17</w:t>
            </w:r>
          </w:p>
        </w:tc>
        <w:tc>
          <w:tcPr/>
          <w:p>
            <w:pPr>
              <w:pStyle w:val="Compact"/>
            </w:pPr>
            <w:r>
              <w:t xml:space="preserve">14</w:t>
            </w:r>
          </w:p>
        </w:tc>
        <w:tc>
          <w:tcPr/>
          <w:p>
            <w:pPr>
              <w:pStyle w:val="Compact"/>
            </w:pPr>
            <w:r>
              <w:t xml:space="preserve">82.4%</w:t>
            </w:r>
          </w:p>
        </w:tc>
        <w:tc>
          <w:tcPr/>
          <w:p>
            <w:pPr>
              <w:pStyle w:val="Compact"/>
            </w:pPr>
            <w:r>
              <w:t xml:space="preserve">Yes</w:t>
            </w:r>
          </w:p>
        </w:tc>
      </w:tr>
      <w:tr>
        <w:tc>
          <w:tcPr/>
          <w:p>
            <w:pPr>
              <w:pStyle w:val="Compact"/>
            </w:pPr>
            <w:r>
              <w:t xml:space="preserve">IA</w:t>
            </w:r>
          </w:p>
        </w:tc>
        <w:tc>
          <w:tcPr/>
          <w:p>
            <w:pPr>
              <w:pStyle w:val="Compact"/>
            </w:pPr>
            <w:r>
              <w:t xml:space="preserve">15</w:t>
            </w:r>
          </w:p>
        </w:tc>
        <w:tc>
          <w:tcPr/>
          <w:p>
            <w:pPr>
              <w:pStyle w:val="Compact"/>
            </w:pPr>
            <w:r>
              <w:t xml:space="preserve">7</w:t>
            </w:r>
          </w:p>
        </w:tc>
        <w:tc>
          <w:tcPr/>
          <w:p>
            <w:pPr>
              <w:pStyle w:val="Compact"/>
            </w:pPr>
            <w:r>
              <w:t xml:space="preserve">46.7%</w:t>
            </w:r>
          </w:p>
        </w:tc>
        <w:tc>
          <w:tcPr/>
          <w:p>
            <w:pPr>
              <w:pStyle w:val="Compact"/>
            </w:pPr>
            <w:r>
              <w:t xml:space="preserve">Yes</w:t>
            </w:r>
          </w:p>
        </w:tc>
      </w:tr>
      <w:tr>
        <w:tc>
          <w:tcPr/>
          <w:p>
            <w:pPr>
              <w:pStyle w:val="Compact"/>
            </w:pPr>
            <w:r>
              <w:t xml:space="preserve">SD</w:t>
            </w:r>
          </w:p>
        </w:tc>
        <w:tc>
          <w:tcPr/>
          <w:p>
            <w:pPr>
              <w:pStyle w:val="Compact"/>
            </w:pPr>
            <w:r>
              <w:t xml:space="preserve">14</w:t>
            </w:r>
          </w:p>
        </w:tc>
        <w:tc>
          <w:tcPr/>
          <w:p>
            <w:pPr>
              <w:pStyle w:val="Compact"/>
            </w:pPr>
            <w:r>
              <w:t xml:space="preserve">3</w:t>
            </w:r>
          </w:p>
        </w:tc>
        <w:tc>
          <w:tcPr/>
          <w:p>
            <w:pPr>
              <w:pStyle w:val="Compact"/>
            </w:pPr>
            <w:r>
              <w:t xml:space="preserve">21.4%</w:t>
            </w:r>
          </w:p>
        </w:tc>
        <w:tc>
          <w:tcPr/>
          <w:p>
            <w:pPr>
              <w:pStyle w:val="Compact"/>
            </w:pPr>
            <w:r>
              <w:t xml:space="preserve">Yes</w:t>
            </w:r>
          </w:p>
        </w:tc>
      </w:tr>
      <w:tr>
        <w:tc>
          <w:tcPr/>
          <w:p>
            <w:pPr>
              <w:pStyle w:val="Compact"/>
            </w:pPr>
            <w:r>
              <w:t xml:space="preserve">MN</w:t>
            </w:r>
          </w:p>
        </w:tc>
        <w:tc>
          <w:tcPr/>
          <w:p>
            <w:pPr>
              <w:pStyle w:val="Compact"/>
            </w:pPr>
            <w:r>
              <w:t xml:space="preserve">13</w:t>
            </w:r>
          </w:p>
        </w:tc>
        <w:tc>
          <w:tcPr/>
          <w:p>
            <w:pPr>
              <w:pStyle w:val="Compact"/>
            </w:pPr>
            <w:r>
              <w:t xml:space="preserve">11</w:t>
            </w:r>
          </w:p>
        </w:tc>
        <w:tc>
          <w:tcPr/>
          <w:p>
            <w:pPr>
              <w:pStyle w:val="Compact"/>
            </w:pPr>
            <w:r>
              <w:t xml:space="preserve">84.6%</w:t>
            </w:r>
          </w:p>
        </w:tc>
        <w:tc>
          <w:tcPr/>
          <w:p>
            <w:pPr>
              <w:pStyle w:val="Compact"/>
            </w:pPr>
            <w:r>
              <w:t xml:space="preserve">Yes</w:t>
            </w:r>
          </w:p>
        </w:tc>
      </w:tr>
      <w:tr>
        <w:tc>
          <w:tcPr/>
          <w:p>
            <w:pPr>
              <w:pStyle w:val="Compact"/>
            </w:pPr>
            <w:r>
              <w:t xml:space="preserve">MS</w:t>
            </w:r>
          </w:p>
        </w:tc>
        <w:tc>
          <w:tcPr/>
          <w:p>
            <w:pPr>
              <w:pStyle w:val="Compact"/>
            </w:pPr>
            <w:r>
              <w:t xml:space="preserve">11</w:t>
            </w:r>
          </w:p>
        </w:tc>
        <w:tc>
          <w:tcPr/>
          <w:p>
            <w:pPr>
              <w:pStyle w:val="Compact"/>
            </w:pPr>
            <w:r>
              <w:t xml:space="preserve">3</w:t>
            </w:r>
          </w:p>
        </w:tc>
        <w:tc>
          <w:tcPr/>
          <w:p>
            <w:pPr>
              <w:pStyle w:val="Compact"/>
            </w:pPr>
            <w:r>
              <w:t xml:space="preserve">27.3%</w:t>
            </w:r>
          </w:p>
        </w:tc>
        <w:tc>
          <w:tcPr/>
          <w:p>
            <w:pPr>
              <w:pStyle w:val="Compact"/>
            </w:pPr>
            <w:r>
              <w:t xml:space="preserve">Yes</w:t>
            </w:r>
          </w:p>
        </w:tc>
      </w:tr>
      <w:tr>
        <w:tc>
          <w:tcPr/>
          <w:p>
            <w:pPr>
              <w:pStyle w:val="Compact"/>
            </w:pPr>
            <w:r>
              <w:t xml:space="preserve">NM</w:t>
            </w:r>
          </w:p>
        </w:tc>
        <w:tc>
          <w:tcPr/>
          <w:p>
            <w:pPr>
              <w:pStyle w:val="Compact"/>
            </w:pPr>
            <w:r>
              <w:t xml:space="preserve">10</w:t>
            </w:r>
          </w:p>
        </w:tc>
        <w:tc>
          <w:tcPr/>
          <w:p>
            <w:pPr>
              <w:pStyle w:val="Compact"/>
            </w:pPr>
            <w:r>
              <w:t xml:space="preserve">5</w:t>
            </w:r>
          </w:p>
        </w:tc>
        <w:tc>
          <w:tcPr/>
          <w:p>
            <w:pPr>
              <w:pStyle w:val="Compact"/>
            </w:pPr>
            <w:r>
              <w:t xml:space="preserve">50.0%</w:t>
            </w:r>
          </w:p>
        </w:tc>
        <w:tc>
          <w:tcPr/>
          <w:p>
            <w:pPr>
              <w:pStyle w:val="Compact"/>
            </w:pPr>
            <w:r>
              <w:t xml:space="preserve">Yes</w:t>
            </w:r>
          </w:p>
        </w:tc>
      </w:tr>
      <w:tr>
        <w:tc>
          <w:tcPr/>
          <w:p>
            <w:pPr>
              <w:pStyle w:val="Compact"/>
            </w:pPr>
            <w:r>
              <w:t xml:space="preserve">UT</w:t>
            </w:r>
          </w:p>
        </w:tc>
        <w:tc>
          <w:tcPr/>
          <w:p>
            <w:pPr>
              <w:pStyle w:val="Compact"/>
            </w:pPr>
            <w:r>
              <w:t xml:space="preserve">10</w:t>
            </w:r>
          </w:p>
        </w:tc>
        <w:tc>
          <w:tcPr/>
          <w:p>
            <w:pPr>
              <w:pStyle w:val="Compact"/>
            </w:pPr>
            <w:r>
              <w:t xml:space="preserve">3</w:t>
            </w:r>
          </w:p>
        </w:tc>
        <w:tc>
          <w:tcPr/>
          <w:p>
            <w:pPr>
              <w:pStyle w:val="Compact"/>
            </w:pPr>
            <w:r>
              <w:t xml:space="preserve">30.0%</w:t>
            </w:r>
          </w:p>
        </w:tc>
        <w:tc>
          <w:tcPr/>
          <w:p>
            <w:pPr>
              <w:pStyle w:val="Compact"/>
            </w:pPr>
            <w:r>
              <w:t xml:space="preserve">Yes</w:t>
            </w:r>
          </w:p>
        </w:tc>
      </w:tr>
      <w:tr>
        <w:tc>
          <w:tcPr/>
          <w:p>
            <w:pPr>
              <w:pStyle w:val="Compact"/>
            </w:pPr>
            <w:r>
              <w:t xml:space="preserve">ME</w:t>
            </w:r>
          </w:p>
        </w:tc>
        <w:tc>
          <w:tcPr/>
          <w:p>
            <w:pPr>
              <w:pStyle w:val="Compact"/>
            </w:pPr>
            <w:r>
              <w:t xml:space="preserve">9</w:t>
            </w:r>
          </w:p>
        </w:tc>
        <w:tc>
          <w:tcPr/>
          <w:p>
            <w:pPr>
              <w:pStyle w:val="Compact"/>
            </w:pPr>
            <w:r>
              <w:t xml:space="preserve">6</w:t>
            </w:r>
          </w:p>
        </w:tc>
        <w:tc>
          <w:tcPr/>
          <w:p>
            <w:pPr>
              <w:pStyle w:val="Compact"/>
            </w:pPr>
            <w:r>
              <w:t xml:space="preserve">66.7%</w:t>
            </w:r>
          </w:p>
        </w:tc>
        <w:tc>
          <w:tcPr/>
          <w:p>
            <w:pPr>
              <w:pStyle w:val="Compact"/>
            </w:pPr>
            <w:r>
              <w:t xml:space="preserve">Yes</w:t>
            </w:r>
          </w:p>
        </w:tc>
      </w:tr>
      <w:tr>
        <w:tc>
          <w:tcPr/>
          <w:p>
            <w:pPr>
              <w:pStyle w:val="Compact"/>
            </w:pPr>
            <w:r>
              <w:t xml:space="preserve">NH</w:t>
            </w:r>
          </w:p>
        </w:tc>
        <w:tc>
          <w:tcPr/>
          <w:p>
            <w:pPr>
              <w:pStyle w:val="Compact"/>
            </w:pPr>
            <w:r>
              <w:t xml:space="preserve">9</w:t>
            </w:r>
          </w:p>
        </w:tc>
        <w:tc>
          <w:tcPr/>
          <w:p>
            <w:pPr>
              <w:pStyle w:val="Compact"/>
            </w:pPr>
            <w:r>
              <w:t xml:space="preserve">5</w:t>
            </w:r>
          </w:p>
        </w:tc>
        <w:tc>
          <w:tcPr/>
          <w:p>
            <w:pPr>
              <w:pStyle w:val="Compact"/>
            </w:pPr>
            <w:r>
              <w:t xml:space="preserve">55.6%</w:t>
            </w:r>
          </w:p>
        </w:tc>
        <w:tc>
          <w:tcPr/>
          <w:p>
            <w:pPr>
              <w:pStyle w:val="Compact"/>
            </w:pPr>
            <w:r>
              <w:t xml:space="preserve">Yes</w:t>
            </w:r>
          </w:p>
        </w:tc>
      </w:tr>
      <w:tr>
        <w:tc>
          <w:tcPr/>
          <w:p>
            <w:pPr>
              <w:pStyle w:val="Compact"/>
            </w:pPr>
            <w:r>
              <w:t xml:space="preserve">WV</w:t>
            </w:r>
          </w:p>
        </w:tc>
        <w:tc>
          <w:tcPr/>
          <w:p>
            <w:pPr>
              <w:pStyle w:val="Compact"/>
            </w:pPr>
            <w:r>
              <w:t xml:space="preserve">8</w:t>
            </w:r>
          </w:p>
        </w:tc>
        <w:tc>
          <w:tcPr/>
          <w:p>
            <w:pPr>
              <w:pStyle w:val="Compact"/>
            </w:pPr>
            <w:r>
              <w:t xml:space="preserve">3</w:t>
            </w:r>
          </w:p>
        </w:tc>
        <w:tc>
          <w:tcPr/>
          <w:p>
            <w:pPr>
              <w:pStyle w:val="Compact"/>
            </w:pPr>
            <w:r>
              <w:t xml:space="preserve">37.5%</w:t>
            </w:r>
          </w:p>
        </w:tc>
        <w:tc>
          <w:tcPr/>
          <w:p>
            <w:pPr>
              <w:pStyle w:val="Compact"/>
            </w:pPr>
            <w:r>
              <w:t xml:space="preserve">Yes</w:t>
            </w:r>
          </w:p>
        </w:tc>
      </w:tr>
      <w:tr>
        <w:tc>
          <w:tcPr/>
          <w:p>
            <w:pPr>
              <w:pStyle w:val="Compact"/>
            </w:pPr>
            <w:r>
              <w:t xml:space="preserve">RI</w:t>
            </w:r>
          </w:p>
        </w:tc>
        <w:tc>
          <w:tcPr/>
          <w:p>
            <w:pPr>
              <w:pStyle w:val="Compact"/>
            </w:pPr>
            <w:r>
              <w:t xml:space="preserve">7</w:t>
            </w:r>
          </w:p>
        </w:tc>
        <w:tc>
          <w:tcPr/>
          <w:p>
            <w:pPr>
              <w:pStyle w:val="Compact"/>
            </w:pPr>
            <w:r>
              <w:t xml:space="preserve">5</w:t>
            </w:r>
          </w:p>
        </w:tc>
        <w:tc>
          <w:tcPr/>
          <w:p>
            <w:pPr>
              <w:pStyle w:val="Compact"/>
            </w:pPr>
            <w:r>
              <w:t xml:space="preserve">71.4%</w:t>
            </w:r>
          </w:p>
        </w:tc>
        <w:tc>
          <w:tcPr/>
          <w:p>
            <w:pPr>
              <w:pStyle w:val="Compact"/>
            </w:pPr>
            <w:r>
              <w:t xml:space="preserve">Yes</w:t>
            </w:r>
          </w:p>
        </w:tc>
      </w:tr>
      <w:tr>
        <w:tc>
          <w:tcPr/>
          <w:p>
            <w:pPr>
              <w:pStyle w:val="Compact"/>
            </w:pPr>
            <w:r>
              <w:t xml:space="preserve">DC</w:t>
            </w:r>
          </w:p>
        </w:tc>
        <w:tc>
          <w:tcPr/>
          <w:p>
            <w:pPr>
              <w:pStyle w:val="Compact"/>
            </w:pPr>
            <w:r>
              <w:t xml:space="preserve">6</w:t>
            </w:r>
          </w:p>
        </w:tc>
        <w:tc>
          <w:tcPr/>
          <w:p>
            <w:pPr>
              <w:pStyle w:val="Compact"/>
            </w:pPr>
            <w:r>
              <w:t xml:space="preserve">5</w:t>
            </w:r>
          </w:p>
        </w:tc>
        <w:tc>
          <w:tcPr/>
          <w:p>
            <w:pPr>
              <w:pStyle w:val="Compact"/>
            </w:pPr>
            <w:r>
              <w:t xml:space="preserve">83.3%</w:t>
            </w:r>
          </w:p>
        </w:tc>
        <w:tc>
          <w:tcPr/>
          <w:p>
            <w:pPr>
              <w:pStyle w:val="Compact"/>
            </w:pPr>
            <w:r>
              <w:t xml:space="preserve">Yes</w:t>
            </w:r>
          </w:p>
        </w:tc>
      </w:tr>
      <w:tr>
        <w:tc>
          <w:tcPr/>
          <w:p>
            <w:pPr>
              <w:pStyle w:val="Compact"/>
            </w:pPr>
            <w:r>
              <w:t xml:space="preserve">DE</w:t>
            </w:r>
          </w:p>
        </w:tc>
        <w:tc>
          <w:tcPr/>
          <w:p>
            <w:pPr>
              <w:pStyle w:val="Compact"/>
            </w:pPr>
            <w:r>
              <w:t xml:space="preserve">6</w:t>
            </w:r>
          </w:p>
        </w:tc>
        <w:tc>
          <w:tcPr/>
          <w:p>
            <w:pPr>
              <w:pStyle w:val="Compact"/>
            </w:pPr>
            <w:r>
              <w:t xml:space="preserve">4</w:t>
            </w:r>
          </w:p>
        </w:tc>
        <w:tc>
          <w:tcPr/>
          <w:p>
            <w:pPr>
              <w:pStyle w:val="Compact"/>
            </w:pPr>
            <w:r>
              <w:t xml:space="preserve">66.7%</w:t>
            </w:r>
          </w:p>
        </w:tc>
        <w:tc>
          <w:tcPr/>
          <w:p>
            <w:pPr>
              <w:pStyle w:val="Compact"/>
            </w:pPr>
            <w:r>
              <w:t xml:space="preserve">Yes</w:t>
            </w:r>
          </w:p>
        </w:tc>
      </w:tr>
      <w:tr>
        <w:tc>
          <w:tcPr/>
          <w:p>
            <w:pPr>
              <w:pStyle w:val="Compact"/>
            </w:pPr>
            <w:r>
              <w:t xml:space="preserve">MT</w:t>
            </w:r>
          </w:p>
        </w:tc>
        <w:tc>
          <w:tcPr/>
          <w:p>
            <w:pPr>
              <w:pStyle w:val="Compact"/>
            </w:pPr>
            <w:r>
              <w:t xml:space="preserve">6</w:t>
            </w:r>
          </w:p>
        </w:tc>
        <w:tc>
          <w:tcPr/>
          <w:p>
            <w:pPr>
              <w:pStyle w:val="Compact"/>
            </w:pPr>
            <w:r>
              <w:t xml:space="preserve">2</w:t>
            </w:r>
          </w:p>
        </w:tc>
        <w:tc>
          <w:tcPr/>
          <w:p>
            <w:pPr>
              <w:pStyle w:val="Compact"/>
            </w:pPr>
            <w:r>
              <w:t xml:space="preserve">33.3%</w:t>
            </w:r>
          </w:p>
        </w:tc>
        <w:tc>
          <w:tcPr/>
          <w:p>
            <w:pPr>
              <w:pStyle w:val="Compact"/>
            </w:pPr>
            <w:r>
              <w:t xml:space="preserve">Yes</w:t>
            </w:r>
          </w:p>
        </w:tc>
      </w:tr>
      <w:tr>
        <w:tc>
          <w:tcPr/>
          <w:p>
            <w:pPr>
              <w:pStyle w:val="Compact"/>
            </w:pPr>
            <w:r>
              <w:t xml:space="preserve">ID</w:t>
            </w:r>
          </w:p>
        </w:tc>
        <w:tc>
          <w:tcPr/>
          <w:p>
            <w:pPr>
              <w:pStyle w:val="Compact"/>
            </w:pPr>
            <w:r>
              <w:t xml:space="preserve">5</w:t>
            </w:r>
          </w:p>
        </w:tc>
        <w:tc>
          <w:tcPr/>
          <w:p>
            <w:pPr>
              <w:pStyle w:val="Compact"/>
            </w:pPr>
            <w:r>
              <w:t xml:space="preserve">3</w:t>
            </w:r>
          </w:p>
        </w:tc>
        <w:tc>
          <w:tcPr/>
          <w:p>
            <w:pPr>
              <w:pStyle w:val="Compact"/>
            </w:pPr>
            <w:r>
              <w:t xml:space="preserve">60.0%</w:t>
            </w:r>
          </w:p>
        </w:tc>
        <w:tc>
          <w:tcPr/>
          <w:p>
            <w:pPr>
              <w:pStyle w:val="Compact"/>
            </w:pPr>
            <w:r>
              <w:t xml:space="preserve">Yes</w:t>
            </w:r>
          </w:p>
        </w:tc>
      </w:tr>
      <w:tr>
        <w:tc>
          <w:tcPr/>
          <w:p>
            <w:pPr>
              <w:pStyle w:val="Compact"/>
            </w:pPr>
            <w:r>
              <w:t xml:space="preserve">ND</w:t>
            </w:r>
          </w:p>
        </w:tc>
        <w:tc>
          <w:tcPr/>
          <w:p>
            <w:pPr>
              <w:pStyle w:val="Compact"/>
            </w:pPr>
            <w:r>
              <w:t xml:space="preserve">5</w:t>
            </w:r>
          </w:p>
        </w:tc>
        <w:tc>
          <w:tcPr/>
          <w:p>
            <w:pPr>
              <w:pStyle w:val="Compact"/>
            </w:pPr>
            <w:r>
              <w:t xml:space="preserve">0</w:t>
            </w:r>
          </w:p>
        </w:tc>
        <w:tc>
          <w:tcPr/>
          <w:p>
            <w:pPr>
              <w:pStyle w:val="Compact"/>
            </w:pPr>
            <w:r>
              <w:t xml:space="preserve">0.0%</w:t>
            </w:r>
          </w:p>
        </w:tc>
        <w:tc>
          <w:tcPr/>
          <w:p>
            <w:pPr>
              <w:pStyle w:val="Compact"/>
            </w:pPr>
            <w:r>
              <w:t xml:space="preserve">No</w:t>
            </w:r>
          </w:p>
        </w:tc>
      </w:tr>
      <w:tr>
        <w:tc>
          <w:tcPr/>
          <w:p>
            <w:pPr>
              <w:pStyle w:val="Compact"/>
            </w:pPr>
            <w:r>
              <w:t xml:space="preserve">HI</w:t>
            </w:r>
          </w:p>
        </w:tc>
        <w:tc>
          <w:tcPr/>
          <w:p>
            <w:pPr>
              <w:pStyle w:val="Compact"/>
            </w:pPr>
            <w:r>
              <w:t xml:space="preserve">3</w:t>
            </w:r>
          </w:p>
        </w:tc>
        <w:tc>
          <w:tcPr/>
          <w:p>
            <w:pPr>
              <w:pStyle w:val="Compact"/>
            </w:pPr>
            <w:r>
              <w:t xml:space="preserve">3</w:t>
            </w:r>
          </w:p>
        </w:tc>
        <w:tc>
          <w:tcPr/>
          <w:p>
            <w:pPr>
              <w:pStyle w:val="Compact"/>
            </w:pPr>
            <w:r>
              <w:t xml:space="preserve">100.0%</w:t>
            </w:r>
          </w:p>
        </w:tc>
        <w:tc>
          <w:tcPr/>
          <w:p>
            <w:pPr>
              <w:pStyle w:val="Compact"/>
            </w:pPr>
            <w:r>
              <w:t xml:space="preserve">Yes</w:t>
            </w:r>
          </w:p>
        </w:tc>
      </w:tr>
      <w:tr>
        <w:tc>
          <w:tcPr/>
          <w:p>
            <w:pPr>
              <w:pStyle w:val="Compact"/>
            </w:pPr>
            <w:r>
              <w:t xml:space="preserve">VT</w:t>
            </w:r>
          </w:p>
        </w:tc>
        <w:tc>
          <w:tcPr/>
          <w:p>
            <w:pPr>
              <w:pStyle w:val="Compact"/>
            </w:pPr>
            <w:r>
              <w:t xml:space="preserve">3</w:t>
            </w:r>
          </w:p>
        </w:tc>
        <w:tc>
          <w:tcPr/>
          <w:p>
            <w:pPr>
              <w:pStyle w:val="Compact"/>
            </w:pPr>
            <w:r>
              <w:t xml:space="preserve">2</w:t>
            </w:r>
          </w:p>
        </w:tc>
        <w:tc>
          <w:tcPr/>
          <w:p>
            <w:pPr>
              <w:pStyle w:val="Compact"/>
            </w:pPr>
            <w:r>
              <w:t xml:space="preserve">66.7%</w:t>
            </w:r>
          </w:p>
        </w:tc>
        <w:tc>
          <w:tcPr/>
          <w:p>
            <w:pPr>
              <w:pStyle w:val="Compact"/>
            </w:pPr>
            <w:r>
              <w:t xml:space="preserve">Yes</w:t>
            </w:r>
          </w:p>
        </w:tc>
      </w:tr>
      <w:tr>
        <w:tc>
          <w:tcPr/>
          <w:p>
            <w:pPr>
              <w:pStyle w:val="Compact"/>
            </w:pPr>
            <w:r>
              <w:t xml:space="preserve">PR</w:t>
            </w:r>
          </w:p>
        </w:tc>
        <w:tc>
          <w:tcPr/>
          <w:p>
            <w:pPr>
              <w:pStyle w:val="Compact"/>
            </w:pPr>
            <w:r>
              <w:t xml:space="preserve">2</w:t>
            </w:r>
          </w:p>
        </w:tc>
        <w:tc>
          <w:tcPr/>
          <w:p>
            <w:pPr>
              <w:pStyle w:val="Compact"/>
            </w:pPr>
            <w:r>
              <w:t xml:space="preserve">0</w:t>
            </w:r>
          </w:p>
        </w:tc>
        <w:tc>
          <w:tcPr/>
          <w:p>
            <w:pPr>
              <w:pStyle w:val="Compact"/>
            </w:pPr>
            <w:r>
              <w:t xml:space="preserve">0.0%</w:t>
            </w:r>
          </w:p>
        </w:tc>
        <w:tc>
          <w:tcPr/>
          <w:p>
            <w:pPr>
              <w:pStyle w:val="Compact"/>
            </w:pPr>
            <w:r>
              <w:t xml:space="preserve">No</w:t>
            </w:r>
          </w:p>
        </w:tc>
      </w:tr>
      <w:tr>
        <w:tc>
          <w:tcPr/>
          <w:p>
            <w:pPr>
              <w:pStyle w:val="Compact"/>
            </w:pPr>
            <w:r>
              <w:t xml:space="preserve">AK</w:t>
            </w:r>
          </w:p>
        </w:tc>
        <w:tc>
          <w:tcPr/>
          <w:p>
            <w:pPr>
              <w:pStyle w:val="Compact"/>
            </w:pPr>
            <w:r>
              <w:t xml:space="preserve">1</w:t>
            </w:r>
          </w:p>
        </w:tc>
        <w:tc>
          <w:tcPr/>
          <w:p>
            <w:pPr>
              <w:pStyle w:val="Compact"/>
            </w:pPr>
            <w:r>
              <w:t xml:space="preserve">0</w:t>
            </w:r>
          </w:p>
        </w:tc>
        <w:tc>
          <w:tcPr/>
          <w:p>
            <w:pPr>
              <w:pStyle w:val="Compact"/>
            </w:pPr>
            <w:r>
              <w:t xml:space="preserve">0.0%</w:t>
            </w:r>
          </w:p>
        </w:tc>
        <w:tc>
          <w:tcPr/>
          <w:p>
            <w:pPr>
              <w:pStyle w:val="Compact"/>
            </w:pPr>
            <w:r>
              <w:t xml:space="preserve">No</w:t>
            </w:r>
          </w:p>
        </w:tc>
      </w:tr>
      <w:tr>
        <w:tc>
          <w:tcPr/>
          <w:p>
            <w:pPr>
              <w:pStyle w:val="Compact"/>
            </w:pPr>
            <w:r>
              <w:t xml:space="preserve">WY</w:t>
            </w:r>
          </w:p>
        </w:tc>
        <w:tc>
          <w:tcPr/>
          <w:p>
            <w:pPr>
              <w:pStyle w:val="Compact"/>
            </w:pPr>
            <w:r>
              <w:t xml:space="preserve">1</w:t>
            </w:r>
          </w:p>
        </w:tc>
        <w:tc>
          <w:tcPr/>
          <w:p>
            <w:pPr>
              <w:pStyle w:val="Compact"/>
            </w:pPr>
            <w:r>
              <w:t xml:space="preserve">0</w:t>
            </w:r>
          </w:p>
        </w:tc>
        <w:tc>
          <w:tcPr/>
          <w:p>
            <w:pPr>
              <w:pStyle w:val="Compact"/>
            </w:pPr>
            <w:r>
              <w:t xml:space="preserve">0.0%</w:t>
            </w:r>
          </w:p>
        </w:tc>
        <w:tc>
          <w:tcPr/>
          <w:p>
            <w:pPr>
              <w:pStyle w:val="Compact"/>
            </w:pPr>
            <w:r>
              <w:t xml:space="preserve">No</w:t>
            </w:r>
          </w:p>
        </w:tc>
      </w:tr>
    </w:tbl>
    <w:p>
      <w:pPr>
        <w:pStyle w:val="BodyText"/>
      </w:pPr>
      <w:r>
        <w:rPr>
          <w:b/>
          <w:bCs/>
        </w:rPr>
        <w:t xml:space="preserve">Supplementary Table S8.</w:t>
      </w:r>
      <w:r>
        <w:t xml:space="preserve"> </w:t>
      </w:r>
      <w:r>
        <w:t xml:space="preserve">Suppression sensitivity. Hypothetical suppressed low-volume providers (25% and 50% of the observed count, each performing 1–10 services) were added to each group before recomputing the Gini coefficient and HHI. Concentration rose only modestly, so the low-concentration conclusion is robust to the unobserved low-volume tail.</w:t>
      </w:r>
    </w:p>
    <w:tbl>
      <w:tblPr>
        <w:tblStyle w:val="Table"/>
        <w:tblW w:type="pct" w:w="5000"/>
        <w:tblLayout w:type="fixed"/>
        <w:tblLook w:firstRow="1" w:lastRow="0" w:firstColumn="0" w:lastColumn="0" w:noHBand="0" w:noVBand="0" w:val="0020"/>
      </w:tblPr>
      <w:tblGrid>
        <w:gridCol w:w="1556"/>
        <w:gridCol w:w="1015"/>
        <w:gridCol w:w="1489"/>
        <w:gridCol w:w="1489"/>
        <w:gridCol w:w="947"/>
        <w:gridCol w:w="1421"/>
      </w:tblGrid>
      <w:tr>
        <w:trPr>
          <w:tblHeader w:val="on"/>
        </w:trPr>
        <w:tc>
          <w:tcPr/>
          <w:p>
            <w:pPr>
              <w:pStyle w:val="Compact"/>
            </w:pPr>
            <w:r>
              <w:t xml:space="preserve">Specialty</w:t>
            </w:r>
          </w:p>
        </w:tc>
        <w:tc>
          <w:tcPr/>
          <w:p>
            <w:pPr>
              <w:pStyle w:val="Compact"/>
            </w:pPr>
            <w:r>
              <w:t xml:space="preserve">Observed Gini</w:t>
            </w:r>
          </w:p>
        </w:tc>
        <w:tc>
          <w:tcPr/>
          <w:p>
            <w:pPr>
              <w:pStyle w:val="Compact"/>
            </w:pPr>
            <w:r>
              <w:t xml:space="preserve">Gini +25% suppressed</w:t>
            </w:r>
          </w:p>
        </w:tc>
        <w:tc>
          <w:tcPr/>
          <w:p>
            <w:pPr>
              <w:pStyle w:val="Compact"/>
            </w:pPr>
            <w:r>
              <w:t xml:space="preserve">Gini +50% suppressed</w:t>
            </w:r>
          </w:p>
        </w:tc>
        <w:tc>
          <w:tcPr/>
          <w:p>
            <w:pPr>
              <w:pStyle w:val="Compact"/>
            </w:pPr>
            <w:r>
              <w:t xml:space="preserve">Observed HHI</w:t>
            </w:r>
          </w:p>
        </w:tc>
        <w:tc>
          <w:tcPr/>
          <w:p>
            <w:pPr>
              <w:pStyle w:val="Compact"/>
            </w:pPr>
            <w:r>
              <w:t xml:space="preserve">HHI +50% suppressed</w:t>
            </w:r>
          </w:p>
        </w:tc>
      </w:tr>
      <w:tr>
        <w:tc>
          <w:tcPr/>
          <w:p>
            <w:pPr>
              <w:pStyle w:val="Compact"/>
            </w:pPr>
            <w:r>
              <w:t xml:space="preserve">URPS (OB/GYN)</w:t>
            </w:r>
          </w:p>
        </w:tc>
        <w:tc>
          <w:tcPr/>
          <w:p>
            <w:pPr>
              <w:pStyle w:val="Compact"/>
            </w:pPr>
            <w:r>
              <w:t xml:space="preserve">0.51</w:t>
            </w:r>
          </w:p>
        </w:tc>
        <w:tc>
          <w:tcPr/>
          <w:p>
            <w:pPr>
              <w:pStyle w:val="Compact"/>
            </w:pPr>
            <w:r>
              <w:t xml:space="preserve">0.59</w:t>
            </w:r>
          </w:p>
        </w:tc>
        <w:tc>
          <w:tcPr/>
          <w:p>
            <w:pPr>
              <w:pStyle w:val="Compact"/>
            </w:pPr>
            <w:r>
              <w:t xml:space="preserve">0.64</w:t>
            </w:r>
          </w:p>
        </w:tc>
        <w:tc>
          <w:tcPr/>
          <w:p>
            <w:pPr>
              <w:pStyle w:val="Compact"/>
            </w:pPr>
            <w:r>
              <w:t xml:space="preserve">33</w:t>
            </w:r>
          </w:p>
        </w:tc>
        <w:tc>
          <w:tcPr/>
          <w:p>
            <w:pPr>
              <w:pStyle w:val="Compact"/>
            </w:pPr>
            <w:r>
              <w:t xml:space="preserve">31</w:t>
            </w:r>
          </w:p>
        </w:tc>
      </w:tr>
      <w:tr>
        <w:tc>
          <w:tcPr/>
          <w:p>
            <w:pPr>
              <w:pStyle w:val="Compact"/>
            </w:pPr>
            <w:r>
              <w:t xml:space="preserve">URPS (urology)</w:t>
            </w:r>
          </w:p>
        </w:tc>
        <w:tc>
          <w:tcPr/>
          <w:p>
            <w:pPr>
              <w:pStyle w:val="Compact"/>
            </w:pPr>
            <w:r>
              <w:t xml:space="preserve">0.53</w:t>
            </w:r>
          </w:p>
        </w:tc>
        <w:tc>
          <w:tcPr/>
          <w:p>
            <w:pPr>
              <w:pStyle w:val="Compact"/>
            </w:pPr>
            <w:r>
              <w:t xml:space="preserve">0.60</w:t>
            </w:r>
          </w:p>
        </w:tc>
        <w:tc>
          <w:tcPr/>
          <w:p>
            <w:pPr>
              <w:pStyle w:val="Compact"/>
            </w:pPr>
            <w:r>
              <w:t xml:space="preserve">0.65</w:t>
            </w:r>
          </w:p>
        </w:tc>
        <w:tc>
          <w:tcPr/>
          <w:p>
            <w:pPr>
              <w:pStyle w:val="Compact"/>
            </w:pPr>
            <w:r>
              <w:t xml:space="preserve">149</w:t>
            </w:r>
          </w:p>
        </w:tc>
        <w:tc>
          <w:tcPr/>
          <w:p>
            <w:pPr>
              <w:pStyle w:val="Compact"/>
            </w:pPr>
            <w:r>
              <w:t xml:space="preserve">140</w:t>
            </w:r>
          </w:p>
        </w:tc>
      </w:tr>
      <w:tr>
        <w:tc>
          <w:tcPr/>
          <w:p>
            <w:pPr>
              <w:pStyle w:val="Compact"/>
            </w:pPr>
            <w:r>
              <w:t xml:space="preserve">Urology (non-URPS)</w:t>
            </w:r>
          </w:p>
        </w:tc>
        <w:tc>
          <w:tcPr/>
          <w:p>
            <w:pPr>
              <w:pStyle w:val="Compact"/>
            </w:pPr>
            <w:r>
              <w:t xml:space="preserve">0.52</w:t>
            </w:r>
          </w:p>
        </w:tc>
        <w:tc>
          <w:tcPr/>
          <w:p>
            <w:pPr>
              <w:pStyle w:val="Compact"/>
            </w:pPr>
            <w:r>
              <w:t xml:space="preserve">0.59</w:t>
            </w:r>
          </w:p>
        </w:tc>
        <w:tc>
          <w:tcPr/>
          <w:p>
            <w:pPr>
              <w:pStyle w:val="Compact"/>
            </w:pPr>
            <w:r>
              <w:t xml:space="preserve">0.62</w:t>
            </w:r>
          </w:p>
        </w:tc>
        <w:tc>
          <w:tcPr/>
          <w:p>
            <w:pPr>
              <w:pStyle w:val="Compact"/>
            </w:pPr>
            <w:r>
              <w:t xml:space="preserve">65</w:t>
            </w:r>
          </w:p>
        </w:tc>
        <w:tc>
          <w:tcPr/>
          <w:p>
            <w:pPr>
              <w:pStyle w:val="Compact"/>
            </w:pPr>
            <w:r>
              <w:t xml:space="preserve">59</w:t>
            </w:r>
          </w:p>
        </w:tc>
      </w:tr>
      <w:tr>
        <w:tc>
          <w:tcPr/>
          <w:p>
            <w:pPr>
              <w:pStyle w:val="Compact"/>
            </w:pPr>
            <w:r>
              <w:t xml:space="preserve">Other non-URPS OB/GYN</w:t>
            </w:r>
          </w:p>
        </w:tc>
        <w:tc>
          <w:tcPr/>
          <w:p>
            <w:pPr>
              <w:pStyle w:val="Compact"/>
            </w:pPr>
            <w:r>
              <w:t xml:space="preserve">0.56</w:t>
            </w:r>
          </w:p>
        </w:tc>
        <w:tc>
          <w:tcPr/>
          <w:p>
            <w:pPr>
              <w:pStyle w:val="Compact"/>
            </w:pPr>
            <w:r>
              <w:t xml:space="preserve">0.62</w:t>
            </w:r>
          </w:p>
        </w:tc>
        <w:tc>
          <w:tcPr/>
          <w:p>
            <w:pPr>
              <w:pStyle w:val="Compact"/>
            </w:pPr>
            <w:r>
              <w:t xml:space="preserve">0.65</w:t>
            </w:r>
          </w:p>
        </w:tc>
        <w:tc>
          <w:tcPr/>
          <w:p>
            <w:pPr>
              <w:pStyle w:val="Compact"/>
            </w:pPr>
            <w:r>
              <w:t xml:space="preserve">89</w:t>
            </w:r>
          </w:p>
        </w:tc>
        <w:tc>
          <w:tcPr/>
          <w:p>
            <w:pPr>
              <w:pStyle w:val="Compact"/>
            </w:pPr>
            <w:r>
              <w:t xml:space="preserve">81</w:t>
            </w:r>
          </w:p>
        </w:tc>
      </w:tr>
    </w:tbl>
    <w:p>
      <w:pPr>
        <w:pStyle w:val="BodyText"/>
      </w:pPr>
      <w:r>
        <w:rPr>
          <w:b/>
          <w:bCs/>
        </w:rPr>
        <w:t xml:space="preserve">Supplementary Table S9.</w:t>
      </w:r>
      <w:r>
        <w:t xml:space="preserve"> </w:t>
      </w:r>
      <w:r>
        <w:t xml:space="preserve">Annual observable participation transitions using a two-year washout. Newly observable surgeons were absent in both prior observable years; surgeons no longer observable were absent in both subsequent observable years. Newly observable and continuing counts are undefined for the first two years, and no-longer-observable counts are undefined for the last two years. These describe threshold crossings, not definitive entry into or exit from practice.</w:t>
      </w:r>
    </w:p>
    <w:tbl>
      <w:tblPr>
        <w:tblStyle w:val="Table"/>
        <w:tblW w:type="pct" w:w="5000"/>
        <w:tblLayout w:type="fixed"/>
        <w:tblLook w:firstRow="1" w:lastRow="0" w:firstColumn="0" w:lastColumn="0" w:noHBand="0" w:noVBand="0" w:val="0020"/>
      </w:tblPr>
      <w:tblGrid>
        <w:gridCol w:w="505"/>
        <w:gridCol w:w="1011"/>
        <w:gridCol w:w="842"/>
        <w:gridCol w:w="1011"/>
        <w:gridCol w:w="758"/>
        <w:gridCol w:w="1853"/>
        <w:gridCol w:w="1937"/>
      </w:tblGrid>
      <w:tr>
        <w:trPr>
          <w:tblHeader w:val="on"/>
        </w:trPr>
        <w:tc>
          <w:tcPr/>
          <w:p>
            <w:pPr>
              <w:pStyle w:val="Compact"/>
            </w:pPr>
            <w:r>
              <w:t xml:space="preserve">Year</w:t>
            </w:r>
          </w:p>
        </w:tc>
        <w:tc>
          <w:tcPr/>
          <w:p>
            <w:pPr>
              <w:pStyle w:val="Compact"/>
            </w:pPr>
            <w:r>
              <w:t xml:space="preserve">Observable</w:t>
            </w:r>
          </w:p>
        </w:tc>
        <w:tc>
          <w:tcPr/>
          <w:p>
            <w:pPr>
              <w:pStyle w:val="Compact"/>
            </w:pPr>
            <w:r>
              <w:t xml:space="preserve">Entrants</w:t>
            </w:r>
          </w:p>
        </w:tc>
        <w:tc>
          <w:tcPr/>
          <w:p>
            <w:pPr>
              <w:pStyle w:val="Compact"/>
            </w:pPr>
            <w:r>
              <w:t xml:space="preserve">Continuing</w:t>
            </w:r>
          </w:p>
        </w:tc>
        <w:tc>
          <w:tcPr/>
          <w:p>
            <w:pPr>
              <w:pStyle w:val="Compact"/>
            </w:pPr>
            <w:r>
              <w:t xml:space="preserve">Exiting</w:t>
            </w:r>
          </w:p>
        </w:tc>
        <w:tc>
          <w:tcPr/>
          <w:p>
            <w:pPr>
              <w:pStyle w:val="Compact"/>
            </w:pPr>
            <w:r>
              <w:t xml:space="preserve">% volume by entrants</w:t>
            </w:r>
          </w:p>
        </w:tc>
        <w:tc>
          <w:tcPr/>
          <w:p>
            <w:pPr>
              <w:pStyle w:val="Compact"/>
            </w:pPr>
            <w:r>
              <w:t xml:space="preserve">Median entrant volume</w:t>
            </w:r>
          </w:p>
        </w:tc>
      </w:tr>
      <w:tr>
        <w:tc>
          <w:tcPr/>
          <w:p>
            <w:pPr>
              <w:pStyle w:val="Compact"/>
            </w:pPr>
            <w:r>
              <w:t xml:space="preserve">2013</w:t>
            </w:r>
          </w:p>
        </w:tc>
        <w:tc>
          <w:tcPr/>
          <w:p>
            <w:pPr>
              <w:pStyle w:val="Compact"/>
            </w:pPr>
            <w:r>
              <w:t xml:space="preserve">779</w:t>
            </w:r>
          </w:p>
        </w:tc>
        <w:tc>
          <w:tcPr/>
          <w:p>
            <w:pPr>
              <w:pStyle w:val="Compact"/>
            </w:pPr>
            <w:r>
              <w:t xml:space="preserve">n/a</w:t>
            </w:r>
          </w:p>
        </w:tc>
        <w:tc>
          <w:tcPr/>
          <w:p>
            <w:pPr>
              <w:pStyle w:val="Compact"/>
            </w:pPr>
            <w:r>
              <w:t xml:space="preserve">n/a</w:t>
            </w:r>
          </w:p>
        </w:tc>
        <w:tc>
          <w:tcPr/>
          <w:p>
            <w:pPr>
              <w:pStyle w:val="Compact"/>
            </w:pPr>
            <w:r>
              <w:t xml:space="preserve">204</w:t>
            </w:r>
          </w:p>
        </w:tc>
        <w:tc>
          <w:tcPr/>
          <w:p>
            <w:pPr>
              <w:pStyle w:val="Compact"/>
            </w:pPr>
            <w:r>
              <w:t xml:space="preserve">n/a</w:t>
            </w:r>
          </w:p>
        </w:tc>
        <w:tc>
          <w:tcPr/>
          <w:p>
            <w:pPr>
              <w:pStyle w:val="Compact"/>
            </w:pPr>
            <w:r>
              <w:t xml:space="preserve">n/a</w:t>
            </w:r>
          </w:p>
        </w:tc>
      </w:tr>
      <w:tr>
        <w:tc>
          <w:tcPr/>
          <w:p>
            <w:pPr>
              <w:pStyle w:val="Compact"/>
            </w:pPr>
            <w:r>
              <w:t xml:space="preserve">2014</w:t>
            </w:r>
          </w:p>
        </w:tc>
        <w:tc>
          <w:tcPr/>
          <w:p>
            <w:pPr>
              <w:pStyle w:val="Compact"/>
            </w:pPr>
            <w:r>
              <w:t xml:space="preserve">656</w:t>
            </w:r>
          </w:p>
        </w:tc>
        <w:tc>
          <w:tcPr/>
          <w:p>
            <w:pPr>
              <w:pStyle w:val="Compact"/>
            </w:pPr>
            <w:r>
              <w:t xml:space="preserve">n/a</w:t>
            </w:r>
          </w:p>
        </w:tc>
        <w:tc>
          <w:tcPr/>
          <w:p>
            <w:pPr>
              <w:pStyle w:val="Compact"/>
            </w:pPr>
            <w:r>
              <w:t xml:space="preserve">n/a</w:t>
            </w:r>
          </w:p>
        </w:tc>
        <w:tc>
          <w:tcPr/>
          <w:p>
            <w:pPr>
              <w:pStyle w:val="Compact"/>
            </w:pPr>
            <w:r>
              <w:t xml:space="preserve">156</w:t>
            </w:r>
          </w:p>
        </w:tc>
        <w:tc>
          <w:tcPr/>
          <w:p>
            <w:pPr>
              <w:pStyle w:val="Compact"/>
            </w:pPr>
            <w:r>
              <w:t xml:space="preserve">n/a</w:t>
            </w:r>
          </w:p>
        </w:tc>
        <w:tc>
          <w:tcPr/>
          <w:p>
            <w:pPr>
              <w:pStyle w:val="Compact"/>
            </w:pPr>
            <w:r>
              <w:t xml:space="preserve">n/a</w:t>
            </w:r>
          </w:p>
        </w:tc>
      </w:tr>
      <w:tr>
        <w:tc>
          <w:tcPr/>
          <w:p>
            <w:pPr>
              <w:pStyle w:val="Compact"/>
            </w:pPr>
            <w:r>
              <w:t xml:space="preserve">2015</w:t>
            </w:r>
          </w:p>
        </w:tc>
        <w:tc>
          <w:tcPr/>
          <w:p>
            <w:pPr>
              <w:pStyle w:val="Compact"/>
            </w:pPr>
            <w:r>
              <w:t xml:space="preserve">627</w:t>
            </w:r>
          </w:p>
        </w:tc>
        <w:tc>
          <w:tcPr/>
          <w:p>
            <w:pPr>
              <w:pStyle w:val="Compact"/>
            </w:pPr>
            <w:r>
              <w:t xml:space="preserve">120</w:t>
            </w:r>
          </w:p>
        </w:tc>
        <w:tc>
          <w:tcPr/>
          <w:p>
            <w:pPr>
              <w:pStyle w:val="Compact"/>
            </w:pPr>
            <w:r>
              <w:t xml:space="preserve">507</w:t>
            </w:r>
          </w:p>
        </w:tc>
        <w:tc>
          <w:tcPr/>
          <w:p>
            <w:pPr>
              <w:pStyle w:val="Compact"/>
            </w:pPr>
            <w:r>
              <w:t xml:space="preserve">123</w:t>
            </w:r>
          </w:p>
        </w:tc>
        <w:tc>
          <w:tcPr/>
          <w:p>
            <w:pPr>
              <w:pStyle w:val="Compact"/>
            </w:pPr>
            <w:r>
              <w:t xml:space="preserve">13.8%</w:t>
            </w:r>
          </w:p>
        </w:tc>
        <w:tc>
          <w:tcPr/>
          <w:p>
            <w:pPr>
              <w:pStyle w:val="Compact"/>
            </w:pPr>
            <w:r>
              <w:t xml:space="preserve">13</w:t>
            </w:r>
          </w:p>
        </w:tc>
      </w:tr>
      <w:tr>
        <w:tc>
          <w:tcPr/>
          <w:p>
            <w:pPr>
              <w:pStyle w:val="Compact"/>
            </w:pPr>
            <w:r>
              <w:t xml:space="preserve">2016</w:t>
            </w:r>
          </w:p>
        </w:tc>
        <w:tc>
          <w:tcPr/>
          <w:p>
            <w:pPr>
              <w:pStyle w:val="Compact"/>
            </w:pPr>
            <w:r>
              <w:t xml:space="preserve">665</w:t>
            </w:r>
          </w:p>
        </w:tc>
        <w:tc>
          <w:tcPr/>
          <w:p>
            <w:pPr>
              <w:pStyle w:val="Compact"/>
            </w:pPr>
            <w:r>
              <w:t xml:space="preserve">143</w:t>
            </w:r>
          </w:p>
        </w:tc>
        <w:tc>
          <w:tcPr/>
          <w:p>
            <w:pPr>
              <w:pStyle w:val="Compact"/>
            </w:pPr>
            <w:r>
              <w:t xml:space="preserve">522</w:t>
            </w:r>
          </w:p>
        </w:tc>
        <w:tc>
          <w:tcPr/>
          <w:p>
            <w:pPr>
              <w:pStyle w:val="Compact"/>
            </w:pPr>
            <w:r>
              <w:t xml:space="preserve">118</w:t>
            </w:r>
          </w:p>
        </w:tc>
        <w:tc>
          <w:tcPr/>
          <w:p>
            <w:pPr>
              <w:pStyle w:val="Compact"/>
            </w:pPr>
            <w:r>
              <w:t xml:space="preserve">14.5%</w:t>
            </w:r>
          </w:p>
        </w:tc>
        <w:tc>
          <w:tcPr/>
          <w:p>
            <w:pPr>
              <w:pStyle w:val="Compact"/>
            </w:pPr>
            <w:r>
              <w:t xml:space="preserve">13</w:t>
            </w:r>
          </w:p>
        </w:tc>
      </w:tr>
      <w:tr>
        <w:tc>
          <w:tcPr/>
          <w:p>
            <w:pPr>
              <w:pStyle w:val="Compact"/>
            </w:pPr>
            <w:r>
              <w:t xml:space="preserve">2017</w:t>
            </w:r>
          </w:p>
        </w:tc>
        <w:tc>
          <w:tcPr/>
          <w:p>
            <w:pPr>
              <w:pStyle w:val="Compact"/>
            </w:pPr>
            <w:r>
              <w:t xml:space="preserve">694</w:t>
            </w:r>
          </w:p>
        </w:tc>
        <w:tc>
          <w:tcPr/>
          <w:p>
            <w:pPr>
              <w:pStyle w:val="Compact"/>
            </w:pPr>
            <w:r>
              <w:t xml:space="preserve">135</w:t>
            </w:r>
          </w:p>
        </w:tc>
        <w:tc>
          <w:tcPr/>
          <w:p>
            <w:pPr>
              <w:pStyle w:val="Compact"/>
            </w:pPr>
            <w:r>
              <w:t xml:space="preserve">559</w:t>
            </w:r>
          </w:p>
        </w:tc>
        <w:tc>
          <w:tcPr/>
          <w:p>
            <w:pPr>
              <w:pStyle w:val="Compact"/>
            </w:pPr>
            <w:r>
              <w:t xml:space="preserve">189</w:t>
            </w:r>
          </w:p>
        </w:tc>
        <w:tc>
          <w:tcPr/>
          <w:p>
            <w:pPr>
              <w:pStyle w:val="Compact"/>
            </w:pPr>
            <w:r>
              <w:t xml:space="preserve">13.0%</w:t>
            </w:r>
          </w:p>
        </w:tc>
        <w:tc>
          <w:tcPr/>
          <w:p>
            <w:pPr>
              <w:pStyle w:val="Compact"/>
            </w:pPr>
            <w:r>
              <w:t xml:space="preserve">13</w:t>
            </w:r>
          </w:p>
        </w:tc>
      </w:tr>
      <w:tr>
        <w:tc>
          <w:tcPr/>
          <w:p>
            <w:pPr>
              <w:pStyle w:val="Compact"/>
            </w:pPr>
            <w:r>
              <w:t xml:space="preserve">2018</w:t>
            </w:r>
          </w:p>
        </w:tc>
        <w:tc>
          <w:tcPr/>
          <w:p>
            <w:pPr>
              <w:pStyle w:val="Compact"/>
            </w:pPr>
            <w:r>
              <w:t xml:space="preserve">640</w:t>
            </w:r>
          </w:p>
        </w:tc>
        <w:tc>
          <w:tcPr/>
          <w:p>
            <w:pPr>
              <w:pStyle w:val="Compact"/>
            </w:pPr>
            <w:r>
              <w:t xml:space="preserve">130</w:t>
            </w:r>
          </w:p>
        </w:tc>
        <w:tc>
          <w:tcPr/>
          <w:p>
            <w:pPr>
              <w:pStyle w:val="Compact"/>
            </w:pPr>
            <w:r>
              <w:t xml:space="preserve">510</w:t>
            </w:r>
          </w:p>
        </w:tc>
        <w:tc>
          <w:tcPr/>
          <w:p>
            <w:pPr>
              <w:pStyle w:val="Compact"/>
            </w:pPr>
            <w:r>
              <w:t xml:space="preserve">146</w:t>
            </w:r>
          </w:p>
        </w:tc>
        <w:tc>
          <w:tcPr/>
          <w:p>
            <w:pPr>
              <w:pStyle w:val="Compact"/>
            </w:pPr>
            <w:r>
              <w:t xml:space="preserve">13.8%</w:t>
            </w:r>
          </w:p>
        </w:tc>
        <w:tc>
          <w:tcPr/>
          <w:p>
            <w:pPr>
              <w:pStyle w:val="Compact"/>
            </w:pPr>
            <w:r>
              <w:t xml:space="preserve">14</w:t>
            </w:r>
          </w:p>
        </w:tc>
      </w:tr>
      <w:tr>
        <w:tc>
          <w:tcPr/>
          <w:p>
            <w:pPr>
              <w:pStyle w:val="Compact"/>
            </w:pPr>
            <w:r>
              <w:t xml:space="preserve">2019</w:t>
            </w:r>
          </w:p>
        </w:tc>
        <w:tc>
          <w:tcPr/>
          <w:p>
            <w:pPr>
              <w:pStyle w:val="Compact"/>
            </w:pPr>
            <w:r>
              <w:t xml:space="preserve">610</w:t>
            </w:r>
          </w:p>
        </w:tc>
        <w:tc>
          <w:tcPr/>
          <w:p>
            <w:pPr>
              <w:pStyle w:val="Compact"/>
            </w:pPr>
            <w:r>
              <w:t xml:space="preserve">111</w:t>
            </w:r>
          </w:p>
        </w:tc>
        <w:tc>
          <w:tcPr/>
          <w:p>
            <w:pPr>
              <w:pStyle w:val="Compact"/>
            </w:pPr>
            <w:r>
              <w:t xml:space="preserve">499</w:t>
            </w:r>
          </w:p>
        </w:tc>
        <w:tc>
          <w:tcPr/>
          <w:p>
            <w:pPr>
              <w:pStyle w:val="Compact"/>
            </w:pPr>
            <w:r>
              <w:t xml:space="preserve">212</w:t>
            </w:r>
          </w:p>
        </w:tc>
        <w:tc>
          <w:tcPr/>
          <w:p>
            <w:pPr>
              <w:pStyle w:val="Compact"/>
            </w:pPr>
            <w:r>
              <w:t xml:space="preserve">11.7%</w:t>
            </w:r>
          </w:p>
        </w:tc>
        <w:tc>
          <w:tcPr/>
          <w:p>
            <w:pPr>
              <w:pStyle w:val="Compact"/>
            </w:pPr>
            <w:r>
              <w:t xml:space="preserve">13</w:t>
            </w:r>
          </w:p>
        </w:tc>
      </w:tr>
      <w:tr>
        <w:tc>
          <w:tcPr/>
          <w:p>
            <w:pPr>
              <w:pStyle w:val="Compact"/>
            </w:pPr>
            <w:r>
              <w:t xml:space="preserve">2020</w:t>
            </w:r>
          </w:p>
        </w:tc>
        <w:tc>
          <w:tcPr/>
          <w:p>
            <w:pPr>
              <w:pStyle w:val="Compact"/>
            </w:pPr>
            <w:r>
              <w:t xml:space="preserve">423</w:t>
            </w:r>
          </w:p>
        </w:tc>
        <w:tc>
          <w:tcPr/>
          <w:p>
            <w:pPr>
              <w:pStyle w:val="Compact"/>
            </w:pPr>
            <w:r>
              <w:t xml:space="preserve">46</w:t>
            </w:r>
          </w:p>
        </w:tc>
        <w:tc>
          <w:tcPr/>
          <w:p>
            <w:pPr>
              <w:pStyle w:val="Compact"/>
            </w:pPr>
            <w:r>
              <w:t xml:space="preserve">377</w:t>
            </w:r>
          </w:p>
        </w:tc>
        <w:tc>
          <w:tcPr/>
          <w:p>
            <w:pPr>
              <w:pStyle w:val="Compact"/>
            </w:pPr>
            <w:r>
              <w:t xml:space="preserve">64</w:t>
            </w:r>
          </w:p>
        </w:tc>
        <w:tc>
          <w:tcPr/>
          <w:p>
            <w:pPr>
              <w:pStyle w:val="Compact"/>
            </w:pPr>
            <w:r>
              <w:t xml:space="preserve">7.4%</w:t>
            </w:r>
          </w:p>
        </w:tc>
        <w:tc>
          <w:tcPr/>
          <w:p>
            <w:pPr>
              <w:pStyle w:val="Compact"/>
            </w:pPr>
            <w:r>
              <w:t xml:space="preserve">13</w:t>
            </w:r>
          </w:p>
        </w:tc>
      </w:tr>
      <w:tr>
        <w:tc>
          <w:tcPr/>
          <w:p>
            <w:pPr>
              <w:pStyle w:val="Compact"/>
            </w:pPr>
            <w:r>
              <w:t xml:space="preserve">2021</w:t>
            </w:r>
          </w:p>
        </w:tc>
        <w:tc>
          <w:tcPr/>
          <w:p>
            <w:pPr>
              <w:pStyle w:val="Compact"/>
            </w:pPr>
            <w:r>
              <w:t xml:space="preserve">429</w:t>
            </w:r>
          </w:p>
        </w:tc>
        <w:tc>
          <w:tcPr/>
          <w:p>
            <w:pPr>
              <w:pStyle w:val="Compact"/>
            </w:pPr>
            <w:r>
              <w:t xml:space="preserve">72</w:t>
            </w:r>
          </w:p>
        </w:tc>
        <w:tc>
          <w:tcPr/>
          <w:p>
            <w:pPr>
              <w:pStyle w:val="Compact"/>
            </w:pPr>
            <w:r>
              <w:t xml:space="preserve">357</w:t>
            </w:r>
          </w:p>
        </w:tc>
        <w:tc>
          <w:tcPr/>
          <w:p>
            <w:pPr>
              <w:pStyle w:val="Compact"/>
            </w:pPr>
            <w:r>
              <w:t xml:space="preserve">75</w:t>
            </w:r>
          </w:p>
        </w:tc>
        <w:tc>
          <w:tcPr/>
          <w:p>
            <w:pPr>
              <w:pStyle w:val="Compact"/>
            </w:pPr>
            <w:r>
              <w:t xml:space="preserve">12.1%</w:t>
            </w:r>
          </w:p>
        </w:tc>
        <w:tc>
          <w:tcPr/>
          <w:p>
            <w:pPr>
              <w:pStyle w:val="Compact"/>
            </w:pPr>
            <w:r>
              <w:t xml:space="preserve">13</w:t>
            </w:r>
          </w:p>
        </w:tc>
      </w:tr>
      <w:tr>
        <w:tc>
          <w:tcPr/>
          <w:p>
            <w:pPr>
              <w:pStyle w:val="Compact"/>
            </w:pPr>
            <w:r>
              <w:t xml:space="preserve">2022</w:t>
            </w:r>
          </w:p>
        </w:tc>
        <w:tc>
          <w:tcPr/>
          <w:p>
            <w:pPr>
              <w:pStyle w:val="Compact"/>
            </w:pPr>
            <w:r>
              <w:t xml:space="preserve">524</w:t>
            </w:r>
          </w:p>
        </w:tc>
        <w:tc>
          <w:tcPr/>
          <w:p>
            <w:pPr>
              <w:pStyle w:val="Compact"/>
            </w:pPr>
            <w:r>
              <w:t xml:space="preserve">150</w:t>
            </w:r>
          </w:p>
        </w:tc>
        <w:tc>
          <w:tcPr/>
          <w:p>
            <w:pPr>
              <w:pStyle w:val="Compact"/>
            </w:pPr>
            <w:r>
              <w:t xml:space="preserve">374</w:t>
            </w:r>
          </w:p>
        </w:tc>
        <w:tc>
          <w:tcPr/>
          <w:p>
            <w:pPr>
              <w:pStyle w:val="Compact"/>
            </w:pPr>
            <w:r>
              <w:t xml:space="preserve">n/a</w:t>
            </w:r>
          </w:p>
        </w:tc>
        <w:tc>
          <w:tcPr/>
          <w:p>
            <w:pPr>
              <w:pStyle w:val="Compact"/>
            </w:pPr>
            <w:r>
              <w:t xml:space="preserve">21.7%</w:t>
            </w:r>
          </w:p>
        </w:tc>
        <w:tc>
          <w:tcPr/>
          <w:p>
            <w:pPr>
              <w:pStyle w:val="Compact"/>
            </w:pPr>
            <w:r>
              <w:t xml:space="preserve">14</w:t>
            </w:r>
          </w:p>
        </w:tc>
      </w:tr>
      <w:tr>
        <w:tc>
          <w:tcPr/>
          <w:p>
            <w:pPr>
              <w:pStyle w:val="Compact"/>
            </w:pPr>
            <w:r>
              <w:t xml:space="preserve">2023</w:t>
            </w:r>
          </w:p>
        </w:tc>
        <w:tc>
          <w:tcPr/>
          <w:p>
            <w:pPr>
              <w:pStyle w:val="Compact"/>
            </w:pPr>
            <w:r>
              <w:t xml:space="preserve">522</w:t>
            </w:r>
          </w:p>
        </w:tc>
        <w:tc>
          <w:tcPr/>
          <w:p>
            <w:pPr>
              <w:pStyle w:val="Compact"/>
            </w:pPr>
            <w:r>
              <w:t xml:space="preserve">112</w:t>
            </w:r>
          </w:p>
        </w:tc>
        <w:tc>
          <w:tcPr/>
          <w:p>
            <w:pPr>
              <w:pStyle w:val="Compact"/>
            </w:pPr>
            <w:r>
              <w:t xml:space="preserve">410</w:t>
            </w:r>
          </w:p>
        </w:tc>
        <w:tc>
          <w:tcPr/>
          <w:p>
            <w:pPr>
              <w:pStyle w:val="Compact"/>
            </w:pPr>
            <w:r>
              <w:t xml:space="preserve">n/a</w:t>
            </w:r>
          </w:p>
        </w:tc>
        <w:tc>
          <w:tcPr/>
          <w:p>
            <w:pPr>
              <w:pStyle w:val="Compact"/>
            </w:pPr>
            <w:r>
              <w:t xml:space="preserve">14.9%</w:t>
            </w:r>
          </w:p>
        </w:tc>
        <w:tc>
          <w:tcPr/>
          <w:p>
            <w:pPr>
              <w:pStyle w:val="Compact"/>
            </w:pPr>
            <w:r>
              <w:t xml:space="preserve">13</w:t>
            </w:r>
          </w:p>
        </w:tc>
      </w:tr>
    </w:tbl>
    <w:p>
      <w:pPr>
        <w:pStyle w:val="BodyText"/>
      </w:pPr>
      <w:r>
        <w:t xml:space="preserve">Newly observable episodes by specialty: URPS, 480; urology, 165; other OB/GYN, 205; MIGS, 8.</w:t>
      </w:r>
    </w:p>
    <w:p>
      <w:pPr>
        <w:pStyle w:val="BodyText"/>
      </w:pPr>
      <w:r>
        <w:rPr>
          <w:b/>
          <w:bCs/>
        </w:rPr>
        <w:t xml:space="preserve">Supplementary Table S11.</w:t>
      </w:r>
      <w:r>
        <w:t xml:space="preserve"> </w:t>
      </w:r>
      <w:r>
        <w:t xml:space="preserve">Classification sensitivity for ambiguous and facility billers (reviewer concern). The primary analysis excludes facility NPIs and places remaining non-physician or unclassifiable clinicians in an</w:t>
      </w:r>
      <w:r>
        <w:t xml:space="preserve"> </w:t>
      </w:r>
      <w:r>
        <w:t xml:space="preserve">“Other/uncertain”</w:t>
      </w:r>
      <w:r>
        <w:t xml:space="preserve"> </w:t>
      </w:r>
      <w:r>
        <w:t xml:space="preserve">group. Assigning them to urology (the legacy approach) roughly doubles the apparent non-URPS urology share; excluding them entirely changes the shares little for the well-populated groups. The URPS increase is significant under all three.</w:t>
      </w:r>
    </w:p>
    <w:tbl>
      <w:tblPr>
        <w:tblStyle w:val="Table"/>
        <w:tblW w:type="pct" w:w="5000"/>
        <w:tblLayout w:type="fixed"/>
        <w:tblLook w:firstRow="1" w:lastRow="0" w:firstColumn="0" w:lastColumn="0" w:noHBand="0" w:noVBand="0" w:val="0020"/>
      </w:tblPr>
      <w:tblGrid>
        <w:gridCol w:w="4555"/>
        <w:gridCol w:w="841"/>
        <w:gridCol w:w="841"/>
        <w:gridCol w:w="1682"/>
      </w:tblGrid>
      <w:tr>
        <w:trPr>
          <w:tblHeader w:val="on"/>
        </w:trPr>
        <w:tc>
          <w:tcPr/>
          <w:p>
            <w:pPr>
              <w:pStyle w:val="Compact"/>
            </w:pPr>
            <w:r>
              <w:t xml:space="preserve">Handling of ambiguous billers</w:t>
            </w:r>
          </w:p>
        </w:tc>
        <w:tc>
          <w:tcPr/>
          <w:p>
            <w:pPr>
              <w:pStyle w:val="Compact"/>
            </w:pPr>
            <w:r>
              <w:t xml:space="preserve">Physicians</w:t>
            </w:r>
          </w:p>
        </w:tc>
        <w:tc>
          <w:tcPr/>
          <w:p>
            <w:pPr>
              <w:pStyle w:val="Compact"/>
            </w:pPr>
            <w:r>
              <w:t xml:space="preserve">URPS share</w:t>
            </w:r>
          </w:p>
        </w:tc>
        <w:tc>
          <w:tcPr/>
          <w:p>
            <w:pPr>
              <w:pStyle w:val="Compact"/>
            </w:pPr>
            <w:r>
              <w:t xml:space="preserve">Non-URPS urology share</w:t>
            </w:r>
          </w:p>
        </w:tc>
      </w:tr>
      <w:tr>
        <w:tc>
          <w:tcPr/>
          <w:p>
            <w:pPr>
              <w:pStyle w:val="Compact"/>
            </w:pPr>
            <w:r>
              <w:t xml:space="preserve">Separate</w:t>
            </w:r>
            <w:r>
              <w:t xml:space="preserve"> </w:t>
            </w:r>
            <w:r>
              <w:t xml:space="preserve">‘Other/uncertain’</w:t>
            </w:r>
            <w:r>
              <w:t xml:space="preserve"> </w:t>
            </w:r>
            <w:r>
              <w:t xml:space="preserve">group; facilities excluded (primary)</w:t>
            </w:r>
          </w:p>
        </w:tc>
        <w:tc>
          <w:tcPr/>
          <w:p>
            <w:pPr>
              <w:pStyle w:val="Compact"/>
            </w:pPr>
            <w:r>
              <w:t xml:space="preserve">1,666</w:t>
            </w:r>
          </w:p>
        </w:tc>
        <w:tc>
          <w:tcPr/>
          <w:p>
            <w:pPr>
              <w:pStyle w:val="Compact"/>
            </w:pPr>
            <w:r>
              <w:t xml:space="preserve">63.7%</w:t>
            </w:r>
          </w:p>
        </w:tc>
        <w:tc>
          <w:tcPr/>
          <w:p>
            <w:pPr>
              <w:pStyle w:val="Compact"/>
            </w:pPr>
            <w:r>
              <w:t xml:space="preserve">14.5%</w:t>
            </w:r>
          </w:p>
        </w:tc>
      </w:tr>
      <w:tr>
        <w:tc>
          <w:tcPr/>
          <w:p>
            <w:pPr>
              <w:pStyle w:val="Compact"/>
            </w:pPr>
            <w:r>
              <w:t xml:space="preserve">Excluded from the cohort</w:t>
            </w:r>
          </w:p>
        </w:tc>
        <w:tc>
          <w:tcPr/>
          <w:p>
            <w:pPr>
              <w:pStyle w:val="Compact"/>
            </w:pPr>
            <w:r>
              <w:t xml:space="preserve">1,467</w:t>
            </w:r>
          </w:p>
        </w:tc>
        <w:tc>
          <w:tcPr/>
          <w:p>
            <w:pPr>
              <w:pStyle w:val="Compact"/>
            </w:pPr>
            <w:r>
              <w:t xml:space="preserve">69.3%</w:t>
            </w:r>
          </w:p>
        </w:tc>
        <w:tc>
          <w:tcPr/>
          <w:p>
            <w:pPr>
              <w:pStyle w:val="Compact"/>
            </w:pPr>
            <w:r>
              <w:t xml:space="preserve">15.8%</w:t>
            </w:r>
          </w:p>
        </w:tc>
      </w:tr>
      <w:tr>
        <w:tc>
          <w:tcPr/>
          <w:p>
            <w:pPr>
              <w:pStyle w:val="Compact"/>
            </w:pPr>
            <w:r>
              <w:t xml:space="preserve">Assigned to urology (legacy)</w:t>
            </w:r>
          </w:p>
        </w:tc>
        <w:tc>
          <w:tcPr/>
          <w:p>
            <w:pPr>
              <w:pStyle w:val="Compact"/>
            </w:pPr>
            <w:r>
              <w:t xml:space="preserve">1,789</w:t>
            </w:r>
          </w:p>
        </w:tc>
        <w:tc>
          <w:tcPr/>
          <w:p>
            <w:pPr>
              <w:pStyle w:val="Compact"/>
            </w:pPr>
            <w:r>
              <w:t xml:space="preserve">60.8%</w:t>
            </w:r>
          </w:p>
        </w:tc>
        <w:tc>
          <w:tcPr/>
          <w:p>
            <w:pPr>
              <w:pStyle w:val="Compact"/>
            </w:pPr>
            <w:r>
              <w:t xml:space="preserve">26.1%</w:t>
            </w:r>
          </w:p>
        </w:tc>
      </w:tr>
    </w:tbl>
    <w:p>
      <w:r>
        <w:pict>
          <v:rect style="width:0;height:1.5pt" o:hralign="center" o:hrstd="t" o:hr="t"/>
        </w:pict>
      </w:r>
    </w:p>
    <w:bookmarkEnd w:id="44"/>
    <w:bookmarkStart w:id="57" w:name="supplementary-figures"/>
    <w:p>
      <w:pPr>
        <w:pStyle w:val="Heading2"/>
      </w:pPr>
      <w:r>
        <w:t xml:space="preserve">Supplementary Figures</w:t>
      </w:r>
    </w:p>
    <w:p>
      <w:pPr>
        <w:pStyle w:val="FirstParagraph"/>
      </w:pPr>
      <w:r>
        <w:drawing>
          <wp:inline>
            <wp:extent cx="5334000" cy="3810000"/>
            <wp:effectExtent b="0" l="0" r="0" t="0"/>
            <wp:docPr descr="" title="" id="46" name="Picture"/>
            <a:graphic>
              <a:graphicData uri="http://schemas.openxmlformats.org/drawingml/2006/picture">
                <pic:pic>
                  <pic:nvPicPr>
                    <pic:cNvPr descr="/Users/tylermuffly/sling-volume-patterns/output/figures/figure_2_volume_distribution.png" id="47" name="Picture"/>
                    <pic:cNvPicPr>
                      <a:picLocks noChangeArrowheads="1" noChangeAspect="1"/>
                    </pic:cNvPicPr>
                  </pic:nvPicPr>
                  <pic:blipFill>
                    <a:blip r:embed="rId45"/>
                    <a:stretch>
                      <a:fillRect/>
                    </a:stretch>
                  </pic:blipFill>
                  <pic:spPr bwMode="auto">
                    <a:xfrm>
                      <a:off x="0" y="0"/>
                      <a:ext cx="5334000" cy="3810000"/>
                    </a:xfrm>
                    <a:prstGeom prst="rect">
                      <a:avLst/>
                    </a:prstGeom>
                    <a:noFill/>
                    <a:ln w="9525">
                      <a:noFill/>
                      <a:headEnd/>
                      <a:tailEnd/>
                    </a:ln>
                  </pic:spPr>
                </pic:pic>
              </a:graphicData>
            </a:graphic>
          </wp:inline>
        </w:drawing>
      </w:r>
    </w:p>
    <w:p>
      <w:pPr>
        <w:pStyle w:val="BodyText"/>
      </w:pPr>
      <w:r>
        <w:rPr>
          <w:b/>
          <w:bCs/>
        </w:rPr>
        <w:t xml:space="preserve">Supplementary Figure S1.</w:t>
      </w:r>
      <w:r>
        <w:t xml:space="preserve"> </w:t>
      </w:r>
      <w:r>
        <w:t xml:space="preserve">Annual sling service volume (CPT 57288) by specialty (violin and box plots; logarithmic scale). The minimum observable volume is 11 because of CMS cell suppression.</w:t>
      </w:r>
    </w:p>
    <w:p>
      <w:pPr>
        <w:pStyle w:val="BodyText"/>
      </w:pPr>
      <w:r>
        <w:drawing>
          <wp:inline>
            <wp:extent cx="5334000" cy="5334000"/>
            <wp:effectExtent b="0" l="0" r="0" t="0"/>
            <wp:docPr descr="" title="" id="49" name="Picture"/>
            <a:graphic>
              <a:graphicData uri="http://schemas.openxmlformats.org/drawingml/2006/picture">
                <pic:pic>
                  <pic:nvPicPr>
                    <pic:cNvPr descr="/Users/tylermuffly/sling-volume-patterns/output/figures/figure_3_lorenz_curve.png" id="50" name="Picture"/>
                    <pic:cNvPicPr>
                      <a:picLocks noChangeArrowheads="1" noChangeAspect="1"/>
                    </pic:cNvPicPr>
                  </pic:nvPicPr>
                  <pic:blipFill>
                    <a:blip r:embed="rId48"/>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b/>
          <w:bCs/>
        </w:rPr>
        <w:t xml:space="preserve">Supplementary Figure S2.</w:t>
      </w:r>
      <w:r>
        <w:t xml:space="preserve"> </w:t>
      </w:r>
      <w:r>
        <w:t xml:space="preserve">Lorenz curves of procedural concentration by specialty. Greater distance from the diagonal indicates greater concentration.</w:t>
      </w:r>
    </w:p>
    <w:p>
      <w:pPr>
        <w:pStyle w:val="BodyText"/>
      </w:pPr>
      <w:r>
        <w:drawing>
          <wp:inline>
            <wp:extent cx="5334000" cy="4148666"/>
            <wp:effectExtent b="0" l="0" r="0" t="0"/>
            <wp:docPr descr="" title="" id="52" name="Picture"/>
            <a:graphic>
              <a:graphicData uri="http://schemas.openxmlformats.org/drawingml/2006/picture">
                <pic:pic>
                  <pic:nvPicPr>
                    <pic:cNvPr descr="/Users/tylermuffly/sling-volume-patterns/output/figures/figure_4_concentration_trends.png" id="53" name="Picture"/>
                    <pic:cNvPicPr>
                      <a:picLocks noChangeArrowheads="1" noChangeAspect="1"/>
                    </pic:cNvPicPr>
                  </pic:nvPicPr>
                  <pic:blipFill>
                    <a:blip r:embed="rId51"/>
                    <a:stretch>
                      <a:fillRect/>
                    </a:stretch>
                  </pic:blipFill>
                  <pic:spPr bwMode="auto">
                    <a:xfrm>
                      <a:off x="0" y="0"/>
                      <a:ext cx="5334000" cy="4148666"/>
                    </a:xfrm>
                    <a:prstGeom prst="rect">
                      <a:avLst/>
                    </a:prstGeom>
                    <a:noFill/>
                    <a:ln w="9525">
                      <a:noFill/>
                      <a:headEnd/>
                      <a:tailEnd/>
                    </a:ln>
                  </pic:spPr>
                </pic:pic>
              </a:graphicData>
            </a:graphic>
          </wp:inline>
        </w:drawing>
      </w:r>
    </w:p>
    <w:p>
      <w:pPr>
        <w:pStyle w:val="BodyText"/>
      </w:pPr>
      <w:r>
        <w:rPr>
          <w:b/>
          <w:bCs/>
        </w:rPr>
        <w:t xml:space="preserve">Supplementary Figure S3.</w:t>
      </w:r>
      <w:r>
        <w:t xml:space="preserve"> </w:t>
      </w:r>
      <w:r>
        <w:t xml:space="preserve">Annual within-year concentration by specialty (Gini, HHI, top-20% share, bottom-50% share). Within-year concentration was low and stable. MIGS was excluded because too few surgeons were observed each year for stable estimates.</w:t>
      </w:r>
    </w:p>
    <w:p>
      <w:pPr>
        <w:pStyle w:val="BodyText"/>
      </w:pPr>
      <w:r>
        <w:drawing>
          <wp:inline>
            <wp:extent cx="5334000" cy="2963333"/>
            <wp:effectExtent b="0" l="0" r="0" t="0"/>
            <wp:docPr descr="" title="" id="55" name="Picture"/>
            <a:graphic>
              <a:graphicData uri="http://schemas.openxmlformats.org/drawingml/2006/picture">
                <pic:pic>
                  <pic:nvPicPr>
                    <pic:cNvPr descr="/Users/tylermuffly/sling-volume-patterns/output/figures/figure_5_supply_trends.png" id="56" name="Picture"/>
                    <pic:cNvPicPr>
                      <a:picLocks noChangeArrowheads="1" noChangeAspect="1"/>
                    </pic:cNvPicPr>
                  </pic:nvPicPr>
                  <pic:blipFill>
                    <a:blip r:embed="rId54"/>
                    <a:stretch>
                      <a:fillRect/>
                    </a:stretch>
                  </pic:blipFill>
                  <pic:spPr bwMode="auto">
                    <a:xfrm>
                      <a:off x="0" y="0"/>
                      <a:ext cx="5334000" cy="2963333"/>
                    </a:xfrm>
                    <a:prstGeom prst="rect">
                      <a:avLst/>
                    </a:prstGeom>
                    <a:noFill/>
                    <a:ln w="9525">
                      <a:noFill/>
                      <a:headEnd/>
                      <a:tailEnd/>
                    </a:ln>
                  </pic:spPr>
                </pic:pic>
              </a:graphicData>
            </a:graphic>
          </wp:inline>
        </w:drawing>
      </w:r>
    </w:p>
    <w:p>
      <w:pPr>
        <w:pStyle w:val="BodyText"/>
      </w:pPr>
      <w:r>
        <w:rPr>
          <w:b/>
          <w:bCs/>
        </w:rPr>
        <w:t xml:space="preserve">Supplementary Figure S4.</w:t>
      </w:r>
      <w:r>
        <w:t xml:space="preserve"> </w:t>
      </w:r>
      <w:r>
        <w:t xml:space="preserve">Observable surgeons and total reported services by year and specialty. The decline in the observable surgeon pool was concentrated in urology and General OB/GYN.</w:t>
      </w:r>
    </w:p>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40" Target="media/rId40.png" /><Relationship Type="http://schemas.openxmlformats.org/officeDocument/2006/relationships/image" Id="rId37" Target="media/rId37.png" /><Relationship Type="http://schemas.openxmlformats.org/officeDocument/2006/relationships/image" Id="rId34" Target="media/rId34.png" /><Relationship Type="http://schemas.openxmlformats.org/officeDocument/2006/relationships/hyperlink" Id="rId9" Target="https://github.com/mufflyt/sling-volume-patterns" TargetMode="External" /><Relationship Type="http://schemas.openxmlformats.org/officeDocument/2006/relationships/hyperlink" Id="rId31" Target="https://www.abms.org" TargetMode="External" /></Relationships>
</file>

<file path=word/_rels/footnotes.xml.rels><?xml version="1.0" encoding="UTF-8"?><Relationships xmlns="http://schemas.openxmlformats.org/package/2006/relationships"><Relationship Type="http://schemas.openxmlformats.org/officeDocument/2006/relationships/hyperlink" Id="rId9" Target="https://github.com/mufflyt/sling-volume-patterns" TargetMode="External" /><Relationship Type="http://schemas.openxmlformats.org/officeDocument/2006/relationships/hyperlink" Id="rId31" Target="https://www.abm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Specialty Distribution and Surgeon-Level Concentration of Sling Surgery for Stress Urinary Incontinence in Fee-for-Service Medicare, 2013–2023</dc:title>
  <dc:creator>Tyler Muffly, MD</dc:creator>
  <cp:keywords/>
  <dcterms:created xsi:type="dcterms:W3CDTF">2026-07-23T03:44:07Z</dcterms:created>
  <dcterms:modified xsi:type="dcterms:W3CDTF">2026-07-23T03:44:07Z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