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bookmarkStart w:id="9" w:name="abstract"/>
    <w:p>
      <w:pPr>
        <w:pStyle w:val="Heading2"/>
      </w:pPr>
      <w:r>
        <w:t xml:space="preserve">Abstract</w:t>
      </w:r>
    </w:p>
    <w:p>
      <w:pPr>
        <w:pStyle w:val="FirstParagraph"/>
      </w:pPr>
      <w:r>
        <w:rPr>
          <w:b/>
          <w:bCs/>
        </w:rPr>
        <w:t xml:space="preserve">Objective:</w:t>
      </w:r>
      <w:r>
        <w:t xml:space="preserve"> </w:t>
      </w:r>
      <w:r>
        <w:t xml:space="preserve">To describe the specialty distribution, annual surgeon volume, and surgeon-level concentration of physicians performing sling surgery for stress urinary incontinence (CPT 57288) in fee-for-service Medicare.</w:t>
      </w:r>
    </w:p>
    <w:p>
      <w:pPr>
        <w:pStyle w:val="BodyText"/>
      </w:pPr>
      <w:r>
        <w:rPr>
          <w:b/>
          <w:bCs/>
        </w:rPr>
        <w:t xml:space="preserve">Methods:</w:t>
      </w:r>
      <w:r>
        <w:t xml:space="preserve"> </w:t>
      </w:r>
      <w:r>
        <w:t xml:space="preserve">We analyzed the CMS Medicare Physician and Other Practitioners Public Use File across all 11 calendar years, 2013 through 2023. Physicians billing CPT 57288 were classified as Urogynecology and Reconstructive Pelvic Surgery (URPS), Minimally Invasive Gynecologic Surgery (MIGS), General OB/GYN, or non-URPS urology by combining CMS provider type with ABOG and ABU subspecialty rosters. We measured surgeon-level concentration with the Gini coefficient and HHI, both overall and by year. Annual volume was modeled with a Poisson generalized estimating equation clustered by NPI; a per-physician Kruskal-Wallis analysis was secondary. Market-share trends were evaluated under fixed-membership and certification-gated classifications designed to bound the likely trend, with modal and ever-URPS/MIGS sensitivity analyses.</w:t>
      </w:r>
    </w:p>
    <w:p>
      <w:pPr>
        <w:pStyle w:val="BodyText"/>
      </w:pPr>
      <w:r>
        <w:rPr>
          <w:b/>
          <w:bCs/>
        </w:rPr>
        <w:t xml:space="preserve">Results:</w:t>
      </w:r>
      <w:r>
        <w:t xml:space="preserve"> </w:t>
      </w:r>
      <w:r>
        <w:t xml:space="preserve">Across 2013 through 2023, 1,789 physicians performed 147,632 procedures across 6,937 physician-years. URPS was the largest group (767 physicians; 89,773 procedures, 60.8%; median 19/year [p25–p75, 14–28]), followed by non-URPS urology (689 physicians; 26.1%; median 16), General OB/GYN (336; 12.4%; median 15), and MIGS (10; 0.6%; median 16). Reported services fell from 16,399 in 2013 to 12,223 in 2023 (-25.5%), but the female Part B fee-for-service population contracted by -14.7% over the same period; after denominator adjustment the utilization rate declined only from 89.4 to 78.1 services per 100,000 (-12.6%; rate trend not significant, p = 0.139), with a 2020 nadir and partial recovery. Compared with URPS, adjusted annual volume was lower for urology (rate ratio [RR] 0.80 (0.70–0.92)), General OB/GYN (RR 0.68 (0.51–0.92)), and MIGS (RR 0.56 (0.40–0.79)). Volume fell by approximately 11% in 2020 (RR 0.88 (0.85–0.92); p &lt; 0.001), but per-physician volume did not change overall (RR 1.00 (0.99–1.01); p = 0.516). Among the three well-populated groups, pooled concentration was modest and lowest for URPS (Gini 0.52, HHI 27; top 20% performed 53.9%); within-year concentration remained low and stable (annual Gini approximately 0.26–0.28; p for trend = 0.733). URPS share increased by 0.90 percentage points per year (p &lt; 0.001), whereas urology (-0.55; p = 0.002) and General OB/GYN (-0.41; p = 0.004) declined. The increase remained significant under every classification scheme, and the two schemes bracketed the rate of increase rather than the level. Under fixed membership URPS rose from 53.4% to 63.8% (+0.90 percentage points/year); under certification-gated classification it rose more steeply, from 42.2% to 62.8% (+1.52 percentage points/year), because pre-certification physicians count as generalists, and the two estimates converged by 2023. Newly observable surgeons performed 7.4%–22.5% of annual volume at a median of approximately 13 cases; URPS contributed the most entrants (480), while urology showed substantial turnover (421 entrants despite a declining share).</w:t>
      </w:r>
    </w:p>
    <w:p>
      <w:pPr>
        <w:pStyle w:val="BodyText"/>
      </w:pPr>
      <w:r>
        <w:rPr>
          <w:b/>
          <w:bCs/>
        </w:rPr>
        <w:t xml:space="preserve">Conclusions:</w:t>
      </w:r>
      <w:r>
        <w:t xml:space="preserve"> </w:t>
      </w:r>
      <w:r>
        <w:t xml:space="preserve">URPS physicians perform most sling operations for stress urinary incontinence in fee-for-service Medicare and have the highest adjusted per-physician volume and the most even within-group distribution. The rising gynecologic share reflects attrition among non-URPS providers rather than increasing surgeon-level concentration, with implications for credentialing and workforce planning.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0"/>
    <w:bookmarkStart w:id="16"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1"/>
    <w:bookmarkStart w:id="12"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Providers billing CPT 57288 who had neither an OB/GYN nor urology CMS type and were not in the ABOG registry were reclassified as urology. Among OB/GYN physicians, the ABOG subspecialty registry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w:t>
      </w:r>
    </w:p>
    <w:p>
      <w:pPr>
        <w:pStyle w:val="BodyText"/>
      </w:pPr>
      <w:r>
        <w:t xml:space="preserve">We then cross-referenced the American Board of Urology roster to identify urology-pathway urogynecologists. These physicians were combined with ABOG-certified urogynecologists in a single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We excluded other surgical provider types because they were too heterogeneous to interpret.</w:t>
      </w:r>
    </w:p>
    <w:p>
      <w:pPr>
        <w:pStyle w:val="BodyText"/>
      </w:pPr>
      <w:r>
        <w:t xml:space="preserve">Specialty assignment could affect the estimated market-share trend because 45% of URPS physicians in the cohort were certified after 2013. We therefore used two primary classification schemes to bound the likely change. Fixed-membership classification assigns each physician’s eventual subspecialty to every study year. Because this approach counts physicians as URPS before certification, it provides a lower bound on the rate of increase.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approach misclassifies some pre-certification practice years and provides an upper bound.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and the reported concentration estimates are lower bounds.</w:t>
      </w:r>
    </w:p>
    <w:bookmarkEnd w:id="13"/>
    <w:bookmarkStart w:id="15" w:name="X46ca734e3ebd5db0ec3b7b3638b7437bae62243"/>
    <w:p>
      <w:pPr>
        <w:pStyle w:val="Heading3"/>
      </w:pPr>
      <w:r>
        <w:t xml:space="preserve">Outcome Measures and Statistical Analysis</w:t>
      </w:r>
    </w:p>
    <w:p>
      <w:pPr>
        <w:pStyle w:val="FirstParagraph"/>
      </w:pPr>
      <w:r>
        <w:t xml:space="preserve">The primary surgeon-level outcome was the annual number of CPT 57288 services per provider (Tot_Srvcs, reported services). To describe population utilization over time, we also computed the annual rate of CPT 57288 services per 100,000 female Part B fee-for-service Medicare beneficiaries, using the CMS Program Statistics Original Medicare Enrollment counts (table MDCR ENROLL AB 11, Sex = Female, Part B) as the denominator; absolute service counts are reported as a secondary measure. Because the Public Use File records no beneficiary age for the numerator, the rate is crude and is not age-standardized. We measured surgeon-level concentration with two complementary metrics. The Gini coefficient summarizes inequality across the full surgeon-volume distribution. The Herfindahl–Hirschman Index (HHI) sums squared surgeon shares on a 0–10,000 scale and is more sensitive to the largest-volume surgeons. Both measures were calculated from aggregate provider totals and separately for each calendar year.</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annual procedure count with a Poisson generalized estimating equation clustered by NPI, using an exchangeable working correlation and robust standard errors. Fixed effects included specialty (URPS reference), calendar year, specialty-by-year interaction, and a 2020 COVID indicator. We report adjusted rate ratios with 95% CIs. A negative-binomial mixed model with a random intercept for NPI produced concordant estimates.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market-share trends, we separately regressed each specialty’s annual percentage share on calendar year using ordinary least squares. We modeled URPS, urology, General OB/GYN, and the combined gynecologic share; MIGS was described without formal emphasis because only 10 physicians were identified.</w:t>
      </w:r>
    </w:p>
    <w:p>
      <w:pPr>
        <w:pStyle w:val="BodyText"/>
      </w:pPr>
      <w:r>
        <w:t xml:space="preserve">To describe workforce turnover, we used a two-year washout. A surgeon was classified as an entrant when observable in a given year but absent in both prior observable years; as continuing when observable and not an entrant; and as apparently exiting when absent in both subsequent observable years. We calculated entrant share of annual volume, median entrant volume, and entrants by specialty. Because CMS suppression removes providers below 11 beneficiaries, we use the term newly observable rather than definitively new sling surgeon.</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state-level population-based rates because state-by-sex fee-for-service enrollment denominators were outside the scope of this analysis; the national utilization rate above uses the national female Part B fee-for-service denominator.</w:t>
      </w:r>
    </w:p>
    <w:p>
      <w:pPr>
        <w:pStyle w:val="BodyText"/>
      </w:pPr>
      <w:r>
        <w:t xml:space="preserve">Analyses were performed in R 4.4, with package versions locked through renv. The complete analytic pipeline is available at</w:t>
      </w:r>
      <w:r>
        <w:t xml:space="preserve"> </w:t>
      </w:r>
      <w:hyperlink r:id="rId14">
        <w:r>
          <w:rPr>
            <w:rStyle w:val="Hyperlink"/>
          </w:rPr>
          <w:t xml:space="preserve">https://github.com/mufflyt/sling-volume-patterns</w:t>
        </w:r>
      </w:hyperlink>
      <w:r>
        <w:t xml:space="preserve">.</w:t>
      </w:r>
    </w:p>
    <w:bookmarkEnd w:id="15"/>
    <w:bookmarkEnd w:id="16"/>
    <w:bookmarkStart w:id="22" w:name="results"/>
    <w:p>
      <w:pPr>
        <w:pStyle w:val="Heading2"/>
      </w:pPr>
      <w:r>
        <w:t xml:space="preserve">Results</w:t>
      </w:r>
    </w:p>
    <w:bookmarkStart w:id="17" w:name="cohort-and-annual-volume"/>
    <w:p>
      <w:pPr>
        <w:pStyle w:val="Heading3"/>
      </w:pPr>
      <w:r>
        <w:t xml:space="preserve">Cohort and Annual Volume</w:t>
      </w:r>
    </w:p>
    <w:p>
      <w:pPr>
        <w:pStyle w:val="FirstParagraph"/>
      </w:pPr>
      <w:r>
        <w:t xml:space="preserve">Across the full 11-year window, 1,789 physicians billed CPT 57288, accounting for 147,632 observed services in 6,937 physician-year observations. Participation was intermittent: 560 physicians (31%) appeared in one year, 756 (42%) in 2–5 years, 365 (20%) in 6–10 years, and 108 (6%) in all 11 years. Thus, only a small proportion maintained an observable Medicare sling practice throughout the study window.</w:t>
      </w:r>
    </w:p>
    <w:p>
      <w:pPr>
        <w:pStyle w:val="BodyText"/>
      </w:pPr>
      <w:r>
        <w:t xml:space="preserve">The observed count of reported services fell from 16,399 in 2013 to 12,223 in 2023 (-25.5%). Over the same period, however, the female Part B fee-for-service population contracted from 18.35 million to 15.65 million beneficiaries (-14.7%), reflecting migration into Medicare Advantage. After denominator adjustment, the utilization rate declined more modestly, from 89.4 to 78.1 services per 100,000 female Part B fee-for-service beneficiaries (-12.6%), and the linear trend in the rate was not statistically significant (-1.65 per 100,000 per year; p = 0.139). The rate reached a low of 52.4 per 100,000 in 2020, consistent with pandemic-related deferral of elective surgery, then partially recovered. The number of observable surgeons also fell, from 812 to 562. Thus, much of the apparent decline in service counts reflected the shrinking fee-for-service denominator rather than a clear fall in age-eligible utilization.</w:t>
      </w:r>
    </w:p>
    <w:bookmarkEnd w:id="17"/>
    <w:bookmarkStart w:id="18" w:name="specialty-distribution-and-trends"/>
    <w:p>
      <w:pPr>
        <w:pStyle w:val="Heading3"/>
      </w:pPr>
      <w:r>
        <w:t xml:space="preserve">Specialty Distribution and Trends</w:t>
      </w:r>
    </w:p>
    <w:p>
      <w:pPr>
        <w:pStyle w:val="FirstParagraph"/>
      </w:pPr>
      <w:r>
        <w:t xml:space="preserve">URPS was the largest group: 767 physicians contributed 3,913 physician-years and 89,773 procedures (60.8%), with a median annual volume of 19 (p25–p75, 14–28). Non-URPS urology included 689 physicians, 2,032 physician-years, and 38,602 procedures (26.1%; median 16, 13–22). General OB/GYN included 336 physicians, 953 physician-years, and 18,316 procedures (12.4%; median 15, 12–22). MIGS included 10 physicians, 39 physician-years, and 941 procedures (0.6%; median 16, 12–24) (Table 1).</w:t>
      </w:r>
    </w:p>
    <w:p>
      <w:pPr>
        <w:pStyle w:val="BodyText"/>
      </w:pPr>
      <w:r>
        <w:t xml:space="preserve">Because 13 physicians changed specialty groups across years, specialty-specific physician counts exceed the unique cohort total. Including urology-pathway urogynecologists reassigned 151 physicians and 12,272 procedures from urology to URPS compared with an ABOG-only classification.</w:t>
      </w:r>
    </w:p>
    <w:p>
      <w:pPr>
        <w:pStyle w:val="BodyText"/>
      </w:pPr>
      <w:r>
        <w:t xml:space="preserve">Annual market shares moved in different directions (Table 1). URPS increased from 53.4% in 2013 to 63.8% in 2023 (+0.90 percentage points/year; 95% CI 0.51 to 1.28; p &lt; 0.001). Urology decreased from 30.7% to 23.1% (-0.55 percentage points/year; 95% CI -0.84 to -0.26; p = 0.002), and General OB/GYN decreased from 15.7% to 12.3% (-0.41 percentage points/year; 95% CI -0.66 to -0.17; p = 0.004). MIGS increased descriptively from 0.2% to 0.8% (+0.07 percentage points/year), but this estimate is based on only 10 physicians. Because total volume declined, these changes represent redistribution among specialties rather than procedure growth.</w:t>
      </w:r>
    </w:p>
    <w:p>
      <w:pPr>
        <w:pStyle w:val="BodyText"/>
      </w:pPr>
      <w:r>
        <w:t xml:space="preserve">The URPS increase was significant under every classification scheme, and the schemes bracketed its slope (Table 4). Fixed membership gave the shallower estimate because it counts physicians as URPS before certification: URPS share rose from 53.4% to 63.8% (+0.90 percentage points/year), and the gynecologic share from 60.8% to 70.1% (+0.85 percentage points/year). Certification-gated classification gave the steeper estimate, from 42.2% to 62.8% (+1.52 percentage points/year), because it removes not-yet-certified physicians from the early URPS count; the two estimates converged near 62.8% by 2023.</w:t>
      </w:r>
    </w:p>
    <w:p>
      <w:pPr>
        <w:pStyle w:val="BodyText"/>
      </w:pPr>
      <w:r>
        <w:t xml:space="preserve">In the Poisson GEE clustered by NPI, adjusted annual volume was lower than URPS for every other group: urology RR 0.80 (0.70–0.92), General OB/GYN RR 0.68 (0.51–0.92), and MIGS RR 0.56 (0.40–0.79) (Table 3). Annual volume was approximately 11% lower in 2020 (RR 0.88 (0.85–0.92); p &lt; 0.001). There was no overall change in per-physician volume over time (year RR 1.00 (0.99–1.01); p = 0.516). The one-observation-per-physician secondary analysis was concordant (Kruskal-Wallis H = 66.6, df = 3, p &lt; 0.001); URPS volume exceeded both urology and General OB/GYN in pairwise comparisons (p &lt; 0.001).</w:t>
      </w:r>
    </w:p>
    <w:bookmarkEnd w:id="18"/>
    <w:bookmarkStart w:id="19" w:name="surgeon-volume-and-concentration"/>
    <w:p>
      <w:pPr>
        <w:pStyle w:val="Heading3"/>
      </w:pPr>
      <w:r>
        <w:t xml:space="preserve">Surgeon Volume and Concentration</w:t>
      </w:r>
    </w:p>
    <w:p>
      <w:pPr>
        <w:pStyle w:val="FirstParagraph"/>
      </w:pPr>
      <w:r>
        <w:t xml:space="preserve">Among the three well-populated groups, pooled multi-year concentration was lowest for URPS (Gini 0.52, HHI 27; top 10% performed 34.4% and top 20% performed 53.9%). Concentration was slightly higher for urology (Gini 0.53, HHI 35; top 20% performed 58.7%) and General OB/GYN (Gini 0.56, HHI 89; top 20% performed 62.2%) (Table 2).</w:t>
      </w:r>
    </w:p>
    <w:p>
      <w:pPr>
        <w:pStyle w:val="BodyText"/>
      </w:pPr>
      <w:r>
        <w:t xml:space="preserve">The Gini coefficient and HHI ranked the groups identically. However, the absolute HHI values for all three groups were very low (27–89 of 10,000), indicating that sling volume was unevenly distributed across many surgeons rather than dominated by a few. URPS also had the highest median annual volume and upper quartile (median 19; p75 28).</w:t>
      </w:r>
    </w:p>
    <w:p>
      <w:pPr>
        <w:pStyle w:val="BodyText"/>
      </w:pPr>
      <w:r>
        <w:t xml:space="preserve">Within-year concentration was low and stable. The pooled annual Gini ranged from 0.26 to 0.28, with no temporal trend (p = 0.733), and the annual top 20% performed approximately 38% of cases. No specialty-specific annual Gini changed significantly (all p &gt; 0.15). Thus, care did not become concentrated among a smaller group of high-volume surgeons as the observable surgeon pool contracted. MIGS was excluded from these comparisons because only 10 physicians were identified (1–4 per year); its nominal Gini of 0.61 and HHI of 3,036 are not stable specialty-wide estimates.</w:t>
      </w:r>
    </w:p>
    <w:bookmarkEnd w:id="19"/>
    <w:bookmarkStart w:id="20" w:name="workforce-entry-and-exit"/>
    <w:p>
      <w:pPr>
        <w:pStyle w:val="Heading3"/>
      </w:pPr>
      <w:r>
        <w:t xml:space="preserve">Workforce Entry and Exit</w:t>
      </w:r>
    </w:p>
    <w:p>
      <w:pPr>
        <w:pStyle w:val="FirstParagraph"/>
      </w:pPr>
      <w:r>
        <w:t xml:space="preserve">Using the two-year washout (Table 5), 48–168 surgeons were newly observable each year and performed 7.4%–22.5% of annual volume. Their median annual volume was low, at approximately 13 procedures, consistent with surgeons appearing just above the CMS suppression threshold. Entry fell to 48 surgeons and 7.4% of volume in 2020, then rebounded to 168 surgeons and 22.5% of volume in 2022. Continuing surgeons (381–584 per year) performed most annual procedures, while apparent exits ranged from 66 to 230 per year.</w:t>
      </w:r>
    </w:p>
    <w:p>
      <w:pPr>
        <w:pStyle w:val="BodyText"/>
      </w:pPr>
      <w:r>
        <w:t xml:space="preserve">Across the study period, URPS contributed the most entrants (480), followed by urology (421), General OB/GYN (205), and MIGS (8). The rising URPS share reflected the largest inflow of newly observable surgeons together with a relatively stable continuing-URPS base (URPS surgeon count 385 to 338; per-physician volume unchanged). Urology showed substantial turnover but net attrition, and General OB/GYN lost both surgeons and market share.</w:t>
      </w:r>
    </w:p>
    <w:p>
      <w:pPr>
        <w:pStyle w:val="BodyText"/>
      </w:pPr>
      <w:r>
        <w:t xml:space="preserve">Because total volume declined, the gynecologic gain represents a redistribution of a shrinking procedure pool toward URPS, not new procedure growth. All turnover counts describe newly observable rather than definitively new surgeons because low-volume providers are suppressed.</w:t>
      </w:r>
    </w:p>
    <w:bookmarkEnd w:id="20"/>
    <w:bookmarkStart w:id="21" w:name="geographic-distribution-secondary"/>
    <w:p>
      <w:pPr>
        <w:pStyle w:val="Heading3"/>
      </w:pPr>
      <w:r>
        <w:t xml:space="preserve">Geographic Distribution (Secondary)</w:t>
      </w:r>
    </w:p>
    <w:p>
      <w:pPr>
        <w:pStyle w:val="FirstParagraph"/>
      </w:pPr>
      <w:r>
        <w:t xml:space="preserve">Practice locations spanned 52 states and territories. The URPS share of observable sling surgeons varied from 100% in Hawaii and 82%–85% in Minnesota, the District of Columbia, and Connecticut to 15% in Nebraska. Alaska, North Dakota, Puerto Rico, and Wyoming had no observable URPS surgeon performing at least 11 Medicare slings in any study year. Because of CMS suppression, this finding indicates no observable higher-volume URPS surgeon, not necessarily no URPS physician. Population-based rates and formal geographic inequality measures were reserved for a separate access-focused analysis.</w:t>
      </w:r>
    </w:p>
    <w:bookmarkEnd w:id="21"/>
    <w:bookmarkEnd w:id="22"/>
    <w:bookmarkStart w:id="28" w:name="discussion"/>
    <w:p>
      <w:pPr>
        <w:pStyle w:val="Heading2"/>
      </w:pPr>
      <w:r>
        <w:t xml:space="preserve">Discussion</w:t>
      </w:r>
    </w:p>
    <w:p>
      <w:pPr>
        <w:pStyle w:val="FirstParagraph"/>
      </w:pPr>
      <w:r>
        <w:t xml:space="preserve">This national Medicare analysis produced three main findings. First, URPS physicians performed most sling operations for SUI (60.8%) and had the highest adjusted per-physician volume. Second, the gynecologic share increased over the decade as URPS surgeons entered the observable workforce and non-URPS surgeons left. Third, surgeon-level concentration remained low and stable despite a shrinking surgeon pool. Together, these findings indicate a change in workforce composition rather than intensification of individual practice or concentration of care.</w:t>
      </w:r>
    </w:p>
    <w:bookmarkStart w:id="23" w:name="X91e1c95b037f473535ecf00410a7735e835e926"/>
    <w:p>
      <w:pPr>
        <w:pStyle w:val="Heading3"/>
      </w:pPr>
      <w:r>
        <w:t xml:space="preserve">Specialty Distribution and the Historical Reversal</w:t>
      </w:r>
    </w:p>
    <w:p>
      <w:pPr>
        <w:pStyle w:val="FirstParagraph"/>
      </w:pPr>
      <w:r>
        <w:t xml:space="preserve">URPS physicians performed approximately three-fifths of Medicare slings, and gynecologists collectively performed the majority. This finding is consistent with contemporary practice-pattern data but reverses earlier Medicare-specific patterns. In ACS-NSQIP data from 2006 through 2013, James et al. reported that gynecologists performed 74.2% of sling procedures and urologists performed 25.8%.</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In Medicare data from 2002 through 2007, however, Rogo-Gupta et al. found that urologists performed most sling operations.</w:t>
      </w:r>
      <w:r>
        <w:rPr>
          <w:vertAlign w:val="superscript"/>
        </w:rPr>
        <w:t xml:space="preserve">11</w:t>
      </w:r>
      <w:r>
        <w:t xml:space="preserve"> </w:t>
      </w:r>
      <w:r>
        <w:t xml:space="preserve">Our 2013–2023 findings indicate that this historical pattern has reversed, with URPS now the largest single specialty group.</w:t>
      </w:r>
    </w:p>
    <w:p>
      <w:pPr>
        <w:pStyle w:val="BodyText"/>
      </w:pPr>
      <w:r>
        <w:t xml:space="preserve">Including both certification pathways was essential to this result. Cross-referencing the ABU roster reassigned 151 urology-typed physicians, representing 8.3% of all sling procedures, to URPS. The concentration estimate was robust: the pooled URPS Gini changed only from 0.52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3"/>
    <w:bookmarkStart w:id="24"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0.52–0.56) coexisted with very low absolute HHI values (27–89 of 10,000). In other words, sling volume was distributed unevenly across many surgeons but was not dominated by a few. Because the physician was the production unit, these values describe surgeon-level procedural concentration rather than market competition.</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Medicare medians of 15–19 procedures per year fall below these thresholds. However, the PUF omits commercially insured, Medicare Advantage, and younger patients, so total practice volume is higher. In addition, providers below the CMS suppression threshold are absent.</w:t>
      </w:r>
    </w:p>
    <w:bookmarkEnd w:id="24"/>
    <w:bookmarkStart w:id="25"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gynecologic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5"/>
    <w:bookmarkStart w:id="26"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and concentration estimates are lower bounds.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Fourth, the market-share trend is bounded rather than point-identified. Certification follows the start of subspecialty practice, so the certification-gated approach (upper bound) assigns some pre-certification practice years to General OB/GYN or urology. Conversely, fixed membership (lower bound) assigns physicians to URPS before they subspecialized. The true trend lies between these estimates and would require unavailable fellowship-completion dates for point identification.</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6"/>
    <w:bookmarkStart w:id="27" w:name="strengths"/>
    <w:p>
      <w:pPr>
        <w:pStyle w:val="Heading3"/>
      </w:pPr>
      <w:r>
        <w:t xml:space="preserve">Strengths</w:t>
      </w:r>
    </w:p>
    <w:p>
      <w:pPr>
        <w:pStyle w:val="FirstParagraph"/>
      </w:pPr>
      <w:r>
        <w:t xml:space="preserve">Strengths include a national, complete sample of fee-for-service Medicare claims; identification of urogynecologists through both certification pathways; complementary surgeon-level concentration measures calculated both overall and by year; a model that accounts for repeated observations within physicians; and a fully reproducible analytic pipeline.</w:t>
      </w:r>
    </w:p>
    <w:bookmarkEnd w:id="27"/>
    <w:bookmarkEnd w:id="28"/>
    <w:bookmarkStart w:id="29" w:name="conclusions"/>
    <w:p>
      <w:pPr>
        <w:pStyle w:val="Heading2"/>
      </w:pPr>
      <w:r>
        <w:t xml:space="preserve">Conclusions</w:t>
      </w:r>
    </w:p>
    <w:p>
      <w:pPr>
        <w:pStyle w:val="FirstParagraph"/>
      </w:pPr>
      <w:r>
        <w:t xml:space="preserve">In this national fee-for-service Medicare cohort, URPS physicians performed most sling operations for SUI, had the highest adjusted per-physician volume, and had the most even within-group volume distribution. The growing gynecologic share reflected attrition among non-URPS providers rather than increasing surgeon-level concentration. These workforce shifts should inform training requirements, credentialing standards, and access planning for pelvic floor surgical care.</w:t>
      </w:r>
    </w:p>
    <w:bookmarkEnd w:id="29"/>
    <w:bookmarkStart w:id="31"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0">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(combined URPS). Δ share is the annual percentage-point change from ordinary least-squares regression on calendar year. Specialty-specific physician counts exceed 1,789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02"/>
        <w:gridCol w:w="952"/>
        <w:gridCol w:w="852"/>
        <w:gridCol w:w="651"/>
        <w:gridCol w:w="501"/>
        <w:gridCol w:w="1102"/>
        <w:gridCol w:w="601"/>
        <w:gridCol w:w="601"/>
        <w:gridCol w:w="1253"/>
        <w:gridCol w:w="401"/>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767</w:t>
            </w:r>
          </w:p>
        </w:tc>
        <w:tc>
          <w:tcPr/>
          <w:p>
            <w:pPr>
              <w:pStyle w:val="Compact"/>
            </w:pPr>
            <w:r>
              <w:t xml:space="preserve">3,913</w:t>
            </w:r>
          </w:p>
        </w:tc>
        <w:tc>
          <w:tcPr/>
          <w:p>
            <w:pPr>
              <w:pStyle w:val="Compact"/>
            </w:pPr>
            <w:r>
              <w:t xml:space="preserve">89,773</w:t>
            </w:r>
          </w:p>
        </w:tc>
        <w:tc>
          <w:tcPr/>
          <w:p>
            <w:pPr>
              <w:pStyle w:val="Compact"/>
            </w:pPr>
            <w:r>
              <w:t xml:space="preserve">60.8%</w:t>
            </w:r>
          </w:p>
        </w:tc>
        <w:tc>
          <w:tcPr/>
          <w:p>
            <w:pPr>
              <w:pStyle w:val="Compact"/>
            </w:pPr>
            <w:r>
              <w:t xml:space="preserve">19 (14–28)</w:t>
            </w:r>
          </w:p>
        </w:tc>
        <w:tc>
          <w:tcPr/>
          <w:p>
            <w:pPr>
              <w:pStyle w:val="Compact"/>
            </w:pPr>
            <w:r>
              <w:t xml:space="preserve">53.4%</w:t>
            </w:r>
          </w:p>
        </w:tc>
        <w:tc>
          <w:tcPr/>
          <w:p>
            <w:pPr>
              <w:pStyle w:val="Compact"/>
            </w:pPr>
            <w:r>
              <w:t xml:space="preserve">63.8%</w:t>
            </w:r>
          </w:p>
        </w:tc>
        <w:tc>
          <w:tcPr/>
          <w:p>
            <w:pPr>
              <w:pStyle w:val="Compact"/>
            </w:pPr>
            <w:r>
              <w:t xml:space="preserve">+0.90 (0.51 to 1.28)</w:t>
            </w:r>
          </w:p>
        </w:tc>
        <w:tc>
          <w:tcPr/>
          <w:p>
            <w:pPr>
              <w:pStyle w:val="Compact"/>
            </w:pPr>
            <w:r>
              <w:t xml:space="preserve">&lt;0.001</w:t>
            </w:r>
          </w:p>
        </w:tc>
      </w:tr>
      <w:tr>
        <w:tc>
          <w:tcPr/>
          <w:p>
            <w:pPr>
              <w:pStyle w:val="Compact"/>
            </w:pPr>
            <w:r>
              <w:t xml:space="preserve">Urology (non-URPS)</w:t>
            </w:r>
          </w:p>
        </w:tc>
        <w:tc>
          <w:tcPr/>
          <w:p>
            <w:pPr>
              <w:pStyle w:val="Compact"/>
            </w:pPr>
            <w:r>
              <w:t xml:space="preserve">689</w:t>
            </w:r>
          </w:p>
        </w:tc>
        <w:tc>
          <w:tcPr/>
          <w:p>
            <w:pPr>
              <w:pStyle w:val="Compact"/>
            </w:pPr>
            <w:r>
              <w:t xml:space="preserve">2,032</w:t>
            </w:r>
          </w:p>
        </w:tc>
        <w:tc>
          <w:tcPr/>
          <w:p>
            <w:pPr>
              <w:pStyle w:val="Compact"/>
            </w:pPr>
            <w:r>
              <w:t xml:space="preserve">38,602</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(-0.84 to -0.26)</w:t>
            </w:r>
          </w:p>
        </w:tc>
        <w:tc>
          <w:tcPr/>
          <w:p>
            <w:pPr>
              <w:pStyle w:val="Compact"/>
            </w:pPr>
            <w:r>
              <w:t xml:space="preserve">0.002</w:t>
            </w:r>
          </w:p>
        </w:tc>
      </w:tr>
      <w:tr>
        <w:tc>
          <w:tcPr/>
          <w:p>
            <w:pPr>
              <w:pStyle w:val="Compact"/>
            </w:pPr>
            <w:r>
              <w:t xml:space="preserve">General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12.4%</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-0.41 (-0.66 to -0.17)</w:t>
            </w:r>
          </w:p>
        </w:tc>
        <w:tc>
          <w:tcPr/>
          <w:p>
            <w:pPr>
              <w:pStyle w:val="Compact"/>
            </w:pPr>
            <w:r>
              <w:t xml:space="preserve">0.004</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0.6%</w:t>
            </w:r>
          </w:p>
        </w:tc>
        <w:tc>
          <w:tcPr/>
          <w:p>
            <w:pPr>
              <w:pStyle w:val="Compact"/>
            </w:pPr>
            <w:r>
              <w:t xml:space="preserve">16 (12–24)</w:t>
            </w:r>
          </w:p>
        </w:tc>
        <w:tc>
          <w:tcPr/>
          <w:p>
            <w:pPr>
              <w:pStyle w:val="Compact"/>
            </w:pPr>
            <w:r>
              <w:t xml:space="preserve">0.2%</w:t>
            </w:r>
          </w:p>
        </w:tc>
        <w:tc>
          <w:tcPr/>
          <w:p>
            <w:pPr>
              <w:pStyle w:val="Compact"/>
            </w:pPr>
            <w:r>
              <w:t xml:space="preserve">0.8%</w:t>
            </w:r>
          </w:p>
        </w:tc>
        <w:tc>
          <w:tcPr/>
          <w:p>
            <w:pPr>
              <w:pStyle w:val="Compact"/>
            </w:pPr>
            <w:r>
              <w:t xml:space="preserve">+0.07 (0.03 to 0.11)*</w:t>
            </w:r>
          </w:p>
        </w:tc>
        <w:tc>
          <w:tcPr/>
          <w:p>
            <w:pPr>
              <w:pStyle w:val="Compact"/>
            </w:pPr>
            <w:r>
              <w:t xml:space="preserve">0.005</w:t>
            </w:r>
          </w:p>
        </w:tc>
      </w:tr>
      <w:tr>
        <w:tc>
          <w:tcPr/>
          <w:p>
            <w:pPr>
              <w:pStyle w:val="Compact"/>
            </w:pPr>
            <w:r>
              <w:rPr>
                <w:b/>
                <w:bCs/>
              </w:rPr>
              <w:t xml:space="preserve">Total</w:t>
            </w:r>
          </w:p>
        </w:tc>
        <w:tc>
          <w:tcPr/>
          <w:p>
            <w:pPr>
              <w:pStyle w:val="Compact"/>
            </w:pPr>
            <w:r>
              <w:rPr>
                <w:b/>
                <w:bCs/>
              </w:rPr>
              <w:t xml:space="preserve">1,789</w:t>
            </w:r>
          </w:p>
        </w:tc>
        <w:tc>
          <w:tcPr/>
          <w:p>
            <w:pPr>
              <w:pStyle w:val="Compact"/>
            </w:pPr>
            <w:r>
              <w:rPr>
                <w:b/>
                <w:bCs/>
              </w:rPr>
              <w:t xml:space="preserve">6,937</w:t>
            </w:r>
          </w:p>
        </w:tc>
        <w:tc>
          <w:tcPr/>
          <w:p>
            <w:pPr>
              <w:pStyle w:val="Compact"/>
            </w:pPr>
            <w:r>
              <w:rPr>
                <w:b/>
                <w:bCs/>
              </w:rPr>
              <w:t xml:space="preserve">147,632</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w:t>
      </w:r>
    </w:p>
    <w:tbl>
      <w:tblPr>
        <w:tblStyle w:val="Table"/>
        <w:tblW w:type="pct" w:w="5000"/>
        <w:tblLayout w:type="fixed"/>
        <w:tblLook w:firstRow="1" w:lastRow="0" w:firstColumn="0" w:lastColumn="0" w:noHBand="0" w:noVBand="0" w:val="0020"/>
      </w:tblPr>
      <w:tblGrid>
        <w:gridCol w:w="1908"/>
        <w:gridCol w:w="1240"/>
        <w:gridCol w:w="572"/>
        <w:gridCol w:w="1526"/>
        <w:gridCol w:w="1335"/>
        <w:gridCol w:w="1335"/>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767</w:t>
            </w:r>
          </w:p>
        </w:tc>
        <w:tc>
          <w:tcPr/>
          <w:p>
            <w:pPr>
              <w:pStyle w:val="Compact"/>
            </w:pPr>
            <w:r>
              <w:t xml:space="preserve">0.52</w:t>
            </w:r>
          </w:p>
        </w:tc>
        <w:tc>
          <w:tcPr/>
          <w:p>
            <w:pPr>
              <w:pStyle w:val="Compact"/>
            </w:pPr>
            <w:r>
              <w:t xml:space="preserve">27</w:t>
            </w:r>
          </w:p>
        </w:tc>
        <w:tc>
          <w:tcPr/>
          <w:p>
            <w:pPr>
              <w:pStyle w:val="Compact"/>
            </w:pPr>
            <w:r>
              <w:t xml:space="preserve">34.4%</w:t>
            </w:r>
          </w:p>
        </w:tc>
        <w:tc>
          <w:tcPr/>
          <w:p>
            <w:pPr>
              <w:pStyle w:val="Compact"/>
            </w:pPr>
            <w:r>
              <w:t xml:space="preserve">53.9%</w:t>
            </w:r>
          </w:p>
        </w:tc>
      </w:tr>
      <w:tr>
        <w:tc>
          <w:tcPr/>
          <w:p>
            <w:pPr>
              <w:pStyle w:val="Compact"/>
            </w:pPr>
            <w:r>
              <w:t xml:space="preserve">Urology (non-URPS)</w:t>
            </w:r>
          </w:p>
        </w:tc>
        <w:tc>
          <w:tcPr/>
          <w:p>
            <w:pPr>
              <w:pStyle w:val="Compact"/>
            </w:pPr>
            <w:r>
              <w:t xml:space="preserve">689</w:t>
            </w:r>
          </w:p>
        </w:tc>
        <w:tc>
          <w:tcPr/>
          <w:p>
            <w:pPr>
              <w:pStyle w:val="Compact"/>
            </w:pPr>
            <w:r>
              <w:t xml:space="preserve">0.53</w:t>
            </w:r>
          </w:p>
        </w:tc>
        <w:tc>
          <w:tcPr/>
          <w:p>
            <w:pPr>
              <w:pStyle w:val="Compact"/>
            </w:pPr>
            <w:r>
              <w:t xml:space="preserve">35</w:t>
            </w:r>
          </w:p>
        </w:tc>
        <w:tc>
          <w:tcPr/>
          <w:p>
            <w:pPr>
              <w:pStyle w:val="Compact"/>
            </w:pPr>
            <w:r>
              <w:t xml:space="preserve">39.5%</w:t>
            </w:r>
          </w:p>
        </w:tc>
        <w:tc>
          <w:tcPr/>
          <w:p>
            <w:pPr>
              <w:pStyle w:val="Compact"/>
            </w:pPr>
            <w:r>
              <w:t xml:space="preserve">58.7%</w:t>
            </w:r>
          </w:p>
        </w:tc>
      </w:tr>
      <w:tr>
        <w:tc>
          <w:tcPr/>
          <w:p>
            <w:pPr>
              <w:pStyle w:val="Compact"/>
            </w:pPr>
            <w:r>
              <w:t xml:space="preserve">General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sling volume from a Poisson GEE clustered by NPI (URPS reference; exchangeable correlation; robust standard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w:t>
            </w:r>
          </w:p>
        </w:tc>
        <w:tc>
          <w:tcPr/>
          <w:p>
            <w:pPr>
              <w:pStyle w:val="Compact"/>
            </w:pPr>
            <w:r>
              <w:t xml:space="preserve">0.80 (0.70–0.92)</w:t>
            </w:r>
          </w:p>
        </w:tc>
        <w:tc>
          <w:tcPr/>
          <w:p>
            <w:pPr>
              <w:pStyle w:val="Compact"/>
            </w:pPr>
            <w:r>
              <w:t xml:space="preserve">0.001</w:t>
            </w:r>
          </w:p>
        </w:tc>
      </w:tr>
      <w:tr>
        <w:tc>
          <w:tcPr/>
          <w:p>
            <w:pPr>
              <w:pStyle w:val="Compact"/>
            </w:pPr>
            <w:r>
              <w:t xml:space="preserve">General OB/GYN (vs URPS)</w:t>
            </w:r>
          </w:p>
        </w:tc>
        <w:tc>
          <w:tcPr/>
          <w:p>
            <w:pPr>
              <w:pStyle w:val="Compact"/>
            </w:pPr>
            <w:r>
              <w:t xml:space="preserve">0.68 (0.51–0.92)</w:t>
            </w:r>
          </w:p>
        </w:tc>
        <w:tc>
          <w:tcPr/>
          <w:p>
            <w:pPr>
              <w:pStyle w:val="Compact"/>
            </w:pPr>
            <w:r>
              <w:t xml:space="preserve">0.011</w:t>
            </w:r>
          </w:p>
        </w:tc>
      </w:tr>
      <w:tr>
        <w:tc>
          <w:tcPr/>
          <w:p>
            <w:pPr>
              <w:pStyle w:val="Compact"/>
            </w:pPr>
            <w:r>
              <w:t xml:space="preserve">MIGS (vs URPS)</w:t>
            </w:r>
          </w:p>
        </w:tc>
        <w:tc>
          <w:tcPr/>
          <w:p>
            <w:pPr>
              <w:pStyle w:val="Compact"/>
            </w:pPr>
            <w:r>
              <w:t xml:space="preserve">0.56 (0.40–0.79)</w:t>
            </w:r>
          </w:p>
        </w:tc>
        <w:tc>
          <w:tcPr/>
          <w:p>
            <w:pPr>
              <w:pStyle w:val="Compact"/>
            </w:pPr>
            <w:r>
              <w:t xml:space="preserve">&lt;0.001</w:t>
            </w:r>
          </w:p>
        </w:tc>
      </w:tr>
      <w:tr>
        <w:tc>
          <w:tcPr/>
          <w:p>
            <w:pPr>
              <w:pStyle w:val="Compact"/>
            </w:pPr>
            <w:r>
              <w:t xml:space="preserve">Calendar year (per year)</w:t>
            </w:r>
          </w:p>
        </w:tc>
        <w:tc>
          <w:tcPr/>
          <w:p>
            <w:pPr>
              <w:pStyle w:val="Compact"/>
            </w:pPr>
            <w:r>
              <w:t xml:space="preserve">1.00 (0.99–1.01)</w:t>
            </w:r>
          </w:p>
        </w:tc>
        <w:tc>
          <w:tcPr/>
          <w:p>
            <w:pPr>
              <w:pStyle w:val="Compact"/>
            </w:pPr>
            <w:r>
              <w:t xml:space="preserve">0.516</w:t>
            </w:r>
          </w:p>
        </w:tc>
      </w:tr>
      <w:tr>
        <w:tc>
          <w:tcPr/>
          <w:p>
            <w:pPr>
              <w:pStyle w:val="Compact"/>
            </w:pPr>
            <w:r>
              <w:t xml:space="preserve">2020 (COVID) indicator</w:t>
            </w:r>
          </w:p>
        </w:tc>
        <w:tc>
          <w:tcPr/>
          <w:p>
            <w:pPr>
              <w:pStyle w:val="Compact"/>
            </w:pPr>
            <w:r>
              <w:t xml:space="preserve">0.88 (0.85–0.92)</w:t>
            </w:r>
          </w:p>
        </w:tc>
        <w:tc>
          <w:tcPr/>
          <w:p>
            <w:pPr>
              <w:pStyle w:val="Compact"/>
            </w:pPr>
            <w:r>
              <w:t xml:space="preserve">&lt;0.001</w:t>
            </w:r>
          </w:p>
        </w:tc>
      </w:tr>
    </w:tbl>
    <w:p>
      <w:pPr>
        <w:pStyle w:val="BodyText"/>
      </w:pPr>
      <w:r>
        <w:rPr>
          <w:b/>
          <w:bCs/>
        </w:rPr>
        <w:t xml:space="preserve">Table 4.</w:t>
      </w:r>
      <w:r>
        <w:t xml:space="preserve"> </w:t>
      </w:r>
      <w:r>
        <w:t xml:space="preserve">URPS and gynecologic market-share trends under alternative classification schemes. The schemes bracket the rate of increase: fixed membership gives the shallower slope because it counts physicians as URPS before certification, and certification-gated classification gives the steeper slope because it removes not-yet-certified physicians from the early URPS count. The 2023 levels converge. All estimated trends are positive and statistically significant.</w:t>
      </w:r>
    </w:p>
    <w:tbl>
      <w:tblPr>
        <w:tblStyle w:val="Table"/>
        <w:tblW w:type="pct" w:w="5000"/>
        <w:tblLayout w:type="fixed"/>
        <w:tblLook w:firstRow="1" w:lastRow="0" w:firstColumn="0" w:lastColumn="0" w:noHBand="0" w:noVBand="0" w:val="0020"/>
      </w:tblPr>
      <w:tblGrid>
        <w:gridCol w:w="4670"/>
        <w:gridCol w:w="1286"/>
        <w:gridCol w:w="1150"/>
        <w:gridCol w:w="812"/>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gynecologic share (ABOG-URPS + MIGS + Gen OB/GYN)</w:t>
            </w:r>
          </w:p>
        </w:tc>
        <w:tc>
          <w:tcPr/>
          <w:p>
            <w:pPr>
              <w:pStyle w:val="Compact"/>
            </w:pPr>
            <w:r>
              <w:t xml:space="preserve">60.8% → 70.1%</w:t>
            </w:r>
          </w:p>
        </w:tc>
        <w:tc>
          <w:tcPr/>
          <w:p>
            <w:pPr>
              <w:pStyle w:val="Compact"/>
            </w:pPr>
            <w:r>
              <w:t xml:space="preserve">0.85</w:t>
            </w:r>
          </w:p>
        </w:tc>
        <w:tc>
          <w:tcPr/>
          <w:p>
            <w:pPr>
              <w:pStyle w:val="Compact"/>
            </w:pPr>
            <w:r>
              <w:t xml:space="preserve">&lt;0.001</w:t>
            </w:r>
          </w:p>
        </w:tc>
      </w:tr>
      <w:tr>
        <w:tc>
          <w:tcPr/>
          <w:p>
            <w:pPr>
              <w:pStyle w:val="Compact"/>
            </w:pPr>
            <w:r>
              <w:t xml:space="preserve">Fixed membership: combined-URPS share</w:t>
            </w:r>
          </w:p>
        </w:tc>
        <w:tc>
          <w:tcPr/>
          <w:p>
            <w:pPr>
              <w:pStyle w:val="Compact"/>
            </w:pPr>
            <w:r>
              <w:t xml:space="preserve">53.4% → 63.8%</w:t>
            </w:r>
          </w:p>
        </w:tc>
        <w:tc>
          <w:tcPr/>
          <w:p>
            <w:pPr>
              <w:pStyle w:val="Compact"/>
            </w:pPr>
            <w:r>
              <w:t xml:space="preserve">0.90</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0.97</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0.95</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42.2% → 62.8%</w:t>
            </w:r>
          </w:p>
        </w:tc>
        <w:tc>
          <w:tcPr/>
          <w:p>
            <w:pPr>
              <w:pStyle w:val="Compact"/>
            </w:pPr>
            <w:r>
              <w:rPr>
                <w:b/>
                <w:bCs/>
              </w:rPr>
              <w:t xml:space="preserve">1.52</w:t>
            </w:r>
          </w:p>
        </w:tc>
        <w:tc>
          <w:tcPr/>
          <w:p>
            <w:pPr>
              <w:pStyle w:val="Compact"/>
            </w:pPr>
            <w:r>
              <w:rPr>
                <w:b/>
                <w:bCs/>
              </w:rPr>
              <w:t xml:space="preserve">&lt;0.001</w:t>
            </w:r>
          </w:p>
        </w:tc>
      </w:tr>
      <w:tr>
        <w:tc>
          <w:tcPr/>
          <w:p>
            <w:pPr>
              <w:pStyle w:val="Compact"/>
            </w:pPr>
            <w:r>
              <w:t xml:space="preserve">Certification-gated: gynecologic share (time-varying)</w:t>
            </w:r>
          </w:p>
        </w:tc>
        <w:tc>
          <w:tcPr/>
          <w:p>
            <w:pPr>
              <w:pStyle w:val="Compact"/>
            </w:pPr>
            <w:r>
              <w:t xml:space="preserve">n/a</w:t>
            </w:r>
          </w:p>
        </w:tc>
        <w:tc>
          <w:tcPr/>
          <w:p>
            <w:pPr>
              <w:pStyle w:val="Compact"/>
            </w:pPr>
            <w:r>
              <w:t xml:space="preserve">0.54</w:t>
            </w:r>
          </w:p>
        </w:tc>
        <w:tc>
          <w:tcPr/>
          <w:p>
            <w:pPr>
              <w:pStyle w:val="Compact"/>
            </w:pPr>
            <w:r>
              <w:t xml:space="preserve">&lt;0.001</w:t>
            </w:r>
          </w:p>
        </w:tc>
      </w:tr>
    </w:tbl>
    <w:p>
      <w:pPr>
        <w:pStyle w:val="BodyText"/>
      </w:pPr>
      <w:r>
        <w:rPr>
          <w:b/>
          <w:bCs/>
        </w:rPr>
        <w:t xml:space="preserve">Table 5.</w:t>
      </w:r>
      <w:r>
        <w:t xml:space="preserve"> </w:t>
      </w:r>
      <w:r>
        <w:t xml:space="preserve">Annual sling workforce dynamics using a two-year washout. Entrants were absent in both prior observable years; apparent exits were absent in both subsequent observable years. Entrant and continuing counts are undefined for the first two years, and exit counts are undefined for the last two years.</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n/a</w:t>
            </w:r>
          </w:p>
        </w:tc>
        <w:tc>
          <w:tcPr/>
          <w:p>
            <w:pPr>
              <w:pStyle w:val="Compact"/>
            </w:pPr>
            <w:r>
              <w:t xml:space="preserve">n/a</w:t>
            </w:r>
          </w:p>
        </w:tc>
        <w:tc>
          <w:tcPr/>
          <w:p>
            <w:pPr>
              <w:pStyle w:val="Compact"/>
            </w:pPr>
            <w:r>
              <w:t xml:space="preserve">214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685</w:t>
            </w:r>
          </w:p>
        </w:tc>
        <w:tc>
          <w:tcPr/>
          <w:p>
            <w:pPr>
              <w:pStyle w:val="Compact"/>
            </w:pPr>
            <w:r>
              <w:t xml:space="preserve">n/a</w:t>
            </w:r>
          </w:p>
        </w:tc>
        <w:tc>
          <w:tcPr/>
          <w:p>
            <w:pPr>
              <w:pStyle w:val="Compact"/>
            </w:pPr>
            <w:r>
              <w:t xml:space="preserve">n/a</w:t>
            </w:r>
          </w:p>
        </w:tc>
        <w:tc>
          <w:tcPr/>
          <w:p>
            <w:pPr>
              <w:pStyle w:val="Compact"/>
            </w:pPr>
            <w:r>
              <w:t xml:space="preserve">164</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129</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126</w:t>
            </w:r>
          </w:p>
        </w:tc>
        <w:tc>
          <w:tcPr/>
          <w:p>
            <w:pPr>
              <w:pStyle w:val="Compact"/>
            </w:pPr>
            <w:r>
              <w:t xml:space="preserve">15.3%</w:t>
            </w:r>
          </w:p>
        </w:tc>
        <w:tc>
          <w:tcPr/>
          <w:p>
            <w:pPr>
              <w:pStyle w:val="Compact"/>
            </w:pPr>
            <w:r>
              <w:t xml:space="preserve">13</w:t>
            </w:r>
          </w:p>
        </w:tc>
      </w:tr>
      <w:tr>
        <w:tc>
          <w:tcPr/>
          <w:p>
            <w:pPr>
              <w:pStyle w:val="Compact"/>
            </w:pPr>
            <w:r>
              <w:t xml:space="preserve">2017</w:t>
            </w:r>
          </w:p>
        </w:tc>
        <w:tc>
          <w:tcPr/>
          <w:p>
            <w:pPr>
              <w:pStyle w:val="Compact"/>
            </w:pPr>
            <w:r>
              <w:t xml:space="preserve">735</w:t>
            </w:r>
          </w:p>
        </w:tc>
        <w:tc>
          <w:tcPr/>
          <w:p>
            <w:pPr>
              <w:pStyle w:val="Compact"/>
            </w:pPr>
            <w:r>
              <w:t xml:space="preserve">151</w:t>
            </w:r>
          </w:p>
        </w:tc>
        <w:tc>
          <w:tcPr/>
          <w:p>
            <w:pPr>
              <w:pStyle w:val="Compact"/>
            </w:pPr>
            <w:r>
              <w:t xml:space="preserve">584</w:t>
            </w:r>
          </w:p>
        </w:tc>
        <w:tc>
          <w:tcPr/>
          <w:p>
            <w:pPr>
              <w:pStyle w:val="Compact"/>
            </w:pPr>
            <w:r>
              <w:t xml:space="preserve">204</w:t>
            </w:r>
          </w:p>
        </w:tc>
        <w:tc>
          <w:tcPr/>
          <w:p>
            <w:pPr>
              <w:pStyle w:val="Compact"/>
            </w:pPr>
            <w:r>
              <w:t xml:space="preserve">13.9%</w:t>
            </w:r>
          </w:p>
        </w:tc>
        <w:tc>
          <w:tcPr/>
          <w:p>
            <w:pPr>
              <w:pStyle w:val="Compact"/>
            </w:pPr>
            <w:r>
              <w:t xml:space="preserve">14</w:t>
            </w:r>
          </w:p>
        </w:tc>
      </w:tr>
      <w:tr>
        <w:tc>
          <w:tcPr/>
          <w:p>
            <w:pPr>
              <w:pStyle w:val="Compact"/>
            </w:pPr>
            <w:r>
              <w:t xml:space="preserve">2018</w:t>
            </w:r>
          </w:p>
        </w:tc>
        <w:tc>
          <w:tcPr/>
          <w:p>
            <w:pPr>
              <w:pStyle w:val="Compact"/>
            </w:pPr>
            <w:r>
              <w:t xml:space="preserve">672</w:t>
            </w:r>
          </w:p>
        </w:tc>
        <w:tc>
          <w:tcPr/>
          <w:p>
            <w:pPr>
              <w:pStyle w:val="Compact"/>
            </w:pPr>
            <w:r>
              <w:t xml:space="preserve">134</w:t>
            </w:r>
          </w:p>
        </w:tc>
        <w:tc>
          <w:tcPr/>
          <w:p>
            <w:pPr>
              <w:pStyle w:val="Compact"/>
            </w:pPr>
            <w:r>
              <w:t xml:space="preserve">538</w:t>
            </w:r>
          </w:p>
        </w:tc>
        <w:tc>
          <w:tcPr/>
          <w:p>
            <w:pPr>
              <w:pStyle w:val="Compact"/>
            </w:pPr>
            <w:r>
              <w:t xml:space="preserve">154</w:t>
            </w:r>
          </w:p>
        </w:tc>
        <w:tc>
          <w:tcPr/>
          <w:p>
            <w:pPr>
              <w:pStyle w:val="Compact"/>
            </w:pPr>
            <w:r>
              <w:t xml:space="preserve">13.7%</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125</w:t>
            </w:r>
          </w:p>
        </w:tc>
        <w:tc>
          <w:tcPr/>
          <w:p>
            <w:pPr>
              <w:pStyle w:val="Compact"/>
            </w:pPr>
            <w:r>
              <w:t xml:space="preserve">525</w:t>
            </w:r>
          </w:p>
        </w:tc>
        <w:tc>
          <w:tcPr/>
          <w:p>
            <w:pPr>
              <w:pStyle w:val="Compact"/>
            </w:pPr>
            <w:r>
              <w:t xml:space="preserve">230</w:t>
            </w:r>
          </w:p>
        </w:tc>
        <w:tc>
          <w:tcPr/>
          <w:p>
            <w:pPr>
              <w:pStyle w:val="Compact"/>
            </w:pPr>
            <w:r>
              <w:t xml:space="preserve">12.7%</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n/a</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n/a</w:t>
            </w:r>
          </w:p>
        </w:tc>
        <w:tc>
          <w:tcPr/>
          <w:p>
            <w:pPr>
              <w:pStyle w:val="Compact"/>
            </w:pPr>
            <w:r>
              <w:t xml:space="preserve">15.7%</w:t>
            </w:r>
          </w:p>
        </w:tc>
        <w:tc>
          <w:tcPr/>
          <w:p>
            <w:pPr>
              <w:pStyle w:val="Compact"/>
            </w:pPr>
            <w:r>
              <w:t xml:space="preserve">13</w:t>
            </w:r>
          </w:p>
        </w:tc>
      </w:tr>
    </w:tbl>
    <w:p>
      <w:pPr>
        <w:pStyle w:val="BodyText"/>
      </w:pPr>
      <w:r>
        <w:t xml:space="preserve">Entrants by specialty: URPS, 480; urology, 421; General OB/GYN, 205; MIGS, 8.</w:t>
      </w:r>
    </w:p>
    <w:p>
      <w:r>
        <w:pict>
          <v:rect style="width:0;height:1.5pt" o:hralign="center" o:hrstd="t" o:hr="t"/>
        </w:pict>
      </w:r>
    </w:p>
    <w:bookmarkEnd w:id="32"/>
    <w:bookmarkStart w:id="48" w:name="figures"/>
    <w:p>
      <w:pPr>
        <w:pStyle w:val="Heading2"/>
      </w:pPr>
      <w:r>
        <w:t xml:space="preserve">Figures</w:t>
      </w:r>
    </w:p>
    <w:p>
      <w:pPr>
        <w:pStyle w:val="FirstParagraph"/>
      </w:pPr>
      <w:r>
        <w:drawing>
          <wp:inline>
            <wp:extent cx="5334000" cy="3333750"/>
            <wp:effectExtent b="0" l="0" r="0" t="0"/>
            <wp:docPr descr="" title="" id="34" name="Picture"/>
            <a:graphic>
              <a:graphicData uri="http://schemas.openxmlformats.org/drawingml/2006/picture">
                <pic:pic>
                  <pic:nvPicPr>
                    <pic:cNvPr descr="/Users/tylermuffly/sling-volume-patterns/output/figures/figure_1_market_share.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Market share of sling operations for stress urinary incontinence (CPT 57288) by specialty, fee-for-service Medicare PUF 2013–2023. The URPS share increased under every classification scheme. Fixed membership (URPS share 53.4% to 63.8%; +0.90 percentage points/year) and certification-gated classification (URPS share 42.2% to 62.8%; +1.52 percentage points/year) bracket the rate of increase and converge by 2023.</w:t>
      </w:r>
    </w:p>
    <w:p>
      <w:pPr>
        <w:pStyle w:val="BodyText"/>
      </w:pPr>
      <w:r>
        <w:drawing>
          <wp:inline>
            <wp:extent cx="5334000" cy="3810000"/>
            <wp:effectExtent b="0" l="0" r="0" t="0"/>
            <wp:docPr descr="" title="" id="37" name="Picture"/>
            <a:graphic>
              <a:graphicData uri="http://schemas.openxmlformats.org/drawingml/2006/picture">
                <pic:pic>
                  <pic:nvPicPr>
                    <pic:cNvPr descr="/Users/tylermuffly/sling-volume-patterns/output/figures/figure_2_volume_distribution.png" id="38" name="Picture"/>
                    <pic:cNvPicPr>
                      <a:picLocks noChangeArrowheads="1" noChangeAspect="1"/>
                    </pic:cNvPicPr>
                  </pic:nvPicPr>
                  <pic:blipFill>
                    <a:blip r:embed="rId3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0" name="Picture"/>
            <a:graphic>
              <a:graphicData uri="http://schemas.openxmlformats.org/drawingml/2006/picture">
                <pic:pic>
                  <pic:nvPicPr>
                    <pic:cNvPr descr="/Users/tylermuffly/sling-volume-patterns/output/figures/figure_3_lorenz_curve.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Lorenz curves of procedural concentration by specialty. Greater distance from the diagonal indicates greater concentration. URPS (Gini 0.52) is closest to equality; MIGS (0.61) is farthest.</w:t>
      </w:r>
    </w:p>
    <w:p>
      <w:pPr>
        <w:pStyle w:val="BodyText"/>
      </w:pPr>
      <w:r>
        <w:drawing>
          <wp:inline>
            <wp:extent cx="5334000" cy="4148666"/>
            <wp:effectExtent b="0" l="0" r="0" t="0"/>
            <wp:docPr descr="" title="" id="43" name="Picture"/>
            <a:graphic>
              <a:graphicData uri="http://schemas.openxmlformats.org/drawingml/2006/picture">
                <pic:pic>
                  <pic:nvPicPr>
                    <pic:cNvPr descr="/Users/tylermuffly/sling-volume-patterns/output/figures/figure_4_concentration_trends.png" id="44" name="Picture"/>
                    <pic:cNvPicPr>
                      <a:picLocks noChangeArrowheads="1" noChangeAspect="1"/>
                    </pic:cNvPicPr>
                  </pic:nvPicPr>
                  <pic:blipFill>
                    <a:blip r:embed="rId42"/>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Annual concentration by specialty, measured by Gini, HHI, top-20% share, and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46" name="Picture"/>
            <a:graphic>
              <a:graphicData uri="http://schemas.openxmlformats.org/drawingml/2006/picture">
                <pic:pic>
                  <pic:nvPicPr>
                    <pic:cNvPr descr="/Users/tylermuffly/sling-volume-patterns/output/figures/figure_5_supply_trends.png" id="47" name="Picture"/>
                    <pic:cNvPicPr>
                      <a:picLocks noChangeArrowheads="1" noChangeAspect="1"/>
                    </pic:cNvPicPr>
                  </pic:nvPicPr>
                  <pic:blipFill>
                    <a:blip r:embed="rId45"/>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Observable surgeons and total procedure volume by year and specialty. The decline in the surgeon pool was concentrated in urology and General OB/GYN.</w:t>
      </w:r>
    </w:p>
    <w:p>
      <w:r>
        <w:pict>
          <v:rect style="width:0;height:1.5pt" o:hralign="center" o:hrstd="t" o:hr="t"/>
        </w:pict>
      </w:r>
    </w:p>
    <w:bookmarkEnd w:id="48"/>
    <w:bookmarkStart w:id="49"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812</w:t>
            </w:r>
          </w:p>
        </w:tc>
        <w:tc>
          <w:tcPr/>
          <w:p>
            <w:pPr>
              <w:pStyle w:val="Compact"/>
            </w:pPr>
            <w:r>
              <w:t xml:space="preserve">16399</w:t>
            </w:r>
          </w:p>
        </w:tc>
        <w:tc>
          <w:tcPr/>
          <w:p>
            <w:pPr>
              <w:pStyle w:val="Compact"/>
            </w:pPr>
            <w:r>
              <w:t xml:space="preserve">16 (13–23)</w:t>
            </w:r>
          </w:p>
        </w:tc>
        <w:tc>
          <w:tcPr/>
          <w:p>
            <w:pPr>
              <w:pStyle w:val="Compact"/>
            </w:pPr>
            <w:r>
              <w:t xml:space="preserve">0.272</w:t>
            </w:r>
          </w:p>
        </w:tc>
        <w:tc>
          <w:tcPr/>
          <w:p>
            <w:pPr>
              <w:pStyle w:val="Compact"/>
            </w:pPr>
            <w:r>
              <w:t xml:space="preserve">16.6</w:t>
            </w:r>
          </w:p>
        </w:tc>
        <w:tc>
          <w:tcPr/>
          <w:p>
            <w:pPr>
              <w:pStyle w:val="Compact"/>
            </w:pPr>
            <w:r>
              <w:t xml:space="preserve">24.5%</w:t>
            </w:r>
          </w:p>
        </w:tc>
        <w:tc>
          <w:tcPr/>
          <w:p>
            <w:pPr>
              <w:pStyle w:val="Compact"/>
            </w:pPr>
            <w:r>
              <w:t xml:space="preserve">39.2%</w:t>
            </w:r>
          </w:p>
        </w:tc>
        <w:tc>
          <w:tcPr/>
          <w:p>
            <w:pPr>
              <w:pStyle w:val="Compact"/>
            </w:pPr>
            <w:r>
              <w:t xml:space="preserve">31.7%</w:t>
            </w:r>
          </w:p>
        </w:tc>
      </w:tr>
      <w:tr>
        <w:tc>
          <w:tcPr/>
          <w:p>
            <w:pPr>
              <w:pStyle w:val="Compact"/>
            </w:pPr>
            <w:r>
              <w:t xml:space="preserve">2013</w:t>
            </w:r>
          </w:p>
        </w:tc>
        <w:tc>
          <w:tcPr/>
          <w:p>
            <w:pPr>
              <w:pStyle w:val="Compact"/>
            </w:pPr>
            <w:r>
              <w:t xml:space="preserve">URPS</w:t>
            </w:r>
          </w:p>
        </w:tc>
        <w:tc>
          <w:tcPr/>
          <w:p>
            <w:pPr>
              <w:pStyle w:val="Compact"/>
            </w:pPr>
            <w:r>
              <w:t xml:space="preserve">385</w:t>
            </w:r>
          </w:p>
        </w:tc>
        <w:tc>
          <w:tcPr/>
          <w:p>
            <w:pPr>
              <w:pStyle w:val="Compact"/>
            </w:pPr>
            <w:r>
              <w:t xml:space="preserve">8749</w:t>
            </w:r>
          </w:p>
        </w:tc>
        <w:tc>
          <w:tcPr/>
          <w:p>
            <w:pPr>
              <w:pStyle w:val="Compact"/>
            </w:pPr>
            <w:r>
              <w:t xml:space="preserve">19 (14–27)</w:t>
            </w:r>
          </w:p>
        </w:tc>
        <w:tc>
          <w:tcPr/>
          <w:p>
            <w:pPr>
              <w:pStyle w:val="Compact"/>
            </w:pPr>
            <w:r>
              <w:t xml:space="preserve">0.283</w:t>
            </w:r>
          </w:p>
        </w:tc>
        <w:tc>
          <w:tcPr/>
          <w:p>
            <w:pPr>
              <w:pStyle w:val="Compact"/>
            </w:pPr>
            <w:r>
              <w:t xml:space="preserve">34.8</w:t>
            </w:r>
          </w:p>
        </w:tc>
        <w:tc>
          <w:tcPr/>
          <w:p>
            <w:pPr>
              <w:pStyle w:val="Compact"/>
            </w:pPr>
            <w:r>
              <w:t xml:space="preserve">24.1%</w:t>
            </w:r>
          </w:p>
        </w:tc>
        <w:tc>
          <w:tcPr/>
          <w:p>
            <w:pPr>
              <w:pStyle w:val="Compact"/>
            </w:pPr>
            <w:r>
              <w:t xml:space="preserve">39.1%</w:t>
            </w:r>
          </w:p>
        </w:tc>
        <w:tc>
          <w:tcPr/>
          <w:p>
            <w:pPr>
              <w:pStyle w:val="Compact"/>
            </w:pPr>
            <w:r>
              <w:t xml:space="preserve">30.6%</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282</w:t>
            </w:r>
          </w:p>
        </w:tc>
        <w:tc>
          <w:tcPr/>
          <w:p>
            <w:pPr>
              <w:pStyle w:val="Compact"/>
            </w:pPr>
            <w:r>
              <w:t xml:space="preserve">5035</w:t>
            </w:r>
          </w:p>
        </w:tc>
        <w:tc>
          <w:tcPr/>
          <w:p>
            <w:pPr>
              <w:pStyle w:val="Compact"/>
            </w:pPr>
            <w:r>
              <w:t xml:space="preserve">15 (12–19)</w:t>
            </w:r>
          </w:p>
        </w:tc>
        <w:tc>
          <w:tcPr/>
          <w:p>
            <w:pPr>
              <w:pStyle w:val="Compact"/>
            </w:pPr>
            <w:r>
              <w:t xml:space="preserve">0.235</w:t>
            </w:r>
          </w:p>
        </w:tc>
        <w:tc>
          <w:tcPr/>
          <w:p>
            <w:pPr>
              <w:pStyle w:val="Compact"/>
            </w:pPr>
            <w:r>
              <w:t xml:space="preserve">46.1</w:t>
            </w:r>
          </w:p>
        </w:tc>
        <w:tc>
          <w:tcPr/>
          <w:p>
            <w:pPr>
              <w:pStyle w:val="Compact"/>
            </w:pPr>
            <w:r>
              <w:t xml:space="preserve">24.0%</w:t>
            </w:r>
          </w:p>
        </w:tc>
        <w:tc>
          <w:tcPr/>
          <w:p>
            <w:pPr>
              <w:pStyle w:val="Compact"/>
            </w:pPr>
            <w:r>
              <w:t xml:space="preserve">36.8%</w:t>
            </w:r>
          </w:p>
        </w:tc>
        <w:tc>
          <w:tcPr/>
          <w:p>
            <w:pPr>
              <w:pStyle w:val="Compact"/>
            </w:pPr>
            <w:r>
              <w:t xml:space="preserve">34.6%</w:t>
            </w:r>
          </w:p>
        </w:tc>
      </w:tr>
      <w:tr>
        <w:tc>
          <w:tcPr/>
          <w:p>
            <w:pPr>
              <w:pStyle w:val="Compact"/>
            </w:pPr>
            <w:r>
              <w:t xml:space="preserve">2014</w:t>
            </w:r>
          </w:p>
        </w:tc>
        <w:tc>
          <w:tcPr/>
          <w:p>
            <w:pPr>
              <w:pStyle w:val="Compact"/>
            </w:pPr>
            <w:r>
              <w:t xml:space="preserve">All</w:t>
            </w:r>
          </w:p>
        </w:tc>
        <w:tc>
          <w:tcPr/>
          <w:p>
            <w:pPr>
              <w:pStyle w:val="Compact"/>
            </w:pPr>
            <w:r>
              <w:t xml:space="preserve">685</w:t>
            </w:r>
          </w:p>
        </w:tc>
        <w:tc>
          <w:tcPr/>
          <w:p>
            <w:pPr>
              <w:pStyle w:val="Compact"/>
            </w:pPr>
            <w:r>
              <w:t xml:space="preserve">14248</w:t>
            </w:r>
          </w:p>
        </w:tc>
        <w:tc>
          <w:tcPr/>
          <w:p>
            <w:pPr>
              <w:pStyle w:val="Compact"/>
            </w:pPr>
            <w:r>
              <w:t xml:space="preserve">17 (13–24)</w:t>
            </w:r>
          </w:p>
        </w:tc>
        <w:tc>
          <w:tcPr/>
          <w:p>
            <w:pPr>
              <w:pStyle w:val="Compact"/>
            </w:pPr>
            <w:r>
              <w:t xml:space="preserve">0.267</w:t>
            </w:r>
          </w:p>
        </w:tc>
        <w:tc>
          <w:tcPr/>
          <w:p>
            <w:pPr>
              <w:pStyle w:val="Compact"/>
            </w:pPr>
            <w:r>
              <w:t xml:space="preserve">19.0</w:t>
            </w:r>
          </w:p>
        </w:tc>
        <w:tc>
          <w:tcPr/>
          <w:p>
            <w:pPr>
              <w:pStyle w:val="Compact"/>
            </w:pPr>
            <w:r>
              <w:t xml:space="preserve">23.2%</w:t>
            </w:r>
          </w:p>
        </w:tc>
        <w:tc>
          <w:tcPr/>
          <w:p>
            <w:pPr>
              <w:pStyle w:val="Compact"/>
            </w:pPr>
            <w:r>
              <w:t xml:space="preserve">38.2%</w:t>
            </w:r>
          </w:p>
        </w:tc>
        <w:tc>
          <w:tcPr/>
          <w:p>
            <w:pPr>
              <w:pStyle w:val="Compact"/>
            </w:pPr>
            <w:r>
              <w:t xml:space="preserve">31.6%</w:t>
            </w:r>
          </w:p>
        </w:tc>
      </w:tr>
      <w:tr>
        <w:tc>
          <w:tcPr/>
          <w:p>
            <w:pPr>
              <w:pStyle w:val="Compact"/>
            </w:pPr>
            <w:r>
              <w:t xml:space="preserve">2014</w:t>
            </w:r>
          </w:p>
        </w:tc>
        <w:tc>
          <w:tcPr/>
          <w:p>
            <w:pPr>
              <w:pStyle w:val="Compact"/>
            </w:pPr>
            <w:r>
              <w:t xml:space="preserve">URPS</w:t>
            </w:r>
          </w:p>
        </w:tc>
        <w:tc>
          <w:tcPr/>
          <w:p>
            <w:pPr>
              <w:pStyle w:val="Compact"/>
            </w:pPr>
            <w:r>
              <w:t xml:space="preserve">356</w:t>
            </w:r>
          </w:p>
        </w:tc>
        <w:tc>
          <w:tcPr/>
          <w:p>
            <w:pPr>
              <w:pStyle w:val="Compact"/>
            </w:pPr>
            <w:r>
              <w:t xml:space="preserve">8269</w:t>
            </w:r>
          </w:p>
        </w:tc>
        <w:tc>
          <w:tcPr/>
          <w:p>
            <w:pPr>
              <w:pStyle w:val="Compact"/>
            </w:pPr>
            <w:r>
              <w:t xml:space="preserve">19 (14–28)</w:t>
            </w:r>
          </w:p>
        </w:tc>
        <w:tc>
          <w:tcPr/>
          <w:p>
            <w:pPr>
              <w:pStyle w:val="Compact"/>
            </w:pPr>
            <w:r>
              <w:t xml:space="preserve">0.274</w:t>
            </w:r>
          </w:p>
        </w:tc>
        <w:tc>
          <w:tcPr/>
          <w:p>
            <w:pPr>
              <w:pStyle w:val="Compact"/>
            </w:pPr>
            <w:r>
              <w:t xml:space="preserve">36.4</w:t>
            </w:r>
          </w:p>
        </w:tc>
        <w:tc>
          <w:tcPr/>
          <w:p>
            <w:pPr>
              <w:pStyle w:val="Compact"/>
            </w:pPr>
            <w:r>
              <w:t xml:space="preserve">22.9%</w:t>
            </w:r>
          </w:p>
        </w:tc>
        <w:tc>
          <w:tcPr/>
          <w:p>
            <w:pPr>
              <w:pStyle w:val="Compact"/>
            </w:pPr>
            <w:r>
              <w:t xml:space="preserve">38.2%</w:t>
            </w:r>
          </w:p>
        </w:tc>
        <w:tc>
          <w:tcPr/>
          <w:p>
            <w:pPr>
              <w:pStyle w:val="Compact"/>
            </w:pPr>
            <w:r>
              <w:t xml:space="preserve">31.0%</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212</w:t>
            </w:r>
          </w:p>
        </w:tc>
        <w:tc>
          <w:tcPr/>
          <w:p>
            <w:pPr>
              <w:pStyle w:val="Compact"/>
            </w:pPr>
            <w:r>
              <w:t xml:space="preserve">3862</w:t>
            </w:r>
          </w:p>
        </w:tc>
        <w:tc>
          <w:tcPr/>
          <w:p>
            <w:pPr>
              <w:pStyle w:val="Compact"/>
            </w:pPr>
            <w:r>
              <w:t xml:space="preserve">15 (12–20)</w:t>
            </w:r>
          </w:p>
        </w:tc>
        <w:tc>
          <w:tcPr/>
          <w:p>
            <w:pPr>
              <w:pStyle w:val="Compact"/>
            </w:pPr>
            <w:r>
              <w:t xml:space="preserve">0.238</w:t>
            </w:r>
          </w:p>
        </w:tc>
        <w:tc>
          <w:tcPr/>
          <w:p>
            <w:pPr>
              <w:pStyle w:val="Compact"/>
            </w:pPr>
            <w:r>
              <w:t xml:space="preserve">60.3</w:t>
            </w:r>
          </w:p>
        </w:tc>
        <w:tc>
          <w:tcPr/>
          <w:p>
            <w:pPr>
              <w:pStyle w:val="Compact"/>
            </w:pPr>
            <w:r>
              <w:t xml:space="preserve">23.3%</w:t>
            </w:r>
          </w:p>
        </w:tc>
        <w:tc>
          <w:tcPr/>
          <w:p>
            <w:pPr>
              <w:pStyle w:val="Compact"/>
            </w:pPr>
            <w:r>
              <w:t xml:space="preserve">36.8%</w:t>
            </w:r>
          </w:p>
        </w:tc>
        <w:tc>
          <w:tcPr/>
          <w:p>
            <w:pPr>
              <w:pStyle w:val="Compact"/>
            </w:pPr>
            <w:r>
              <w:t xml:space="preserve">34.0%</w:t>
            </w:r>
          </w:p>
        </w:tc>
      </w:tr>
      <w:tr>
        <w:tc>
          <w:tcPr/>
          <w:p>
            <w:pPr>
              <w:pStyle w:val="Compact"/>
            </w:pPr>
            <w:r>
              <w:t xml:space="preserve">2015</w:t>
            </w:r>
          </w:p>
        </w:tc>
        <w:tc>
          <w:tcPr/>
          <w:p>
            <w:pPr>
              <w:pStyle w:val="Compact"/>
            </w:pPr>
            <w:r>
              <w:t xml:space="preserve">All</w:t>
            </w:r>
          </w:p>
        </w:tc>
        <w:tc>
          <w:tcPr/>
          <w:p>
            <w:pPr>
              <w:pStyle w:val="Compact"/>
            </w:pPr>
            <w:r>
              <w:t xml:space="preserve">655</w:t>
            </w:r>
          </w:p>
        </w:tc>
        <w:tc>
          <w:tcPr/>
          <w:p>
            <w:pPr>
              <w:pStyle w:val="Compact"/>
            </w:pPr>
            <w:r>
              <w:t xml:space="preserve">13380</w:t>
            </w:r>
          </w:p>
        </w:tc>
        <w:tc>
          <w:tcPr/>
          <w:p>
            <w:pPr>
              <w:pStyle w:val="Compact"/>
            </w:pPr>
            <w:r>
              <w:t xml:space="preserve">16 (13–24)</w:t>
            </w:r>
          </w:p>
        </w:tc>
        <w:tc>
          <w:tcPr/>
          <w:p>
            <w:pPr>
              <w:pStyle w:val="Compact"/>
            </w:pPr>
            <w:r>
              <w:t xml:space="preserve">0.268</w:t>
            </w:r>
          </w:p>
        </w:tc>
        <w:tc>
          <w:tcPr/>
          <w:p>
            <w:pPr>
              <w:pStyle w:val="Compact"/>
            </w:pPr>
            <w:r>
              <w:t xml:space="preserve">20.1</w:t>
            </w:r>
          </w:p>
        </w:tc>
        <w:tc>
          <w:tcPr/>
          <w:p>
            <w:pPr>
              <w:pStyle w:val="Compact"/>
            </w:pPr>
            <w:r>
              <w:t xml:space="preserve">23.5%</w:t>
            </w:r>
          </w:p>
        </w:tc>
        <w:tc>
          <w:tcPr/>
          <w:p>
            <w:pPr>
              <w:pStyle w:val="Compact"/>
            </w:pPr>
            <w:r>
              <w:t xml:space="preserve">38.2%</w:t>
            </w:r>
          </w:p>
        </w:tc>
        <w:tc>
          <w:tcPr/>
          <w:p>
            <w:pPr>
              <w:pStyle w:val="Compact"/>
            </w:pPr>
            <w:r>
              <w:t xml:space="preserve">31.7%</w:t>
            </w:r>
          </w:p>
        </w:tc>
      </w:tr>
      <w:tr>
        <w:tc>
          <w:tcPr/>
          <w:p>
            <w:pPr>
              <w:pStyle w:val="Compact"/>
            </w:pPr>
            <w:r>
              <w:t xml:space="preserve">2015</w:t>
            </w:r>
          </w:p>
        </w:tc>
        <w:tc>
          <w:tcPr/>
          <w:p>
            <w:pPr>
              <w:pStyle w:val="Compact"/>
            </w:pPr>
            <w:r>
              <w:t xml:space="preserve">URPS</w:t>
            </w:r>
          </w:p>
        </w:tc>
        <w:tc>
          <w:tcPr/>
          <w:p>
            <w:pPr>
              <w:pStyle w:val="Compact"/>
            </w:pPr>
            <w:r>
              <w:t xml:space="preserve">357</w:t>
            </w:r>
          </w:p>
        </w:tc>
        <w:tc>
          <w:tcPr/>
          <w:p>
            <w:pPr>
              <w:pStyle w:val="Compact"/>
            </w:pPr>
            <w:r>
              <w:t xml:space="preserve">7918</w:t>
            </w:r>
          </w:p>
        </w:tc>
        <w:tc>
          <w:tcPr/>
          <w:p>
            <w:pPr>
              <w:pStyle w:val="Compact"/>
            </w:pPr>
            <w:r>
              <w:t xml:space="preserve">18 (14–27)</w:t>
            </w:r>
          </w:p>
        </w:tc>
        <w:tc>
          <w:tcPr/>
          <w:p>
            <w:pPr>
              <w:pStyle w:val="Compact"/>
            </w:pPr>
            <w:r>
              <w:t xml:space="preserve">0.275</w:t>
            </w:r>
          </w:p>
        </w:tc>
        <w:tc>
          <w:tcPr/>
          <w:p>
            <w:pPr>
              <w:pStyle w:val="Compact"/>
            </w:pPr>
            <w:r>
              <w:t xml:space="preserve">36.7</w:t>
            </w:r>
          </w:p>
        </w:tc>
        <w:tc>
          <w:tcPr/>
          <w:p>
            <w:pPr>
              <w:pStyle w:val="Compact"/>
            </w:pPr>
            <w:r>
              <w:t xml:space="preserve">23.2%</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198</w:t>
            </w:r>
          </w:p>
        </w:tc>
        <w:tc>
          <w:tcPr/>
          <w:p>
            <w:pPr>
              <w:pStyle w:val="Compact"/>
            </w:pPr>
            <w:r>
              <w:t xml:space="preserve">3622</w:t>
            </w:r>
          </w:p>
        </w:tc>
        <w:tc>
          <w:tcPr/>
          <w:p>
            <w:pPr>
              <w:pStyle w:val="Compact"/>
            </w:pPr>
            <w:r>
              <w:t xml:space="preserve">15 (12–20)</w:t>
            </w:r>
          </w:p>
        </w:tc>
        <w:tc>
          <w:tcPr/>
          <w:p>
            <w:pPr>
              <w:pStyle w:val="Compact"/>
            </w:pPr>
            <w:r>
              <w:t xml:space="preserve">0.244</w:t>
            </w:r>
          </w:p>
        </w:tc>
        <w:tc>
          <w:tcPr/>
          <w:p>
            <w:pPr>
              <w:pStyle w:val="Compact"/>
            </w:pPr>
            <w:r>
              <w:t xml:space="preserve">66.1</w:t>
            </w:r>
          </w:p>
        </w:tc>
        <w:tc>
          <w:tcPr/>
          <w:p>
            <w:pPr>
              <w:pStyle w:val="Compact"/>
            </w:pPr>
            <w:r>
              <w:t xml:space="preserve">23.2%</w:t>
            </w:r>
          </w:p>
        </w:tc>
        <w:tc>
          <w:tcPr/>
          <w:p>
            <w:pPr>
              <w:pStyle w:val="Compact"/>
            </w:pPr>
            <w:r>
              <w:t xml:space="preserve">37.2%</w:t>
            </w:r>
          </w:p>
        </w:tc>
        <w:tc>
          <w:tcPr/>
          <w:p>
            <w:pPr>
              <w:pStyle w:val="Compact"/>
            </w:pPr>
            <w:r>
              <w:t xml:space="preserve">33.7%</w:t>
            </w:r>
          </w:p>
        </w:tc>
      </w:tr>
      <w:tr>
        <w:tc>
          <w:tcPr/>
          <w:p>
            <w:pPr>
              <w:pStyle w:val="Compact"/>
            </w:pPr>
            <w:r>
              <w:t xml:space="preserve">2016</w:t>
            </w:r>
          </w:p>
        </w:tc>
        <w:tc>
          <w:tcPr/>
          <w:p>
            <w:pPr>
              <w:pStyle w:val="Compact"/>
            </w:pPr>
            <w:r>
              <w:t xml:space="preserve">All</w:t>
            </w:r>
          </w:p>
        </w:tc>
        <w:tc>
          <w:tcPr/>
          <w:p>
            <w:pPr>
              <w:pStyle w:val="Compact"/>
            </w:pPr>
            <w:r>
              <w:t xml:space="preserve">701</w:t>
            </w:r>
          </w:p>
        </w:tc>
        <w:tc>
          <w:tcPr/>
          <w:p>
            <w:pPr>
              <w:pStyle w:val="Compact"/>
            </w:pPr>
            <w:r>
              <w:t xml:space="preserve">14935</w:t>
            </w:r>
          </w:p>
        </w:tc>
        <w:tc>
          <w:tcPr/>
          <w:p>
            <w:pPr>
              <w:pStyle w:val="Compact"/>
            </w:pPr>
            <w:r>
              <w:t xml:space="preserve">18 (13–25)</w:t>
            </w:r>
          </w:p>
        </w:tc>
        <w:tc>
          <w:tcPr/>
          <w:p>
            <w:pPr>
              <w:pStyle w:val="Compact"/>
            </w:pPr>
            <w:r>
              <w:t xml:space="preserve">0.268</w:t>
            </w:r>
          </w:p>
        </w:tc>
        <w:tc>
          <w:tcPr/>
          <w:p>
            <w:pPr>
              <w:pStyle w:val="Compact"/>
            </w:pPr>
            <w:r>
              <w:t xml:space="preserve">18.8</w:t>
            </w:r>
          </w:p>
        </w:tc>
        <w:tc>
          <w:tcPr/>
          <w:p>
            <w:pPr>
              <w:pStyle w:val="Compact"/>
            </w:pPr>
            <w:r>
              <w:t xml:space="preserve">23.7%</w:t>
            </w:r>
          </w:p>
        </w:tc>
        <w:tc>
          <w:tcPr/>
          <w:p>
            <w:pPr>
              <w:pStyle w:val="Compact"/>
            </w:pPr>
            <w:r>
              <w:t xml:space="preserve">38.0%</w:t>
            </w:r>
          </w:p>
        </w:tc>
        <w:tc>
          <w:tcPr/>
          <w:p>
            <w:pPr>
              <w:pStyle w:val="Compact"/>
            </w:pPr>
            <w:r>
              <w:t xml:space="preserve">31.7%</w:t>
            </w:r>
          </w:p>
        </w:tc>
      </w:tr>
      <w:tr>
        <w:tc>
          <w:tcPr/>
          <w:p>
            <w:pPr>
              <w:pStyle w:val="Compact"/>
            </w:pPr>
            <w:r>
              <w:t xml:space="preserve">2016</w:t>
            </w:r>
          </w:p>
        </w:tc>
        <w:tc>
          <w:tcPr/>
          <w:p>
            <w:pPr>
              <w:pStyle w:val="Compact"/>
            </w:pPr>
            <w:r>
              <w:t xml:space="preserve">URPS</w:t>
            </w:r>
          </w:p>
        </w:tc>
        <w:tc>
          <w:tcPr/>
          <w:p>
            <w:pPr>
              <w:pStyle w:val="Compact"/>
            </w:pPr>
            <w:r>
              <w:t xml:space="preserve">386</w:t>
            </w:r>
          </w:p>
        </w:tc>
        <w:tc>
          <w:tcPr/>
          <w:p>
            <w:pPr>
              <w:pStyle w:val="Compact"/>
            </w:pPr>
            <w:r>
              <w:t xml:space="preserve">9105</w:t>
            </w:r>
          </w:p>
        </w:tc>
        <w:tc>
          <w:tcPr/>
          <w:p>
            <w:pPr>
              <w:pStyle w:val="Compact"/>
            </w:pPr>
            <w:r>
              <w:t xml:space="preserve">19 (14–28)</w:t>
            </w:r>
          </w:p>
        </w:tc>
        <w:tc>
          <w:tcPr/>
          <w:p>
            <w:pPr>
              <w:pStyle w:val="Compact"/>
            </w:pPr>
            <w:r>
              <w:t xml:space="preserve">0.279</w:t>
            </w:r>
          </w:p>
        </w:tc>
        <w:tc>
          <w:tcPr/>
          <w:p>
            <w:pPr>
              <w:pStyle w:val="Compact"/>
            </w:pPr>
            <w:r>
              <w:t xml:space="preserve">34.1</w:t>
            </w:r>
          </w:p>
        </w:tc>
        <w:tc>
          <w:tcPr/>
          <w:p>
            <w:pPr>
              <w:pStyle w:val="Compact"/>
            </w:pPr>
            <w:r>
              <w:t xml:space="preserve">23.5%</w:t>
            </w:r>
          </w:p>
        </w:tc>
        <w:tc>
          <w:tcPr/>
          <w:p>
            <w:pPr>
              <w:pStyle w:val="Compact"/>
            </w:pPr>
            <w:r>
              <w:t xml:space="preserve">38.6%</w:t>
            </w:r>
          </w:p>
        </w:tc>
        <w:tc>
          <w:tcPr/>
          <w:p>
            <w:pPr>
              <w:pStyle w:val="Compact"/>
            </w:pPr>
            <w:r>
              <w:t xml:space="preserve">30.8%</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214</w:t>
            </w:r>
          </w:p>
        </w:tc>
        <w:tc>
          <w:tcPr/>
          <w:p>
            <w:pPr>
              <w:pStyle w:val="Compact"/>
            </w:pPr>
            <w:r>
              <w:t xml:space="preserve">3910</w:t>
            </w:r>
          </w:p>
        </w:tc>
        <w:tc>
          <w:tcPr/>
          <w:p>
            <w:pPr>
              <w:pStyle w:val="Compact"/>
            </w:pPr>
            <w:r>
              <w:t xml:space="preserve">16 (13–21)</w:t>
            </w:r>
          </w:p>
        </w:tc>
        <w:tc>
          <w:tcPr/>
          <w:p>
            <w:pPr>
              <w:pStyle w:val="Compact"/>
            </w:pPr>
            <w:r>
              <w:t xml:space="preserve">0.222</w:t>
            </w:r>
          </w:p>
        </w:tc>
        <w:tc>
          <w:tcPr/>
          <w:p>
            <w:pPr>
              <w:pStyle w:val="Compact"/>
            </w:pPr>
            <w:r>
              <w:t xml:space="preserve">58.5</w:t>
            </w:r>
          </w:p>
        </w:tc>
        <w:tc>
          <w:tcPr/>
          <w:p>
            <w:pPr>
              <w:pStyle w:val="Compact"/>
            </w:pPr>
            <w:r>
              <w:t xml:space="preserve">21.7%</w:t>
            </w:r>
          </w:p>
        </w:tc>
        <w:tc>
          <w:tcPr/>
          <w:p>
            <w:pPr>
              <w:pStyle w:val="Compact"/>
            </w:pPr>
            <w:r>
              <w:t xml:space="preserve">34.5%</w:t>
            </w:r>
          </w:p>
        </w:tc>
        <w:tc>
          <w:tcPr/>
          <w:p>
            <w:pPr>
              <w:pStyle w:val="Compact"/>
            </w:pPr>
            <w:r>
              <w:t xml:space="preserve">34.9%</w:t>
            </w:r>
          </w:p>
        </w:tc>
      </w:tr>
      <w:tr>
        <w:tc>
          <w:tcPr/>
          <w:p>
            <w:pPr>
              <w:pStyle w:val="Compact"/>
            </w:pPr>
            <w:r>
              <w:t xml:space="preserve">2017</w:t>
            </w:r>
          </w:p>
        </w:tc>
        <w:tc>
          <w:tcPr/>
          <w:p>
            <w:pPr>
              <w:pStyle w:val="Compact"/>
            </w:pPr>
            <w:r>
              <w:t xml:space="preserve">All</w:t>
            </w:r>
          </w:p>
        </w:tc>
        <w:tc>
          <w:tcPr/>
          <w:p>
            <w:pPr>
              <w:pStyle w:val="Compact"/>
            </w:pPr>
            <w:r>
              <w:t xml:space="preserve">735</w:t>
            </w:r>
          </w:p>
        </w:tc>
        <w:tc>
          <w:tcPr/>
          <w:p>
            <w:pPr>
              <w:pStyle w:val="Compact"/>
            </w:pPr>
            <w:r>
              <w:t xml:space="preserve">15995</w:t>
            </w:r>
          </w:p>
        </w:tc>
        <w:tc>
          <w:tcPr/>
          <w:p>
            <w:pPr>
              <w:pStyle w:val="Compact"/>
            </w:pPr>
            <w:r>
              <w:t xml:space="preserve">18 (13–25)</w:t>
            </w:r>
          </w:p>
        </w:tc>
        <w:tc>
          <w:tcPr/>
          <w:p>
            <w:pPr>
              <w:pStyle w:val="Compact"/>
            </w:pPr>
            <w:r>
              <w:t xml:space="preserve">0.278</w:t>
            </w:r>
          </w:p>
        </w:tc>
        <w:tc>
          <w:tcPr/>
          <w:p>
            <w:pPr>
              <w:pStyle w:val="Compact"/>
            </w:pPr>
            <w:r>
              <w:t xml:space="preserve">18.1</w:t>
            </w:r>
          </w:p>
        </w:tc>
        <w:tc>
          <w:tcPr/>
          <w:p>
            <w:pPr>
              <w:pStyle w:val="Compact"/>
            </w:pPr>
            <w:r>
              <w:t xml:space="preserve">23.8%</w:t>
            </w:r>
          </w:p>
        </w:tc>
        <w:tc>
          <w:tcPr/>
          <w:p>
            <w:pPr>
              <w:pStyle w:val="Compact"/>
            </w:pPr>
            <w:r>
              <w:t xml:space="preserve">38.7%</w:t>
            </w:r>
          </w:p>
        </w:tc>
        <w:tc>
          <w:tcPr/>
          <w:p>
            <w:pPr>
              <w:pStyle w:val="Compact"/>
            </w:pPr>
            <w:r>
              <w:t xml:space="preserve">31.0%</w:t>
            </w:r>
          </w:p>
        </w:tc>
      </w:tr>
      <w:tr>
        <w:tc>
          <w:tcPr/>
          <w:p>
            <w:pPr>
              <w:pStyle w:val="Compact"/>
            </w:pPr>
            <w:r>
              <w:t xml:space="preserve">2017</w:t>
            </w:r>
          </w:p>
        </w:tc>
        <w:tc>
          <w:tcPr/>
          <w:p>
            <w:pPr>
              <w:pStyle w:val="Compact"/>
            </w:pPr>
            <w:r>
              <w:t xml:space="preserve">URPS</w:t>
            </w:r>
          </w:p>
        </w:tc>
        <w:tc>
          <w:tcPr/>
          <w:p>
            <w:pPr>
              <w:pStyle w:val="Compact"/>
            </w:pPr>
            <w:r>
              <w:t xml:space="preserve">415</w:t>
            </w:r>
          </w:p>
        </w:tc>
        <w:tc>
          <w:tcPr/>
          <w:p>
            <w:pPr>
              <w:pStyle w:val="Compact"/>
            </w:pPr>
            <w:r>
              <w:t xml:space="preserve">9740</w:t>
            </w:r>
          </w:p>
        </w:tc>
        <w:tc>
          <w:tcPr/>
          <w:p>
            <w:pPr>
              <w:pStyle w:val="Compact"/>
            </w:pPr>
            <w:r>
              <w:t xml:space="preserve">19 (14–29)</w:t>
            </w:r>
          </w:p>
        </w:tc>
        <w:tc>
          <w:tcPr/>
          <w:p>
            <w:pPr>
              <w:pStyle w:val="Compact"/>
            </w:pPr>
            <w:r>
              <w:t xml:space="preserve">0.281</w:t>
            </w:r>
          </w:p>
        </w:tc>
        <w:tc>
          <w:tcPr/>
          <w:p>
            <w:pPr>
              <w:pStyle w:val="Compact"/>
            </w:pPr>
            <w:r>
              <w:t xml:space="preserve">31.4</w:t>
            </w:r>
          </w:p>
        </w:tc>
        <w:tc>
          <w:tcPr/>
          <w:p>
            <w:pPr>
              <w:pStyle w:val="Compact"/>
            </w:pPr>
            <w:r>
              <w:t xml:space="preserve">22.9%</w:t>
            </w:r>
          </w:p>
        </w:tc>
        <w:tc>
          <w:tcPr/>
          <w:p>
            <w:pPr>
              <w:pStyle w:val="Compact"/>
            </w:pPr>
            <w:r>
              <w:t xml:space="preserve">38.3%</w:t>
            </w:r>
          </w:p>
        </w:tc>
        <w:tc>
          <w:tcPr/>
          <w:p>
            <w:pPr>
              <w:pStyle w:val="Compact"/>
            </w:pPr>
            <w:r>
              <w:t xml:space="preserve">30.3%</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222</w:t>
            </w:r>
          </w:p>
        </w:tc>
        <w:tc>
          <w:tcPr/>
          <w:p>
            <w:pPr>
              <w:pStyle w:val="Compact"/>
            </w:pPr>
            <w:r>
              <w:t xml:space="preserve">4251</w:t>
            </w:r>
          </w:p>
        </w:tc>
        <w:tc>
          <w:tcPr/>
          <w:p>
            <w:pPr>
              <w:pStyle w:val="Compact"/>
            </w:pPr>
            <w:r>
              <w:t xml:space="preserve">16 (12–21)</w:t>
            </w:r>
          </w:p>
        </w:tc>
        <w:tc>
          <w:tcPr/>
          <w:p>
            <w:pPr>
              <w:pStyle w:val="Compact"/>
            </w:pPr>
            <w:r>
              <w:t xml:space="preserve">0.250</w:t>
            </w:r>
          </w:p>
        </w:tc>
        <w:tc>
          <w:tcPr/>
          <w:p>
            <w:pPr>
              <w:pStyle w:val="Compact"/>
            </w:pPr>
            <w:r>
              <w:t xml:space="preserve">60.1</w:t>
            </w:r>
          </w:p>
        </w:tc>
        <w:tc>
          <w:tcPr/>
          <w:p>
            <w:pPr>
              <w:pStyle w:val="Compact"/>
            </w:pPr>
            <w:r>
              <w:t xml:space="preserve">23.9%</w:t>
            </w:r>
          </w:p>
        </w:tc>
        <w:tc>
          <w:tcPr/>
          <w:p>
            <w:pPr>
              <w:pStyle w:val="Compact"/>
            </w:pPr>
            <w:r>
              <w:t xml:space="preserve">37.5%</w:t>
            </w:r>
          </w:p>
        </w:tc>
        <w:tc>
          <w:tcPr/>
          <w:p>
            <w:pPr>
              <w:pStyle w:val="Compact"/>
            </w:pPr>
            <w:r>
              <w:t xml:space="preserve">33.3%</w:t>
            </w:r>
          </w:p>
        </w:tc>
      </w:tr>
      <w:tr>
        <w:tc>
          <w:tcPr/>
          <w:p>
            <w:pPr>
              <w:pStyle w:val="Compact"/>
            </w:pPr>
            <w:r>
              <w:t xml:space="preserve">2018</w:t>
            </w:r>
          </w:p>
        </w:tc>
        <w:tc>
          <w:tcPr/>
          <w:p>
            <w:pPr>
              <w:pStyle w:val="Compact"/>
            </w:pPr>
            <w:r>
              <w:t xml:space="preserve">All</w:t>
            </w:r>
          </w:p>
        </w:tc>
        <w:tc>
          <w:tcPr/>
          <w:p>
            <w:pPr>
              <w:pStyle w:val="Compact"/>
            </w:pPr>
            <w:r>
              <w:t xml:space="preserve">672</w:t>
            </w:r>
          </w:p>
        </w:tc>
        <w:tc>
          <w:tcPr/>
          <w:p>
            <w:pPr>
              <w:pStyle w:val="Compact"/>
            </w:pPr>
            <w:r>
              <w:t xml:space="preserve">15002</w:t>
            </w:r>
          </w:p>
        </w:tc>
        <w:tc>
          <w:tcPr/>
          <w:p>
            <w:pPr>
              <w:pStyle w:val="Compact"/>
            </w:pPr>
            <w:r>
              <w:t xml:space="preserve">18 (14–27)</w:t>
            </w:r>
          </w:p>
        </w:tc>
        <w:tc>
          <w:tcPr/>
          <w:p>
            <w:pPr>
              <w:pStyle w:val="Compact"/>
            </w:pPr>
            <w:r>
              <w:t xml:space="preserve">0.274</w:t>
            </w:r>
          </w:p>
        </w:tc>
        <w:tc>
          <w:tcPr/>
          <w:p>
            <w:pPr>
              <w:pStyle w:val="Compact"/>
            </w:pPr>
            <w:r>
              <w:t xml:space="preserve">19.4</w:t>
            </w:r>
          </w:p>
        </w:tc>
        <w:tc>
          <w:tcPr/>
          <w:p>
            <w:pPr>
              <w:pStyle w:val="Compact"/>
            </w:pPr>
            <w:r>
              <w:t xml:space="preserve">23.1%</w:t>
            </w:r>
          </w:p>
        </w:tc>
        <w:tc>
          <w:tcPr/>
          <w:p>
            <w:pPr>
              <w:pStyle w:val="Compact"/>
            </w:pPr>
            <w:r>
              <w:t xml:space="preserve">38.1%</w:t>
            </w:r>
          </w:p>
        </w:tc>
        <w:tc>
          <w:tcPr/>
          <w:p>
            <w:pPr>
              <w:pStyle w:val="Compact"/>
            </w:pPr>
            <w:r>
              <w:t xml:space="preserve">31.2%</w:t>
            </w:r>
          </w:p>
        </w:tc>
      </w:tr>
      <w:tr>
        <w:tc>
          <w:tcPr/>
          <w:p>
            <w:pPr>
              <w:pStyle w:val="Compact"/>
            </w:pPr>
            <w:r>
              <w:t xml:space="preserve">2018</w:t>
            </w:r>
          </w:p>
        </w:tc>
        <w:tc>
          <w:tcPr/>
          <w:p>
            <w:pPr>
              <w:pStyle w:val="Compact"/>
            </w:pPr>
            <w:r>
              <w:t xml:space="preserve">URPS</w:t>
            </w:r>
          </w:p>
        </w:tc>
        <w:tc>
          <w:tcPr/>
          <w:p>
            <w:pPr>
              <w:pStyle w:val="Compact"/>
            </w:pPr>
            <w:r>
              <w:t xml:space="preserve">387</w:t>
            </w:r>
          </w:p>
        </w:tc>
        <w:tc>
          <w:tcPr/>
          <w:p>
            <w:pPr>
              <w:pStyle w:val="Compact"/>
            </w:pPr>
            <w:r>
              <w:t xml:space="preserve">9239</w:t>
            </w:r>
          </w:p>
        </w:tc>
        <w:tc>
          <w:tcPr/>
          <w:p>
            <w:pPr>
              <w:pStyle w:val="Compact"/>
            </w:pPr>
            <w:r>
              <w:t xml:space="preserve">20 (15–30)</w:t>
            </w:r>
          </w:p>
        </w:tc>
        <w:tc>
          <w:tcPr/>
          <w:p>
            <w:pPr>
              <w:pStyle w:val="Compact"/>
            </w:pPr>
            <w:r>
              <w:t xml:space="preserve">0.277</w:t>
            </w:r>
          </w:p>
        </w:tc>
        <w:tc>
          <w:tcPr/>
          <w:p>
            <w:pPr>
              <w:pStyle w:val="Compact"/>
            </w:pPr>
            <w:r>
              <w:t xml:space="preserve">33.4</w:t>
            </w:r>
          </w:p>
        </w:tc>
        <w:tc>
          <w:tcPr/>
          <w:p>
            <w:pPr>
              <w:pStyle w:val="Compact"/>
            </w:pPr>
            <w:r>
              <w:t xml:space="preserve">22.4%</w:t>
            </w:r>
          </w:p>
        </w:tc>
        <w:tc>
          <w:tcPr/>
          <w:p>
            <w:pPr>
              <w:pStyle w:val="Compact"/>
            </w:pPr>
            <w:r>
              <w:t xml:space="preserve">37.6%</w:t>
            </w:r>
          </w:p>
        </w:tc>
        <w:tc>
          <w:tcPr/>
          <w:p>
            <w:pPr>
              <w:pStyle w:val="Compact"/>
            </w:pPr>
            <w:r>
              <w:t xml:space="preserve">30.5%</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199</w:t>
            </w:r>
          </w:p>
        </w:tc>
        <w:tc>
          <w:tcPr/>
          <w:p>
            <w:pPr>
              <w:pStyle w:val="Compact"/>
            </w:pPr>
            <w:r>
              <w:t xml:space="preserve">4026</w:t>
            </w:r>
          </w:p>
        </w:tc>
        <w:tc>
          <w:tcPr/>
          <w:p>
            <w:pPr>
              <w:pStyle w:val="Compact"/>
            </w:pPr>
            <w:r>
              <w:t xml:space="preserve">16 (13–23)</w:t>
            </w:r>
          </w:p>
        </w:tc>
        <w:tc>
          <w:tcPr/>
          <w:p>
            <w:pPr>
              <w:pStyle w:val="Compact"/>
            </w:pPr>
            <w:r>
              <w:t xml:space="preserve">0.260</w:t>
            </w:r>
          </w:p>
        </w:tc>
        <w:tc>
          <w:tcPr/>
          <w:p>
            <w:pPr>
              <w:pStyle w:val="Compact"/>
            </w:pPr>
            <w:r>
              <w:t xml:space="preserve">65.5</w:t>
            </w:r>
          </w:p>
        </w:tc>
        <w:tc>
          <w:tcPr/>
          <w:p>
            <w:pPr>
              <w:pStyle w:val="Compact"/>
            </w:pPr>
            <w:r>
              <w:t xml:space="preserve">23.4%</w:t>
            </w:r>
          </w:p>
        </w:tc>
        <w:tc>
          <w:tcPr/>
          <w:p>
            <w:pPr>
              <w:pStyle w:val="Compact"/>
            </w:pPr>
            <w:r>
              <w:t xml:space="preserve">37.7%</w:t>
            </w:r>
          </w:p>
        </w:tc>
        <w:tc>
          <w:tcPr/>
          <w:p>
            <w:pPr>
              <w:pStyle w:val="Compact"/>
            </w:pPr>
            <w:r>
              <w:t xml:space="preserve">32.2%</w:t>
            </w:r>
          </w:p>
        </w:tc>
      </w:tr>
      <w:tr>
        <w:tc>
          <w:tcPr/>
          <w:p>
            <w:pPr>
              <w:pStyle w:val="Compact"/>
            </w:pPr>
            <w:r>
              <w:t xml:space="preserve">2019</w:t>
            </w:r>
          </w:p>
        </w:tc>
        <w:tc>
          <w:tcPr/>
          <w:p>
            <w:pPr>
              <w:pStyle w:val="Compact"/>
            </w:pPr>
            <w:r>
              <w:t xml:space="preserve">All</w:t>
            </w:r>
          </w:p>
        </w:tc>
        <w:tc>
          <w:tcPr/>
          <w:p>
            <w:pPr>
              <w:pStyle w:val="Compact"/>
            </w:pPr>
            <w:r>
              <w:t xml:space="preserve">650</w:t>
            </w:r>
          </w:p>
        </w:tc>
        <w:tc>
          <w:tcPr/>
          <w:p>
            <w:pPr>
              <w:pStyle w:val="Compact"/>
            </w:pPr>
            <w:r>
              <w:t xml:space="preserve">14618</w:t>
            </w:r>
          </w:p>
        </w:tc>
        <w:tc>
          <w:tcPr/>
          <w:p>
            <w:pPr>
              <w:pStyle w:val="Compact"/>
            </w:pPr>
            <w:r>
              <w:t xml:space="preserve">18 (14–27)</w:t>
            </w:r>
          </w:p>
        </w:tc>
        <w:tc>
          <w:tcPr/>
          <w:p>
            <w:pPr>
              <w:pStyle w:val="Compact"/>
            </w:pPr>
            <w:r>
              <w:t xml:space="preserve">0.274</w:t>
            </w:r>
          </w:p>
        </w:tc>
        <w:tc>
          <w:tcPr/>
          <w:p>
            <w:pPr>
              <w:pStyle w:val="Compact"/>
            </w:pPr>
            <w:r>
              <w:t xml:space="preserve">20.1</w:t>
            </w:r>
          </w:p>
        </w:tc>
        <w:tc>
          <w:tcPr/>
          <w:p>
            <w:pPr>
              <w:pStyle w:val="Compact"/>
            </w:pPr>
            <w:r>
              <w:t xml:space="preserve">23.4%</w:t>
            </w:r>
          </w:p>
        </w:tc>
        <w:tc>
          <w:tcPr/>
          <w:p>
            <w:pPr>
              <w:pStyle w:val="Compact"/>
            </w:pPr>
            <w:r>
              <w:t xml:space="preserve">38.0%</w:t>
            </w:r>
          </w:p>
        </w:tc>
        <w:tc>
          <w:tcPr/>
          <w:p>
            <w:pPr>
              <w:pStyle w:val="Compact"/>
            </w:pPr>
            <w:r>
              <w:t xml:space="preserve">31.2%</w:t>
            </w:r>
          </w:p>
        </w:tc>
      </w:tr>
      <w:tr>
        <w:tc>
          <w:tcPr/>
          <w:p>
            <w:pPr>
              <w:pStyle w:val="Compact"/>
            </w:pPr>
            <w:r>
              <w:t xml:space="preserve">2019</w:t>
            </w:r>
          </w:p>
        </w:tc>
        <w:tc>
          <w:tcPr/>
          <w:p>
            <w:pPr>
              <w:pStyle w:val="Compact"/>
            </w:pPr>
            <w:r>
              <w:t xml:space="preserve">URPS</w:t>
            </w:r>
          </w:p>
        </w:tc>
        <w:tc>
          <w:tcPr/>
          <w:p>
            <w:pPr>
              <w:pStyle w:val="Compact"/>
            </w:pPr>
            <w:r>
              <w:t xml:space="preserve">386</w:t>
            </w:r>
          </w:p>
        </w:tc>
        <w:tc>
          <w:tcPr/>
          <w:p>
            <w:pPr>
              <w:pStyle w:val="Compact"/>
            </w:pPr>
            <w:r>
              <w:t xml:space="preserve">9174</w:t>
            </w:r>
          </w:p>
        </w:tc>
        <w:tc>
          <w:tcPr/>
          <w:p>
            <w:pPr>
              <w:pStyle w:val="Compact"/>
            </w:pPr>
            <w:r>
              <w:t xml:space="preserve">20 (15–28)</w:t>
            </w:r>
          </w:p>
        </w:tc>
        <w:tc>
          <w:tcPr/>
          <w:p>
            <w:pPr>
              <w:pStyle w:val="Compact"/>
            </w:pPr>
            <w:r>
              <w:t xml:space="preserve">0.275</w:t>
            </w:r>
          </w:p>
        </w:tc>
        <w:tc>
          <w:tcPr/>
          <w:p>
            <w:pPr>
              <w:pStyle w:val="Compact"/>
            </w:pPr>
            <w:r>
              <w:t xml:space="preserve">33.5</w:t>
            </w:r>
          </w:p>
        </w:tc>
        <w:tc>
          <w:tcPr/>
          <w:p>
            <w:pPr>
              <w:pStyle w:val="Compact"/>
            </w:pPr>
            <w:r>
              <w:t xml:space="preserve">23.1%</w:t>
            </w:r>
          </w:p>
        </w:tc>
        <w:tc>
          <w:tcPr/>
          <w:p>
            <w:pPr>
              <w:pStyle w:val="Compact"/>
            </w:pPr>
            <w:r>
              <w:t xml:space="preserve">38.2%</w:t>
            </w:r>
          </w:p>
        </w:tc>
        <w:tc>
          <w:tcPr/>
          <w:p>
            <w:pPr>
              <w:pStyle w:val="Compact"/>
            </w:pPr>
            <w:r>
              <w:t xml:space="preserve">31.2%</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174</w:t>
            </w:r>
          </w:p>
        </w:tc>
        <w:tc>
          <w:tcPr/>
          <w:p>
            <w:pPr>
              <w:pStyle w:val="Compact"/>
            </w:pPr>
            <w:r>
              <w:t xml:space="preserve">3519</w:t>
            </w:r>
          </w:p>
        </w:tc>
        <w:tc>
          <w:tcPr/>
          <w:p>
            <w:pPr>
              <w:pStyle w:val="Compact"/>
            </w:pPr>
            <w:r>
              <w:t xml:space="preserve">16 (13–24)</w:t>
            </w:r>
          </w:p>
        </w:tc>
        <w:tc>
          <w:tcPr/>
          <w:p>
            <w:pPr>
              <w:pStyle w:val="Compact"/>
            </w:pPr>
            <w:r>
              <w:t xml:space="preserve">0.251</w:t>
            </w:r>
          </w:p>
        </w:tc>
        <w:tc>
          <w:tcPr/>
          <w:p>
            <w:pPr>
              <w:pStyle w:val="Compact"/>
            </w:pPr>
            <w:r>
              <w:t xml:space="preserve">73.4</w:t>
            </w:r>
          </w:p>
        </w:tc>
        <w:tc>
          <w:tcPr/>
          <w:p>
            <w:pPr>
              <w:pStyle w:val="Compact"/>
            </w:pPr>
            <w:r>
              <w:t xml:space="preserve">23.0%</w:t>
            </w:r>
          </w:p>
        </w:tc>
        <w:tc>
          <w:tcPr/>
          <w:p>
            <w:pPr>
              <w:pStyle w:val="Compact"/>
            </w:pPr>
            <w:r>
              <w:t xml:space="preserve">36.6%</w:t>
            </w:r>
          </w:p>
        </w:tc>
        <w:tc>
          <w:tcPr/>
          <w:p>
            <w:pPr>
              <w:pStyle w:val="Compact"/>
            </w:pPr>
            <w:r>
              <w:t xml:space="preserve">32.7%</w:t>
            </w:r>
          </w:p>
        </w:tc>
      </w:tr>
      <w:tr>
        <w:tc>
          <w:tcPr/>
          <w:p>
            <w:pPr>
              <w:pStyle w:val="Compact"/>
            </w:pPr>
            <w:r>
              <w:t xml:space="preserve">2020</w:t>
            </w:r>
          </w:p>
        </w:tc>
        <w:tc>
          <w:tcPr/>
          <w:p>
            <w:pPr>
              <w:pStyle w:val="Compact"/>
            </w:pPr>
            <w:r>
              <w:t xml:space="preserve">All</w:t>
            </w:r>
          </w:p>
        </w:tc>
        <w:tc>
          <w:tcPr/>
          <w:p>
            <w:pPr>
              <w:pStyle w:val="Compact"/>
            </w:pPr>
            <w:r>
              <w:t xml:space="preserve">445</w:t>
            </w:r>
          </w:p>
        </w:tc>
        <w:tc>
          <w:tcPr/>
          <w:p>
            <w:pPr>
              <w:pStyle w:val="Compact"/>
            </w:pPr>
            <w:r>
              <w:t xml:space="preserve">9228</w:t>
            </w:r>
          </w:p>
        </w:tc>
        <w:tc>
          <w:tcPr/>
          <w:p>
            <w:pPr>
              <w:pStyle w:val="Compact"/>
            </w:pPr>
            <w:r>
              <w:t xml:space="preserve">17 (13–24)</w:t>
            </w:r>
          </w:p>
        </w:tc>
        <w:tc>
          <w:tcPr/>
          <w:p>
            <w:pPr>
              <w:pStyle w:val="Compact"/>
            </w:pPr>
            <w:r>
              <w:t xml:space="preserve">0.256</w:t>
            </w:r>
          </w:p>
        </w:tc>
        <w:tc>
          <w:tcPr/>
          <w:p>
            <w:pPr>
              <w:pStyle w:val="Compact"/>
            </w:pPr>
            <w:r>
              <w:t xml:space="preserve">28.7</w:t>
            </w:r>
          </w:p>
        </w:tc>
        <w:tc>
          <w:tcPr/>
          <w:p>
            <w:pPr>
              <w:pStyle w:val="Compact"/>
            </w:pPr>
            <w:r>
              <w:t xml:space="preserve">22.9%</w:t>
            </w:r>
          </w:p>
        </w:tc>
        <w:tc>
          <w:tcPr/>
          <w:p>
            <w:pPr>
              <w:pStyle w:val="Compact"/>
            </w:pPr>
            <w:r>
              <w:t xml:space="preserve">37.0%</w:t>
            </w:r>
          </w:p>
        </w:tc>
        <w:tc>
          <w:tcPr/>
          <w:p>
            <w:pPr>
              <w:pStyle w:val="Compact"/>
            </w:pPr>
            <w:r>
              <w:t xml:space="preserve">32.5%</w:t>
            </w:r>
          </w:p>
        </w:tc>
      </w:tr>
      <w:tr>
        <w:tc>
          <w:tcPr/>
          <w:p>
            <w:pPr>
              <w:pStyle w:val="Compact"/>
            </w:pPr>
            <w:r>
              <w:t xml:space="preserve">2020</w:t>
            </w:r>
          </w:p>
        </w:tc>
        <w:tc>
          <w:tcPr/>
          <w:p>
            <w:pPr>
              <w:pStyle w:val="Compact"/>
            </w:pPr>
            <w:r>
              <w:t xml:space="preserve">URPS</w:t>
            </w:r>
          </w:p>
        </w:tc>
        <w:tc>
          <w:tcPr/>
          <w:p>
            <w:pPr>
              <w:pStyle w:val="Compact"/>
            </w:pPr>
            <w:r>
              <w:t xml:space="preserve">280</w:t>
            </w:r>
          </w:p>
        </w:tc>
        <w:tc>
          <w:tcPr/>
          <w:p>
            <w:pPr>
              <w:pStyle w:val="Compact"/>
            </w:pPr>
            <w:r>
              <w:t xml:space="preserve">6051</w:t>
            </w:r>
          </w:p>
        </w:tc>
        <w:tc>
          <w:tcPr/>
          <w:p>
            <w:pPr>
              <w:pStyle w:val="Compact"/>
            </w:pPr>
            <w:r>
              <w:t xml:space="preserve">18 (14–25)</w:t>
            </w:r>
          </w:p>
        </w:tc>
        <w:tc>
          <w:tcPr/>
          <w:p>
            <w:pPr>
              <w:pStyle w:val="Compact"/>
            </w:pPr>
            <w:r>
              <w:t xml:space="preserve">0.262</w:t>
            </w:r>
          </w:p>
        </w:tc>
        <w:tc>
          <w:tcPr/>
          <w:p>
            <w:pPr>
              <w:pStyle w:val="Compact"/>
            </w:pPr>
            <w:r>
              <w:t xml:space="preserve">45.7</w:t>
            </w:r>
          </w:p>
        </w:tc>
        <w:tc>
          <w:tcPr/>
          <w:p>
            <w:pPr>
              <w:pStyle w:val="Compact"/>
            </w:pPr>
            <w:r>
              <w:t xml:space="preserve">22.7%</w:t>
            </w:r>
          </w:p>
        </w:tc>
        <w:tc>
          <w:tcPr/>
          <w:p>
            <w:pPr>
              <w:pStyle w:val="Compact"/>
            </w:pPr>
            <w:r>
              <w:t xml:space="preserve">37.4%</w:t>
            </w:r>
          </w:p>
        </w:tc>
        <w:tc>
          <w:tcPr/>
          <w:p>
            <w:pPr>
              <w:pStyle w:val="Compact"/>
            </w:pPr>
            <w:r>
              <w:t xml:space="preserve">32.1%</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117</w:t>
            </w:r>
          </w:p>
        </w:tc>
        <w:tc>
          <w:tcPr/>
          <w:p>
            <w:pPr>
              <w:pStyle w:val="Compact"/>
            </w:pPr>
            <w:r>
              <w:t xml:space="preserve">2155</w:t>
            </w:r>
          </w:p>
        </w:tc>
        <w:tc>
          <w:tcPr/>
          <w:p>
            <w:pPr>
              <w:pStyle w:val="Compact"/>
            </w:pPr>
            <w:r>
              <w:t xml:space="preserve">15 (13–21)</w:t>
            </w:r>
          </w:p>
        </w:tc>
        <w:tc>
          <w:tcPr/>
          <w:p>
            <w:pPr>
              <w:pStyle w:val="Compact"/>
            </w:pPr>
            <w:r>
              <w:t xml:space="preserve">0.225</w:t>
            </w:r>
          </w:p>
        </w:tc>
        <w:tc>
          <w:tcPr/>
          <w:p>
            <w:pPr>
              <w:pStyle w:val="Compact"/>
            </w:pPr>
            <w:r>
              <w:t xml:space="preserve">105.6</w:t>
            </w:r>
          </w:p>
        </w:tc>
        <w:tc>
          <w:tcPr/>
          <w:p>
            <w:pPr>
              <w:pStyle w:val="Compact"/>
            </w:pPr>
            <w:r>
              <w:t xml:space="preserve">21.4%</w:t>
            </w:r>
          </w:p>
        </w:tc>
        <w:tc>
          <w:tcPr/>
          <w:p>
            <w:pPr>
              <w:pStyle w:val="Compact"/>
            </w:pPr>
            <w:r>
              <w:t xml:space="preserve">36.0%</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458</w:t>
            </w:r>
          </w:p>
        </w:tc>
        <w:tc>
          <w:tcPr/>
          <w:p>
            <w:pPr>
              <w:pStyle w:val="Compact"/>
            </w:pPr>
            <w:r>
              <w:t xml:space="preserve">9551</w:t>
            </w:r>
          </w:p>
        </w:tc>
        <w:tc>
          <w:tcPr/>
          <w:p>
            <w:pPr>
              <w:pStyle w:val="Compact"/>
            </w:pPr>
            <w:r>
              <w:t xml:space="preserve">17 (13–24)</w:t>
            </w:r>
          </w:p>
        </w:tc>
        <w:tc>
          <w:tcPr/>
          <w:p>
            <w:pPr>
              <w:pStyle w:val="Compact"/>
            </w:pPr>
            <w:r>
              <w:t xml:space="preserve">0.265</w:t>
            </w:r>
          </w:p>
        </w:tc>
        <w:tc>
          <w:tcPr/>
          <w:p>
            <w:pPr>
              <w:pStyle w:val="Compact"/>
            </w:pPr>
            <w:r>
              <w:t xml:space="preserve">28.1</w:t>
            </w:r>
          </w:p>
        </w:tc>
        <w:tc>
          <w:tcPr/>
          <w:p>
            <w:pPr>
              <w:pStyle w:val="Compact"/>
            </w:pPr>
            <w:r>
              <w:t xml:space="preserve">22.9%</w:t>
            </w:r>
          </w:p>
        </w:tc>
        <w:tc>
          <w:tcPr/>
          <w:p>
            <w:pPr>
              <w:pStyle w:val="Compact"/>
            </w:pPr>
            <w:r>
              <w:t xml:space="preserve">38.0%</w:t>
            </w:r>
          </w:p>
        </w:tc>
        <w:tc>
          <w:tcPr/>
          <w:p>
            <w:pPr>
              <w:pStyle w:val="Compact"/>
            </w:pPr>
            <w:r>
              <w:t xml:space="preserve">31.9%</w:t>
            </w:r>
          </w:p>
        </w:tc>
      </w:tr>
      <w:tr>
        <w:tc>
          <w:tcPr/>
          <w:p>
            <w:pPr>
              <w:pStyle w:val="Compact"/>
            </w:pPr>
            <w:r>
              <w:t xml:space="preserve">2021</w:t>
            </w:r>
          </w:p>
        </w:tc>
        <w:tc>
          <w:tcPr/>
          <w:p>
            <w:pPr>
              <w:pStyle w:val="Compact"/>
            </w:pPr>
            <w:r>
              <w:t xml:space="preserve">URPS</w:t>
            </w:r>
          </w:p>
        </w:tc>
        <w:tc>
          <w:tcPr/>
          <w:p>
            <w:pPr>
              <w:pStyle w:val="Compact"/>
            </w:pPr>
            <w:r>
              <w:t xml:space="preserve">282</w:t>
            </w:r>
          </w:p>
        </w:tc>
        <w:tc>
          <w:tcPr/>
          <w:p>
            <w:pPr>
              <w:pStyle w:val="Compact"/>
            </w:pPr>
            <w:r>
              <w:t xml:space="preserve">6114</w:t>
            </w:r>
          </w:p>
        </w:tc>
        <w:tc>
          <w:tcPr/>
          <w:p>
            <w:pPr>
              <w:pStyle w:val="Compact"/>
            </w:pPr>
            <w:r>
              <w:t xml:space="preserve">18 (13–25)</w:t>
            </w:r>
          </w:p>
        </w:tc>
        <w:tc>
          <w:tcPr/>
          <w:p>
            <w:pPr>
              <w:pStyle w:val="Compact"/>
            </w:pPr>
            <w:r>
              <w:t xml:space="preserve">0.270</w:t>
            </w:r>
          </w:p>
        </w:tc>
        <w:tc>
          <w:tcPr/>
          <w:p>
            <w:pPr>
              <w:pStyle w:val="Compact"/>
            </w:pPr>
            <w:r>
              <w:t xml:space="preserve">45.6</w:t>
            </w:r>
          </w:p>
        </w:tc>
        <w:tc>
          <w:tcPr/>
          <w:p>
            <w:pPr>
              <w:pStyle w:val="Compact"/>
            </w:pPr>
            <w:r>
              <w:t xml:space="preserve">23.3%</w:t>
            </w:r>
          </w:p>
        </w:tc>
        <w:tc>
          <w:tcPr/>
          <w:p>
            <w:pPr>
              <w:pStyle w:val="Compact"/>
            </w:pPr>
            <w:r>
              <w:t xml:space="preserve">38.3%</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115</w:t>
            </w:r>
          </w:p>
        </w:tc>
        <w:tc>
          <w:tcPr/>
          <w:p>
            <w:pPr>
              <w:pStyle w:val="Compact"/>
            </w:pPr>
            <w:r>
              <w:t xml:space="preserve">2264</w:t>
            </w:r>
          </w:p>
        </w:tc>
        <w:tc>
          <w:tcPr/>
          <w:p>
            <w:pPr>
              <w:pStyle w:val="Compact"/>
            </w:pPr>
            <w:r>
              <w:t xml:space="preserve">17 (13–24)</w:t>
            </w:r>
          </w:p>
        </w:tc>
        <w:tc>
          <w:tcPr/>
          <w:p>
            <w:pPr>
              <w:pStyle w:val="Compact"/>
            </w:pPr>
            <w:r>
              <w:t xml:space="preserve">0.232</w:t>
            </w:r>
          </w:p>
        </w:tc>
        <w:tc>
          <w:tcPr/>
          <w:p>
            <w:pPr>
              <w:pStyle w:val="Compact"/>
            </w:pPr>
            <w:r>
              <w:t xml:space="preserve">104.8</w:t>
            </w:r>
          </w:p>
        </w:tc>
        <w:tc>
          <w:tcPr/>
          <w:p>
            <w:pPr>
              <w:pStyle w:val="Compact"/>
            </w:pPr>
            <w:r>
              <w:t xml:space="preserve">21.1%</w:t>
            </w:r>
          </w:p>
        </w:tc>
        <w:tc>
          <w:tcPr/>
          <w:p>
            <w:pPr>
              <w:pStyle w:val="Compact"/>
            </w:pPr>
            <w:r>
              <w:t xml:space="preserve">34.9%</w:t>
            </w:r>
          </w:p>
        </w:tc>
        <w:tc>
          <w:tcPr/>
          <w:p>
            <w:pPr>
              <w:pStyle w:val="Compact"/>
            </w:pPr>
            <w:r>
              <w:t xml:space="preserve">33.6%</w:t>
            </w:r>
          </w:p>
        </w:tc>
      </w:tr>
      <w:tr>
        <w:tc>
          <w:tcPr/>
          <w:p>
            <w:pPr>
              <w:pStyle w:val="Compact"/>
            </w:pPr>
            <w:r>
              <w:t xml:space="preserve">2022</w:t>
            </w:r>
          </w:p>
        </w:tc>
        <w:tc>
          <w:tcPr/>
          <w:p>
            <w:pPr>
              <w:pStyle w:val="Compact"/>
            </w:pPr>
            <w:r>
              <w:t xml:space="preserve">All</w:t>
            </w:r>
          </w:p>
        </w:tc>
        <w:tc>
          <w:tcPr/>
          <w:p>
            <w:pPr>
              <w:pStyle w:val="Compact"/>
            </w:pPr>
            <w:r>
              <w:t xml:space="preserve">562</w:t>
            </w:r>
          </w:p>
        </w:tc>
        <w:tc>
          <w:tcPr/>
          <w:p>
            <w:pPr>
              <w:pStyle w:val="Compact"/>
            </w:pPr>
            <w:r>
              <w:t xml:space="preserve">12053</w:t>
            </w:r>
          </w:p>
        </w:tc>
        <w:tc>
          <w:tcPr/>
          <w:p>
            <w:pPr>
              <w:pStyle w:val="Compact"/>
            </w:pPr>
            <w:r>
              <w:t xml:space="preserve">17 (13–25)</w:t>
            </w:r>
          </w:p>
        </w:tc>
        <w:tc>
          <w:tcPr/>
          <w:p>
            <w:pPr>
              <w:pStyle w:val="Compact"/>
            </w:pPr>
            <w:r>
              <w:t xml:space="preserve">0.275</w:t>
            </w:r>
          </w:p>
        </w:tc>
        <w:tc>
          <w:tcPr/>
          <w:p>
            <w:pPr>
              <w:pStyle w:val="Compact"/>
            </w:pPr>
            <w:r>
              <w:t xml:space="preserve">23.6</w:t>
            </w:r>
          </w:p>
        </w:tc>
        <w:tc>
          <w:tcPr/>
          <w:p>
            <w:pPr>
              <w:pStyle w:val="Compact"/>
            </w:pPr>
            <w:r>
              <w:t xml:space="preserve">24.2%</w:t>
            </w:r>
          </w:p>
        </w:tc>
        <w:tc>
          <w:tcPr/>
          <w:p>
            <w:pPr>
              <w:pStyle w:val="Compact"/>
            </w:pPr>
            <w:r>
              <w:t xml:space="preserve">39.1%</w:t>
            </w:r>
          </w:p>
        </w:tc>
        <w:tc>
          <w:tcPr/>
          <w:p>
            <w:pPr>
              <w:pStyle w:val="Compact"/>
            </w:pPr>
            <w:r>
              <w:t xml:space="preserve">31.4%</w:t>
            </w:r>
          </w:p>
        </w:tc>
      </w:tr>
      <w:tr>
        <w:tc>
          <w:tcPr/>
          <w:p>
            <w:pPr>
              <w:pStyle w:val="Compact"/>
            </w:pPr>
            <w:r>
              <w:t xml:space="preserve">2022</w:t>
            </w:r>
          </w:p>
        </w:tc>
        <w:tc>
          <w:tcPr/>
          <w:p>
            <w:pPr>
              <w:pStyle w:val="Compact"/>
            </w:pPr>
            <w:r>
              <w:t xml:space="preserve">URPS</w:t>
            </w:r>
          </w:p>
        </w:tc>
        <w:tc>
          <w:tcPr/>
          <w:p>
            <w:pPr>
              <w:pStyle w:val="Compact"/>
            </w:pPr>
            <w:r>
              <w:t xml:space="preserve">341</w:t>
            </w:r>
          </w:p>
        </w:tc>
        <w:tc>
          <w:tcPr/>
          <w:p>
            <w:pPr>
              <w:pStyle w:val="Compact"/>
            </w:pPr>
            <w:r>
              <w:t xml:space="preserve">7612</w:t>
            </w:r>
          </w:p>
        </w:tc>
        <w:tc>
          <w:tcPr/>
          <w:p>
            <w:pPr>
              <w:pStyle w:val="Compact"/>
            </w:pPr>
            <w:r>
              <w:t xml:space="preserve">18 (14–26)</w:t>
            </w:r>
          </w:p>
        </w:tc>
        <w:tc>
          <w:tcPr/>
          <w:p>
            <w:pPr>
              <w:pStyle w:val="Compact"/>
            </w:pPr>
            <w:r>
              <w:t xml:space="preserve">0.280</w:t>
            </w:r>
          </w:p>
        </w:tc>
        <w:tc>
          <w:tcPr/>
          <w:p>
            <w:pPr>
              <w:pStyle w:val="Compact"/>
            </w:pPr>
            <w:r>
              <w:t xml:space="preserve">38.9</w:t>
            </w:r>
          </w:p>
        </w:tc>
        <w:tc>
          <w:tcPr/>
          <w:p>
            <w:pPr>
              <w:pStyle w:val="Compact"/>
            </w:pPr>
            <w:r>
              <w:t xml:space="preserve">24.3%</w:t>
            </w:r>
          </w:p>
        </w:tc>
        <w:tc>
          <w:tcPr/>
          <w:p>
            <w:pPr>
              <w:pStyle w:val="Compact"/>
            </w:pPr>
            <w:r>
              <w:t xml:space="preserve">39.4%</w:t>
            </w:r>
          </w:p>
        </w:tc>
        <w:tc>
          <w:tcPr/>
          <w:p>
            <w:pPr>
              <w:pStyle w:val="Compact"/>
            </w:pPr>
            <w:r>
              <w:t xml:space="preserve">30.9%</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155</w:t>
            </w:r>
          </w:p>
        </w:tc>
        <w:tc>
          <w:tcPr/>
          <w:p>
            <w:pPr>
              <w:pStyle w:val="Compact"/>
            </w:pPr>
            <w:r>
              <w:t xml:space="preserve">3136</w:t>
            </w:r>
          </w:p>
        </w:tc>
        <w:tc>
          <w:tcPr/>
          <w:p>
            <w:pPr>
              <w:pStyle w:val="Compact"/>
            </w:pPr>
            <w:r>
              <w:t xml:space="preserve">16 (13–24)</w:t>
            </w:r>
          </w:p>
        </w:tc>
        <w:tc>
          <w:tcPr/>
          <w:p>
            <w:pPr>
              <w:pStyle w:val="Compact"/>
            </w:pPr>
            <w:r>
              <w:t xml:space="preserve">0.261</w:t>
            </w:r>
          </w:p>
        </w:tc>
        <w:tc>
          <w:tcPr/>
          <w:p>
            <w:pPr>
              <w:pStyle w:val="Compact"/>
            </w:pPr>
            <w:r>
              <w:t xml:space="preserve">83.9</w:t>
            </w:r>
          </w:p>
        </w:tc>
        <w:tc>
          <w:tcPr/>
          <w:p>
            <w:pPr>
              <w:pStyle w:val="Compact"/>
            </w:pPr>
            <w:r>
              <w:t xml:space="preserve">23.7%</w:t>
            </w:r>
          </w:p>
        </w:tc>
        <w:tc>
          <w:tcPr/>
          <w:p>
            <w:pPr>
              <w:pStyle w:val="Compact"/>
            </w:pPr>
            <w:r>
              <w:t xml:space="preserve">37.9%</w:t>
            </w:r>
          </w:p>
        </w:tc>
        <w:tc>
          <w:tcPr/>
          <w:p>
            <w:pPr>
              <w:pStyle w:val="Compact"/>
            </w:pPr>
            <w:r>
              <w:t xml:space="preserve">32.2%</w:t>
            </w:r>
          </w:p>
        </w:tc>
      </w:tr>
      <w:tr>
        <w:tc>
          <w:tcPr/>
          <w:p>
            <w:pPr>
              <w:pStyle w:val="Compact"/>
            </w:pPr>
            <w:r>
              <w:t xml:space="preserve">2023</w:t>
            </w:r>
          </w:p>
        </w:tc>
        <w:tc>
          <w:tcPr/>
          <w:p>
            <w:pPr>
              <w:pStyle w:val="Compact"/>
            </w:pPr>
            <w:r>
              <w:t xml:space="preserve">All</w:t>
            </w:r>
          </w:p>
        </w:tc>
        <w:tc>
          <w:tcPr/>
          <w:p>
            <w:pPr>
              <w:pStyle w:val="Compact"/>
            </w:pPr>
            <w:r>
              <w:t xml:space="preserve">562</w:t>
            </w:r>
          </w:p>
        </w:tc>
        <w:tc>
          <w:tcPr/>
          <w:p>
            <w:pPr>
              <w:pStyle w:val="Compact"/>
            </w:pPr>
            <w:r>
              <w:t xml:space="preserve">12223</w:t>
            </w:r>
          </w:p>
        </w:tc>
        <w:tc>
          <w:tcPr/>
          <w:p>
            <w:pPr>
              <w:pStyle w:val="Compact"/>
            </w:pPr>
            <w:r>
              <w:t xml:space="preserve">18 (13–25)</w:t>
            </w:r>
          </w:p>
        </w:tc>
        <w:tc>
          <w:tcPr/>
          <w:p>
            <w:pPr>
              <w:pStyle w:val="Compact"/>
            </w:pPr>
            <w:r>
              <w:t xml:space="preserve">0.268</w:t>
            </w:r>
          </w:p>
        </w:tc>
        <w:tc>
          <w:tcPr/>
          <w:p>
            <w:pPr>
              <w:pStyle w:val="Compact"/>
            </w:pPr>
            <w:r>
              <w:t xml:space="preserve">23.1</w:t>
            </w:r>
          </w:p>
        </w:tc>
        <w:tc>
          <w:tcPr/>
          <w:p>
            <w:pPr>
              <w:pStyle w:val="Compact"/>
            </w:pPr>
            <w:r>
              <w:t xml:space="preserve">23.2%</w:t>
            </w:r>
          </w:p>
        </w:tc>
        <w:tc>
          <w:tcPr/>
          <w:p>
            <w:pPr>
              <w:pStyle w:val="Compact"/>
            </w:pPr>
            <w:r>
              <w:t xml:space="preserve">37.9%</w:t>
            </w:r>
          </w:p>
        </w:tc>
        <w:tc>
          <w:tcPr/>
          <w:p>
            <w:pPr>
              <w:pStyle w:val="Compact"/>
            </w:pPr>
            <w:r>
              <w:t xml:space="preserve">31.6%</w:t>
            </w:r>
          </w:p>
        </w:tc>
      </w:tr>
      <w:tr>
        <w:tc>
          <w:tcPr/>
          <w:p>
            <w:pPr>
              <w:pStyle w:val="Compact"/>
            </w:pPr>
            <w:r>
              <w:t xml:space="preserve">2023</w:t>
            </w:r>
          </w:p>
        </w:tc>
        <w:tc>
          <w:tcPr/>
          <w:p>
            <w:pPr>
              <w:pStyle w:val="Compact"/>
            </w:pPr>
            <w:r>
              <w:t xml:space="preserve">URPS</w:t>
            </w:r>
          </w:p>
        </w:tc>
        <w:tc>
          <w:tcPr/>
          <w:p>
            <w:pPr>
              <w:pStyle w:val="Compact"/>
            </w:pPr>
            <w:r>
              <w:t xml:space="preserve">338</w:t>
            </w:r>
          </w:p>
        </w:tc>
        <w:tc>
          <w:tcPr/>
          <w:p>
            <w:pPr>
              <w:pStyle w:val="Compact"/>
            </w:pPr>
            <w:r>
              <w:t xml:space="preserve">7802</w:t>
            </w:r>
          </w:p>
        </w:tc>
        <w:tc>
          <w:tcPr/>
          <w:p>
            <w:pPr>
              <w:pStyle w:val="Compact"/>
            </w:pPr>
            <w:r>
              <w:t xml:space="preserve">19 (14–27)</w:t>
            </w:r>
          </w:p>
        </w:tc>
        <w:tc>
          <w:tcPr/>
          <w:p>
            <w:pPr>
              <w:pStyle w:val="Compact"/>
            </w:pPr>
            <w:r>
              <w:t xml:space="preserve">0.272</w:t>
            </w:r>
          </w:p>
        </w:tc>
        <w:tc>
          <w:tcPr/>
          <w:p>
            <w:pPr>
              <w:pStyle w:val="Compact"/>
            </w:pPr>
            <w:r>
              <w:t xml:space="preserve">38.3</w:t>
            </w:r>
          </w:p>
        </w:tc>
        <w:tc>
          <w:tcPr/>
          <w:p>
            <w:pPr>
              <w:pStyle w:val="Compact"/>
            </w:pPr>
            <w:r>
              <w:t xml:space="preserve">22.8%</w:t>
            </w:r>
          </w:p>
        </w:tc>
        <w:tc>
          <w:tcPr/>
          <w:p>
            <w:pPr>
              <w:pStyle w:val="Compact"/>
            </w:pPr>
            <w:r>
              <w:t xml:space="preserve">38.2%</w:t>
            </w:r>
          </w:p>
        </w:tc>
        <w:tc>
          <w:tcPr/>
          <w:p>
            <w:pPr>
              <w:pStyle w:val="Compact"/>
            </w:pPr>
            <w:r>
              <w:t xml:space="preserve">31.4%</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144</w:t>
            </w:r>
          </w:p>
        </w:tc>
        <w:tc>
          <w:tcPr/>
          <w:p>
            <w:pPr>
              <w:pStyle w:val="Compact"/>
            </w:pPr>
            <w:r>
              <w:t xml:space="preserve">2822</w:t>
            </w:r>
          </w:p>
        </w:tc>
        <w:tc>
          <w:tcPr/>
          <w:p>
            <w:pPr>
              <w:pStyle w:val="Compact"/>
            </w:pPr>
            <w:r>
              <w:t xml:space="preserve">16 (13–23)</w:t>
            </w:r>
          </w:p>
        </w:tc>
        <w:tc>
          <w:tcPr/>
          <w:p>
            <w:pPr>
              <w:pStyle w:val="Compact"/>
            </w:pPr>
            <w:r>
              <w:t xml:space="preserve">0.248</w:t>
            </w:r>
          </w:p>
        </w:tc>
        <w:tc>
          <w:tcPr/>
          <w:p>
            <w:pPr>
              <w:pStyle w:val="Compact"/>
            </w:pPr>
            <w:r>
              <w:t xml:space="preserve">88.7</w:t>
            </w:r>
          </w:p>
        </w:tc>
        <w:tc>
          <w:tcPr/>
          <w:p>
            <w:pPr>
              <w:pStyle w:val="Compact"/>
            </w:pPr>
            <w:r>
              <w:t xml:space="preserve">22.7%</w:t>
            </w:r>
          </w:p>
        </w:tc>
        <w:tc>
          <w:tcPr/>
          <w:p>
            <w:pPr>
              <w:pStyle w:val="Compact"/>
            </w:pPr>
            <w:r>
              <w:t xml:space="preserve">36.2%</w:t>
            </w:r>
          </w:p>
        </w:tc>
        <w:tc>
          <w:tcPr/>
          <w:p>
            <w:pPr>
              <w:pStyle w:val="Compact"/>
            </w:pPr>
            <w:r>
              <w:t xml:space="preserve">32.9%</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16399.000</w:t>
            </w:r>
          </w:p>
        </w:tc>
        <w:tc>
          <w:tcPr/>
          <w:p>
            <w:pPr>
              <w:pStyle w:val="Compact"/>
            </w:pPr>
            <w:r>
              <w:t xml:space="preserve">12223.000</w:t>
            </w:r>
          </w:p>
        </w:tc>
        <w:tc>
          <w:tcPr/>
          <w:p>
            <w:pPr>
              <w:pStyle w:val="Compact"/>
            </w:pPr>
            <w:r>
              <w:t xml:space="preserve">-490.345</w:t>
            </w:r>
          </w:p>
        </w:tc>
        <w:tc>
          <w:tcPr/>
          <w:p>
            <w:pPr>
              <w:pStyle w:val="Compact"/>
            </w:pPr>
            <w:r>
              <w:t xml:space="preserve">0.454</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w:t>
            </w:r>
          </w:p>
        </w:tc>
        <w:tc>
          <w:tcPr/>
          <w:p>
            <w:pPr>
              <w:pStyle w:val="Compact"/>
            </w:pPr>
            <w:r>
              <w:t xml:space="preserve">8749.000</w:t>
            </w:r>
          </w:p>
        </w:tc>
        <w:tc>
          <w:tcPr/>
          <w:p>
            <w:pPr>
              <w:pStyle w:val="Compact"/>
            </w:pPr>
            <w:r>
              <w:t xml:space="preserve">7802.000</w:t>
            </w:r>
          </w:p>
        </w:tc>
        <w:tc>
          <w:tcPr/>
          <w:p>
            <w:pPr>
              <w:pStyle w:val="Compact"/>
            </w:pPr>
            <w:r>
              <w:t xml:space="preserve">-176.809</w:t>
            </w:r>
          </w:p>
        </w:tc>
        <w:tc>
          <w:tcPr/>
          <w:p>
            <w:pPr>
              <w:pStyle w:val="Compact"/>
            </w:pPr>
            <w:r>
              <w:t xml:space="preserve">0.228</w:t>
            </w:r>
          </w:p>
        </w:tc>
        <w:tc>
          <w:tcPr/>
          <w:p>
            <w:pPr>
              <w:pStyle w:val="Compact"/>
            </w:pPr>
            <w:r>
              <w:t xml:space="preserve">0.140</w:t>
            </w:r>
          </w:p>
        </w:tc>
      </w:tr>
      <w:tr>
        <w:tc>
          <w:tcPr/>
          <w:p>
            <w:pPr>
              <w:pStyle w:val="Compact"/>
            </w:pPr>
            <w:r>
              <w:t xml:space="preserve">Total procedures</w:t>
            </w:r>
          </w:p>
        </w:tc>
        <w:tc>
          <w:tcPr/>
          <w:p>
            <w:pPr>
              <w:pStyle w:val="Compact"/>
            </w:pPr>
            <w:r>
              <w:t xml:space="preserve">Urology</w:t>
            </w:r>
          </w:p>
        </w:tc>
        <w:tc>
          <w:tcPr/>
          <w:p>
            <w:pPr>
              <w:pStyle w:val="Compact"/>
            </w:pPr>
            <w:r>
              <w:t xml:space="preserve">5035.000</w:t>
            </w:r>
          </w:p>
        </w:tc>
        <w:tc>
          <w:tcPr/>
          <w:p>
            <w:pPr>
              <w:pStyle w:val="Compact"/>
            </w:pPr>
            <w:r>
              <w:t xml:space="preserve">2822.000</w:t>
            </w:r>
          </w:p>
        </w:tc>
        <w:tc>
          <w:tcPr/>
          <w:p>
            <w:pPr>
              <w:pStyle w:val="Compact"/>
            </w:pPr>
            <w:r>
              <w:t xml:space="preserve">-202.591</w:t>
            </w:r>
          </w:p>
        </w:tc>
        <w:tc>
          <w:tcPr/>
          <w:p>
            <w:pPr>
              <w:pStyle w:val="Compact"/>
            </w:pPr>
            <w:r>
              <w:t xml:space="preserve">0.607</w:t>
            </w:r>
          </w:p>
        </w:tc>
        <w:tc>
          <w:tcPr/>
          <w:p>
            <w:pPr>
              <w:pStyle w:val="Compact"/>
            </w:pPr>
            <w:r>
              <w:t xml:space="preserve">0.005</w:t>
            </w:r>
          </w:p>
        </w:tc>
      </w:tr>
      <w:tr>
        <w:tc>
          <w:tcPr/>
          <w:p>
            <w:pPr>
              <w:pStyle w:val="Compact"/>
            </w:pPr>
            <w:r>
              <w:t xml:space="preserve">Observable surgeons</w:t>
            </w:r>
          </w:p>
        </w:tc>
        <w:tc>
          <w:tcPr/>
          <w:p>
            <w:pPr>
              <w:pStyle w:val="Compact"/>
            </w:pPr>
            <w:r>
              <w:t xml:space="preserve">All</w:t>
            </w:r>
          </w:p>
        </w:tc>
        <w:tc>
          <w:tcPr/>
          <w:p>
            <w:pPr>
              <w:pStyle w:val="Compact"/>
            </w:pPr>
            <w:r>
              <w:t xml:space="preserve">812.000</w:t>
            </w:r>
          </w:p>
        </w:tc>
        <w:tc>
          <w:tcPr/>
          <w:p>
            <w:pPr>
              <w:pStyle w:val="Compact"/>
            </w:pPr>
            <w:r>
              <w:t xml:space="preserve">562.000</w:t>
            </w:r>
          </w:p>
        </w:tc>
        <w:tc>
          <w:tcPr/>
          <w:p>
            <w:pPr>
              <w:pStyle w:val="Compact"/>
            </w:pPr>
            <w:r>
              <w:t xml:space="preserve">-26.636</w:t>
            </w:r>
          </w:p>
        </w:tc>
        <w:tc>
          <w:tcPr/>
          <w:p>
            <w:pPr>
              <w:pStyle w:val="Compact"/>
            </w:pPr>
            <w:r>
              <w:t xml:space="preserve">0.609</w:t>
            </w:r>
          </w:p>
        </w:tc>
        <w:tc>
          <w:tcPr/>
          <w:p>
            <w:pPr>
              <w:pStyle w:val="Compact"/>
            </w:pPr>
            <w:r>
              <w:t xml:space="preserve">0.005</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w:t>
            </w:r>
          </w:p>
        </w:tc>
        <w:tc>
          <w:tcPr/>
          <w:p>
            <w:pPr>
              <w:pStyle w:val="Compact"/>
            </w:pPr>
            <w:r>
              <w:t xml:space="preserve">385.000</w:t>
            </w:r>
          </w:p>
        </w:tc>
        <w:tc>
          <w:tcPr/>
          <w:p>
            <w:pPr>
              <w:pStyle w:val="Compact"/>
            </w:pPr>
            <w:r>
              <w:t xml:space="preserve">338.000</w:t>
            </w:r>
          </w:p>
        </w:tc>
        <w:tc>
          <w:tcPr/>
          <w:p>
            <w:pPr>
              <w:pStyle w:val="Compact"/>
            </w:pPr>
            <w:r>
              <w:t xml:space="preserve">-6.918</w:t>
            </w:r>
          </w:p>
        </w:tc>
        <w:tc>
          <w:tcPr/>
          <w:p>
            <w:pPr>
              <w:pStyle w:val="Compact"/>
            </w:pPr>
            <w:r>
              <w:t xml:space="preserve">0.279</w:t>
            </w:r>
          </w:p>
        </w:tc>
        <w:tc>
          <w:tcPr/>
          <w:p>
            <w:pPr>
              <w:pStyle w:val="Compact"/>
            </w:pPr>
            <w:r>
              <w:t xml:space="preserve">0.100</w:t>
            </w:r>
          </w:p>
        </w:tc>
      </w:tr>
      <w:tr>
        <w:tc>
          <w:tcPr/>
          <w:p>
            <w:pPr>
              <w:pStyle w:val="Compact"/>
            </w:pPr>
            <w:r>
              <w:t xml:space="preserve">Observable surgeons</w:t>
            </w:r>
          </w:p>
        </w:tc>
        <w:tc>
          <w:tcPr/>
          <w:p>
            <w:pPr>
              <w:pStyle w:val="Compact"/>
            </w:pPr>
            <w:r>
              <w:t xml:space="preserve">Urology</w:t>
            </w:r>
          </w:p>
        </w:tc>
        <w:tc>
          <w:tcPr/>
          <w:p>
            <w:pPr>
              <w:pStyle w:val="Compact"/>
            </w:pPr>
            <w:r>
              <w:t xml:space="preserve">282.000</w:t>
            </w:r>
          </w:p>
        </w:tc>
        <w:tc>
          <w:tcPr/>
          <w:p>
            <w:pPr>
              <w:pStyle w:val="Compact"/>
            </w:pPr>
            <w:r>
              <w:t xml:space="preserve">144.000</w:t>
            </w:r>
          </w:p>
        </w:tc>
        <w:tc>
          <w:tcPr/>
          <w:p>
            <w:pPr>
              <w:pStyle w:val="Compact"/>
            </w:pPr>
            <w:r>
              <w:t xml:space="preserve">-12.809</w:t>
            </w:r>
          </w:p>
        </w:tc>
        <w:tc>
          <w:tcPr/>
          <w:p>
            <w:pPr>
              <w:pStyle w:val="Compact"/>
            </w:pPr>
            <w:r>
              <w:t xml:space="preserve">0.724</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0.105</w:t>
            </w:r>
          </w:p>
        </w:tc>
        <w:tc>
          <w:tcPr/>
          <w:p>
            <w:pPr>
              <w:pStyle w:val="Compact"/>
            </w:pPr>
            <w:r>
              <w:t xml:space="preserve">0.168</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w:t>
            </w:r>
          </w:p>
        </w:tc>
        <w:tc>
          <w:tcPr/>
          <w:p>
            <w:pPr>
              <w:pStyle w:val="Compact"/>
            </w:pPr>
            <w:r>
              <w:t xml:space="preserve">19.000</w:t>
            </w:r>
          </w:p>
        </w:tc>
        <w:tc>
          <w:tcPr/>
          <w:p>
            <w:pPr>
              <w:pStyle w:val="Compact"/>
            </w:pPr>
            <w:r>
              <w:t xml:space="preserve">19.000</w:t>
            </w:r>
          </w:p>
        </w:tc>
        <w:tc>
          <w:tcPr/>
          <w:p>
            <w:pPr>
              <w:pStyle w:val="Compact"/>
            </w:pPr>
            <w:r>
              <w:t xml:space="preserve">-0.045</w:t>
            </w:r>
          </w:p>
        </w:tc>
        <w:tc>
          <w:tcPr/>
          <w:p>
            <w:pPr>
              <w:pStyle w:val="Compact"/>
            </w:pPr>
            <w:r>
              <w:t xml:space="preserve">0.040</w:t>
            </w:r>
          </w:p>
        </w:tc>
        <w:tc>
          <w:tcPr/>
          <w:p>
            <w:pPr>
              <w:pStyle w:val="Compact"/>
            </w:pPr>
            <w:r>
              <w:t xml:space="preserve">0.550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16.000</w:t>
            </w:r>
          </w:p>
        </w:tc>
        <w:tc>
          <w:tcPr/>
          <w:p>
            <w:pPr>
              <w:pStyle w:val="Compact"/>
            </w:pPr>
            <w:r>
              <w:t xml:space="preserve">0.123</w:t>
            </w:r>
          </w:p>
        </w:tc>
        <w:tc>
          <w:tcPr/>
          <w:p>
            <w:pPr>
              <w:pStyle w:val="Compact"/>
            </w:pPr>
            <w:r>
              <w:t xml:space="preserve">0.354</w:t>
            </w:r>
          </w:p>
        </w:tc>
        <w:tc>
          <w:tcPr/>
          <w:p>
            <w:pPr>
              <w:pStyle w:val="Compact"/>
            </w:pPr>
            <w:r>
              <w:t xml:space="preserve">0.050</w:t>
            </w:r>
          </w:p>
        </w:tc>
      </w:tr>
      <w:tr>
        <w:tc>
          <w:tcPr/>
          <w:p>
            <w:pPr>
              <w:pStyle w:val="Compact"/>
            </w:pPr>
            <w:r>
              <w:t xml:space="preserve">Gini coefficient</w:t>
            </w:r>
          </w:p>
        </w:tc>
        <w:tc>
          <w:tcPr/>
          <w:p>
            <w:pPr>
              <w:pStyle w:val="Compact"/>
            </w:pPr>
            <w:r>
              <w:t xml:space="preserve">All</w:t>
            </w:r>
          </w:p>
        </w:tc>
        <w:tc>
          <w:tcPr/>
          <w:p>
            <w:pPr>
              <w:pStyle w:val="Compact"/>
            </w:pPr>
            <w:r>
              <w:t xml:space="preserve">0.272</w:t>
            </w:r>
          </w:p>
        </w:tc>
        <w:tc>
          <w:tcPr/>
          <w:p>
            <w:pPr>
              <w:pStyle w:val="Compact"/>
            </w:pPr>
            <w:r>
              <w:t xml:space="preserve">0.268</w:t>
            </w:r>
          </w:p>
        </w:tc>
        <w:tc>
          <w:tcPr/>
          <w:p>
            <w:pPr>
              <w:pStyle w:val="Compact"/>
            </w:pPr>
            <w:r>
              <w:t xml:space="preserve">0.000</w:t>
            </w:r>
          </w:p>
        </w:tc>
        <w:tc>
          <w:tcPr/>
          <w:p>
            <w:pPr>
              <w:pStyle w:val="Compact"/>
            </w:pPr>
            <w:r>
              <w:t xml:space="preserve">0.014</w:t>
            </w:r>
          </w:p>
        </w:tc>
        <w:tc>
          <w:tcPr/>
          <w:p>
            <w:pPr>
              <w:pStyle w:val="Compact"/>
            </w:pPr>
            <w:r>
              <w:t xml:space="preserve">0.730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w:t>
            </w:r>
          </w:p>
        </w:tc>
        <w:tc>
          <w:tcPr/>
          <w:p>
            <w:pPr>
              <w:pStyle w:val="Compact"/>
            </w:pPr>
            <w:r>
              <w:t xml:space="preserve">0.283</w:t>
            </w:r>
          </w:p>
        </w:tc>
        <w:tc>
          <w:tcPr/>
          <w:p>
            <w:pPr>
              <w:pStyle w:val="Compact"/>
            </w:pPr>
            <w:r>
              <w:t xml:space="preserve">0.272</w:t>
            </w:r>
          </w:p>
        </w:tc>
        <w:tc>
          <w:tcPr/>
          <w:p>
            <w:pPr>
              <w:pStyle w:val="Compact"/>
            </w:pPr>
            <w:r>
              <w:t xml:space="preserve">-0.001</w:t>
            </w:r>
          </w:p>
        </w:tc>
        <w:tc>
          <w:tcPr/>
          <w:p>
            <w:pPr>
              <w:pStyle w:val="Compact"/>
            </w:pPr>
            <w:r>
              <w:t xml:space="preserve">0.201</w:t>
            </w:r>
          </w:p>
        </w:tc>
        <w:tc>
          <w:tcPr/>
          <w:p>
            <w:pPr>
              <w:pStyle w:val="Compact"/>
            </w:pPr>
            <w:r>
              <w:t xml:space="preserve">0.170</w:t>
            </w:r>
          </w:p>
        </w:tc>
      </w:tr>
      <w:tr>
        <w:tc>
          <w:tcPr/>
          <w:p>
            <w:pPr>
              <w:pStyle w:val="Compact"/>
            </w:pPr>
            <w:r>
              <w:t xml:space="preserve">Gini coefficient</w:t>
            </w:r>
          </w:p>
        </w:tc>
        <w:tc>
          <w:tcPr/>
          <w:p>
            <w:pPr>
              <w:pStyle w:val="Compact"/>
            </w:pPr>
            <w:r>
              <w:t xml:space="preserve">Urology</w:t>
            </w:r>
          </w:p>
        </w:tc>
        <w:tc>
          <w:tcPr/>
          <w:p>
            <w:pPr>
              <w:pStyle w:val="Compact"/>
            </w:pPr>
            <w:r>
              <w:t xml:space="preserve">0.235</w:t>
            </w:r>
          </w:p>
        </w:tc>
        <w:tc>
          <w:tcPr/>
          <w:p>
            <w:pPr>
              <w:pStyle w:val="Compact"/>
            </w:pPr>
            <w:r>
              <w:t xml:space="preserve">0.248</w:t>
            </w:r>
          </w:p>
        </w:tc>
        <w:tc>
          <w:tcPr/>
          <w:p>
            <w:pPr>
              <w:pStyle w:val="Compact"/>
            </w:pPr>
            <w:r>
              <w:t xml:space="preserve">0.001</w:t>
            </w:r>
          </w:p>
        </w:tc>
        <w:tc>
          <w:tcPr/>
          <w:p>
            <w:pPr>
              <w:pStyle w:val="Compact"/>
            </w:pPr>
            <w:r>
              <w:t xml:space="preserve">0.081</w:t>
            </w:r>
          </w:p>
        </w:tc>
        <w:tc>
          <w:tcPr/>
          <w:p>
            <w:pPr>
              <w:pStyle w:val="Compact"/>
            </w:pPr>
            <w:r>
              <w:t xml:space="preserve">0.400</w:t>
            </w:r>
          </w:p>
        </w:tc>
      </w:tr>
      <w:tr>
        <w:tc>
          <w:tcPr/>
          <w:p>
            <w:pPr>
              <w:pStyle w:val="Compact"/>
            </w:pPr>
            <w:r>
              <w:t xml:space="preserve">HHI (0–10,000)</w:t>
            </w:r>
          </w:p>
        </w:tc>
        <w:tc>
          <w:tcPr/>
          <w:p>
            <w:pPr>
              <w:pStyle w:val="Compact"/>
            </w:pPr>
            <w:r>
              <w:t xml:space="preserve">All</w:t>
            </w:r>
          </w:p>
        </w:tc>
        <w:tc>
          <w:tcPr/>
          <w:p>
            <w:pPr>
              <w:pStyle w:val="Compact"/>
            </w:pPr>
            <w:r>
              <w:t xml:space="preserve">16.564</w:t>
            </w:r>
          </w:p>
        </w:tc>
        <w:tc>
          <w:tcPr/>
          <w:p>
            <w:pPr>
              <w:pStyle w:val="Compact"/>
            </w:pPr>
            <w:r>
              <w:t xml:space="preserve">23.057</w:t>
            </w:r>
          </w:p>
        </w:tc>
        <w:tc>
          <w:tcPr/>
          <w:p>
            <w:pPr>
              <w:pStyle w:val="Compact"/>
            </w:pPr>
            <w:r>
              <w:t xml:space="preserve">0.876</w:t>
            </w:r>
          </w:p>
        </w:tc>
        <w:tc>
          <w:tcPr/>
          <w:p>
            <w:pPr>
              <w:pStyle w:val="Compact"/>
            </w:pPr>
            <w:r>
              <w:t xml:space="preserve">0.530</w:t>
            </w:r>
          </w:p>
        </w:tc>
        <w:tc>
          <w:tcPr/>
          <w:p>
            <w:pPr>
              <w:pStyle w:val="Compact"/>
            </w:pPr>
            <w:r>
              <w:t xml:space="preserve">0.010</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w:t>
            </w:r>
          </w:p>
        </w:tc>
        <w:tc>
          <w:tcPr/>
          <w:p>
            <w:pPr>
              <w:pStyle w:val="Compact"/>
            </w:pPr>
            <w:r>
              <w:t xml:space="preserve">34.768</w:t>
            </w:r>
          </w:p>
        </w:tc>
        <w:tc>
          <w:tcPr/>
          <w:p>
            <w:pPr>
              <w:pStyle w:val="Compact"/>
            </w:pPr>
            <w:r>
              <w:t xml:space="preserve">38.253</w:t>
            </w:r>
          </w:p>
        </w:tc>
        <w:tc>
          <w:tcPr/>
          <w:p>
            <w:pPr>
              <w:pStyle w:val="Compact"/>
            </w:pPr>
            <w:r>
              <w:t xml:space="preserve">0.722</w:t>
            </w:r>
          </w:p>
        </w:tc>
        <w:tc>
          <w:tcPr/>
          <w:p>
            <w:pPr>
              <w:pStyle w:val="Compact"/>
            </w:pPr>
            <w:r>
              <w:t xml:space="preserve">0.257</w:t>
            </w:r>
          </w:p>
        </w:tc>
        <w:tc>
          <w:tcPr/>
          <w:p>
            <w:pPr>
              <w:pStyle w:val="Compact"/>
            </w:pPr>
            <w:r>
              <w:t xml:space="preserve">0.110</w:t>
            </w:r>
          </w:p>
        </w:tc>
      </w:tr>
      <w:tr>
        <w:tc>
          <w:tcPr/>
          <w:p>
            <w:pPr>
              <w:pStyle w:val="Compact"/>
            </w:pPr>
            <w:r>
              <w:t xml:space="preserve">HHI (0–10,000)</w:t>
            </w:r>
          </w:p>
        </w:tc>
        <w:tc>
          <w:tcPr/>
          <w:p>
            <w:pPr>
              <w:pStyle w:val="Compact"/>
            </w:pPr>
            <w:r>
              <w:t xml:space="preserve">Urology</w:t>
            </w:r>
          </w:p>
        </w:tc>
        <w:tc>
          <w:tcPr/>
          <w:p>
            <w:pPr>
              <w:pStyle w:val="Compact"/>
            </w:pPr>
            <w:r>
              <w:t xml:space="preserve">46.113</w:t>
            </w:r>
          </w:p>
        </w:tc>
        <w:tc>
          <w:tcPr/>
          <w:p>
            <w:pPr>
              <w:pStyle w:val="Compact"/>
            </w:pPr>
            <w:r>
              <w:t xml:space="preserve">88.690</w:t>
            </w:r>
          </w:p>
        </w:tc>
        <w:tc>
          <w:tcPr/>
          <w:p>
            <w:pPr>
              <w:pStyle w:val="Compact"/>
            </w:pPr>
            <w:r>
              <w:t xml:space="preserve">4.821</w:t>
            </w:r>
          </w:p>
        </w:tc>
        <w:tc>
          <w:tcPr/>
          <w:p>
            <w:pPr>
              <w:pStyle w:val="Compact"/>
            </w:pPr>
            <w:r>
              <w:t xml:space="preserve">0.676</w:t>
            </w:r>
          </w:p>
        </w:tc>
        <w:tc>
          <w:tcPr/>
          <w:p>
            <w:pPr>
              <w:pStyle w:val="Compact"/>
            </w:pPr>
            <w:r>
              <w:t xml:space="preserve">0.002</w:t>
            </w:r>
          </w:p>
        </w:tc>
      </w:tr>
      <w:tr>
        <w:tc>
          <w:tcPr/>
          <w:p>
            <w:pPr>
              <w:pStyle w:val="Compact"/>
            </w:pPr>
            <w:r>
              <w:t xml:space="preserve">Share by top 10% (%)</w:t>
            </w:r>
          </w:p>
        </w:tc>
        <w:tc>
          <w:tcPr/>
          <w:p>
            <w:pPr>
              <w:pStyle w:val="Compact"/>
            </w:pPr>
            <w:r>
              <w:t xml:space="preserve">All</w:t>
            </w:r>
          </w:p>
        </w:tc>
        <w:tc>
          <w:tcPr/>
          <w:p>
            <w:pPr>
              <w:pStyle w:val="Compact"/>
            </w:pPr>
            <w:r>
              <w:t xml:space="preserve">24.538</w:t>
            </w:r>
          </w:p>
        </w:tc>
        <w:tc>
          <w:tcPr/>
          <w:p>
            <w:pPr>
              <w:pStyle w:val="Compact"/>
            </w:pPr>
            <w:r>
              <w:t xml:space="preserve">23.202</w:t>
            </w:r>
          </w:p>
        </w:tc>
        <w:tc>
          <w:tcPr/>
          <w:p>
            <w:pPr>
              <w:pStyle w:val="Compact"/>
            </w:pPr>
            <w:r>
              <w:t xml:space="preserve">-0.056</w:t>
            </w:r>
          </w:p>
        </w:tc>
        <w:tc>
          <w:tcPr/>
          <w:p>
            <w:pPr>
              <w:pStyle w:val="Compact"/>
            </w:pPr>
            <w:r>
              <w:t xml:space="preserve">0.123</w:t>
            </w:r>
          </w:p>
        </w:tc>
        <w:tc>
          <w:tcPr/>
          <w:p>
            <w:pPr>
              <w:pStyle w:val="Compact"/>
            </w:pPr>
            <w:r>
              <w:t xml:space="preserve">0.290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w:t>
            </w:r>
          </w:p>
        </w:tc>
        <w:tc>
          <w:tcPr/>
          <w:p>
            <w:pPr>
              <w:pStyle w:val="Compact"/>
            </w:pPr>
            <w:r>
              <w:t xml:space="preserve">24.117</w:t>
            </w:r>
          </w:p>
        </w:tc>
        <w:tc>
          <w:tcPr/>
          <w:p>
            <w:pPr>
              <w:pStyle w:val="Compact"/>
            </w:pPr>
            <w:r>
              <w:t xml:space="preserve">22.776</w:t>
            </w:r>
          </w:p>
        </w:tc>
        <w:tc>
          <w:tcPr/>
          <w:p>
            <w:pPr>
              <w:pStyle w:val="Compact"/>
            </w:pPr>
            <w:r>
              <w:t xml:space="preserve">-0.018</w:t>
            </w:r>
          </w:p>
        </w:tc>
        <w:tc>
          <w:tcPr/>
          <w:p>
            <w:pPr>
              <w:pStyle w:val="Compact"/>
            </w:pPr>
            <w:r>
              <w:t xml:space="preserve">0.011</w:t>
            </w:r>
          </w:p>
        </w:tc>
        <w:tc>
          <w:tcPr/>
          <w:p>
            <w:pPr>
              <w:pStyle w:val="Compact"/>
            </w:pPr>
            <w:r>
              <w:t xml:space="preserve">0.760</w:t>
            </w:r>
          </w:p>
        </w:tc>
      </w:tr>
      <w:tr>
        <w:tc>
          <w:tcPr/>
          <w:p>
            <w:pPr>
              <w:pStyle w:val="Compact"/>
            </w:pPr>
            <w:r>
              <w:t xml:space="preserve">Share by top 10% (%)</w:t>
            </w:r>
          </w:p>
        </w:tc>
        <w:tc>
          <w:tcPr/>
          <w:p>
            <w:pPr>
              <w:pStyle w:val="Compact"/>
            </w:pPr>
            <w:r>
              <w:t xml:space="preserve">Urology</w:t>
            </w:r>
          </w:p>
        </w:tc>
        <w:tc>
          <w:tcPr/>
          <w:p>
            <w:pPr>
              <w:pStyle w:val="Compact"/>
            </w:pPr>
            <w:r>
              <w:t xml:space="preserve">23.952</w:t>
            </w:r>
          </w:p>
        </w:tc>
        <w:tc>
          <w:tcPr/>
          <w:p>
            <w:pPr>
              <w:pStyle w:val="Compact"/>
            </w:pPr>
            <w:r>
              <w:t xml:space="preserve">22.679</w:t>
            </w:r>
          </w:p>
        </w:tc>
        <w:tc>
          <w:tcPr/>
          <w:p>
            <w:pPr>
              <w:pStyle w:val="Compact"/>
            </w:pPr>
            <w:r>
              <w:t xml:space="preserve">-0.114</w:t>
            </w:r>
          </w:p>
        </w:tc>
        <w:tc>
          <w:tcPr/>
          <w:p>
            <w:pPr>
              <w:pStyle w:val="Compact"/>
            </w:pPr>
            <w:r>
              <w:t xml:space="preserve">0.142</w:t>
            </w:r>
          </w:p>
        </w:tc>
        <w:tc>
          <w:tcPr/>
          <w:p>
            <w:pPr>
              <w:pStyle w:val="Compact"/>
            </w:pPr>
            <w:r>
              <w:t xml:space="preserve">0.250</w:t>
            </w:r>
          </w:p>
        </w:tc>
      </w:tr>
      <w:tr>
        <w:tc>
          <w:tcPr/>
          <w:p>
            <w:pPr>
              <w:pStyle w:val="Compact"/>
            </w:pPr>
            <w:r>
              <w:t xml:space="preserve">Share by top 20% (%)</w:t>
            </w:r>
          </w:p>
        </w:tc>
        <w:tc>
          <w:tcPr/>
          <w:p>
            <w:pPr>
              <w:pStyle w:val="Compact"/>
            </w:pPr>
            <w:r>
              <w:t xml:space="preserve">All</w:t>
            </w:r>
          </w:p>
        </w:tc>
        <w:tc>
          <w:tcPr/>
          <w:p>
            <w:pPr>
              <w:pStyle w:val="Compact"/>
            </w:pPr>
            <w:r>
              <w:t xml:space="preserve">39.210</w:t>
            </w:r>
          </w:p>
        </w:tc>
        <w:tc>
          <w:tcPr/>
          <w:p>
            <w:pPr>
              <w:pStyle w:val="Compact"/>
            </w:pPr>
            <w:r>
              <w:t xml:space="preserve">37.945</w:t>
            </w:r>
          </w:p>
        </w:tc>
        <w:tc>
          <w:tcPr/>
          <w:p>
            <w:pPr>
              <w:pStyle w:val="Compact"/>
            </w:pPr>
            <w:r>
              <w:t xml:space="preserve">-0.055</w:t>
            </w:r>
          </w:p>
        </w:tc>
        <w:tc>
          <w:tcPr/>
          <w:p>
            <w:pPr>
              <w:pStyle w:val="Compact"/>
            </w:pPr>
            <w:r>
              <w:t xml:space="preserve">0.092</w:t>
            </w:r>
          </w:p>
        </w:tc>
        <w:tc>
          <w:tcPr/>
          <w:p>
            <w:pPr>
              <w:pStyle w:val="Compact"/>
            </w:pPr>
            <w:r>
              <w:t xml:space="preserve">0.370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w:t>
            </w:r>
          </w:p>
        </w:tc>
        <w:tc>
          <w:tcPr/>
          <w:p>
            <w:pPr>
              <w:pStyle w:val="Compact"/>
            </w:pPr>
            <w:r>
              <w:t xml:space="preserve">39.102</w:t>
            </w:r>
          </w:p>
        </w:tc>
        <w:tc>
          <w:tcPr/>
          <w:p>
            <w:pPr>
              <w:pStyle w:val="Compact"/>
            </w:pPr>
            <w:r>
              <w:t xml:space="preserve">38.170</w:t>
            </w:r>
          </w:p>
        </w:tc>
        <w:tc>
          <w:tcPr/>
          <w:p>
            <w:pPr>
              <w:pStyle w:val="Compact"/>
            </w:pPr>
            <w:r>
              <w:t xml:space="preserve">-0.020</w:t>
            </w:r>
          </w:p>
        </w:tc>
        <w:tc>
          <w:tcPr/>
          <w:p>
            <w:pPr>
              <w:pStyle w:val="Compact"/>
            </w:pPr>
            <w:r>
              <w:t xml:space="preserve">0.014</w:t>
            </w:r>
          </w:p>
        </w:tc>
        <w:tc>
          <w:tcPr/>
          <w:p>
            <w:pPr>
              <w:pStyle w:val="Compact"/>
            </w:pPr>
            <w:r>
              <w:t xml:space="preserve">0.730</w:t>
            </w:r>
          </w:p>
        </w:tc>
      </w:tr>
      <w:tr>
        <w:tc>
          <w:tcPr/>
          <w:p>
            <w:pPr>
              <w:pStyle w:val="Compact"/>
            </w:pPr>
            <w:r>
              <w:t xml:space="preserve">Share by top 20% (%)</w:t>
            </w:r>
          </w:p>
        </w:tc>
        <w:tc>
          <w:tcPr/>
          <w:p>
            <w:pPr>
              <w:pStyle w:val="Compact"/>
            </w:pPr>
            <w:r>
              <w:t xml:space="preserve">Urology</w:t>
            </w:r>
          </w:p>
        </w:tc>
        <w:tc>
          <w:tcPr/>
          <w:p>
            <w:pPr>
              <w:pStyle w:val="Compact"/>
            </w:pPr>
            <w:r>
              <w:t xml:space="preserve">36.822</w:t>
            </w:r>
          </w:p>
        </w:tc>
        <w:tc>
          <w:tcPr/>
          <w:p>
            <w:pPr>
              <w:pStyle w:val="Compact"/>
            </w:pPr>
            <w:r>
              <w:t xml:space="preserve">36.180</w:t>
            </w:r>
          </w:p>
        </w:tc>
        <w:tc>
          <w:tcPr/>
          <w:p>
            <w:pPr>
              <w:pStyle w:val="Compact"/>
            </w:pPr>
            <w:r>
              <w:t xml:space="preserve">-0.032</w:t>
            </w:r>
          </w:p>
        </w:tc>
        <w:tc>
          <w:tcPr/>
          <w:p>
            <w:pPr>
              <w:pStyle w:val="Compact"/>
            </w:pPr>
            <w:r>
              <w:t xml:space="preserve">0.010</w:t>
            </w:r>
          </w:p>
        </w:tc>
        <w:tc>
          <w:tcPr/>
          <w:p>
            <w:pPr>
              <w:pStyle w:val="Compact"/>
            </w:pPr>
            <w:r>
              <w:t xml:space="preserve">0.770</w:t>
            </w:r>
          </w:p>
        </w:tc>
      </w:tr>
      <w:tr>
        <w:tc>
          <w:tcPr/>
          <w:p>
            <w:pPr>
              <w:pStyle w:val="Compact"/>
            </w:pPr>
            <w:r>
              <w:t xml:space="preserve">Share by bottom 50% (%)</w:t>
            </w:r>
          </w:p>
        </w:tc>
        <w:tc>
          <w:tcPr/>
          <w:p>
            <w:pPr>
              <w:pStyle w:val="Compact"/>
            </w:pPr>
            <w:r>
              <w:t xml:space="preserve">All</w:t>
            </w:r>
          </w:p>
        </w:tc>
        <w:tc>
          <w:tcPr/>
          <w:p>
            <w:pPr>
              <w:pStyle w:val="Compact"/>
            </w:pPr>
            <w:r>
              <w:t xml:space="preserve">31.734</w:t>
            </w:r>
          </w:p>
        </w:tc>
        <w:tc>
          <w:tcPr/>
          <w:p>
            <w:pPr>
              <w:pStyle w:val="Compact"/>
            </w:pPr>
            <w:r>
              <w:t xml:space="preserve">31.604</w:t>
            </w:r>
          </w:p>
        </w:tc>
        <w:tc>
          <w:tcPr/>
          <w:p>
            <w:pPr>
              <w:pStyle w:val="Compact"/>
            </w:pPr>
            <w:r>
              <w:t xml:space="preserve">0.007</w:t>
            </w:r>
          </w:p>
        </w:tc>
        <w:tc>
          <w:tcPr/>
          <w:p>
            <w:pPr>
              <w:pStyle w:val="Compact"/>
            </w:pPr>
            <w:r>
              <w:t xml:space="preserve">0.003</w:t>
            </w:r>
          </w:p>
        </w:tc>
        <w:tc>
          <w:tcPr/>
          <w:p>
            <w:pPr>
              <w:pStyle w:val="Compact"/>
            </w:pPr>
            <w:r>
              <w:t xml:space="preserve">0.870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w:t>
            </w:r>
          </w:p>
        </w:tc>
        <w:tc>
          <w:tcPr/>
          <w:p>
            <w:pPr>
              <w:pStyle w:val="Compact"/>
            </w:pPr>
            <w:r>
              <w:t xml:space="preserve">30.552</w:t>
            </w:r>
          </w:p>
        </w:tc>
        <w:tc>
          <w:tcPr/>
          <w:p>
            <w:pPr>
              <w:pStyle w:val="Compact"/>
            </w:pPr>
            <w:r>
              <w:t xml:space="preserve">31.364</w:t>
            </w:r>
          </w:p>
        </w:tc>
        <w:tc>
          <w:tcPr/>
          <w:p>
            <w:pPr>
              <w:pStyle w:val="Compact"/>
            </w:pPr>
            <w:r>
              <w:t xml:space="preserve">0.085</w:t>
            </w:r>
          </w:p>
        </w:tc>
        <w:tc>
          <w:tcPr/>
          <w:p>
            <w:pPr>
              <w:pStyle w:val="Compact"/>
            </w:pPr>
            <w:r>
              <w:t xml:space="preserve">0.308</w:t>
            </w:r>
          </w:p>
        </w:tc>
        <w:tc>
          <w:tcPr/>
          <w:p>
            <w:pPr>
              <w:pStyle w:val="Compact"/>
            </w:pPr>
            <w:r>
              <w:t xml:space="preserve">0.080</w:t>
            </w:r>
          </w:p>
        </w:tc>
      </w:tr>
      <w:tr>
        <w:tc>
          <w:tcPr/>
          <w:p>
            <w:pPr>
              <w:pStyle w:val="Compact"/>
            </w:pPr>
            <w:r>
              <w:t xml:space="preserve">Share by bottom 50% (%)</w:t>
            </w:r>
          </w:p>
        </w:tc>
        <w:tc>
          <w:tcPr/>
          <w:p>
            <w:pPr>
              <w:pStyle w:val="Compact"/>
            </w:pPr>
            <w:r>
              <w:t xml:space="preserve">Urology</w:t>
            </w:r>
          </w:p>
        </w:tc>
        <w:tc>
          <w:tcPr/>
          <w:p>
            <w:pPr>
              <w:pStyle w:val="Compact"/>
            </w:pPr>
            <w:r>
              <w:t xml:space="preserve">34.598</w:t>
            </w:r>
          </w:p>
        </w:tc>
        <w:tc>
          <w:tcPr/>
          <w:p>
            <w:pPr>
              <w:pStyle w:val="Compact"/>
            </w:pPr>
            <w:r>
              <w:t xml:space="preserve">32.884</w:t>
            </w:r>
          </w:p>
        </w:tc>
        <w:tc>
          <w:tcPr/>
          <w:p>
            <w:pPr>
              <w:pStyle w:val="Compact"/>
            </w:pPr>
            <w:r>
              <w:t xml:space="preserve">-0.161</w:t>
            </w:r>
          </w:p>
        </w:tc>
        <w:tc>
          <w:tcPr/>
          <w:p>
            <w:pPr>
              <w:pStyle w:val="Compact"/>
            </w:pPr>
            <w:r>
              <w:t xml:space="preserve">0.324</w:t>
            </w:r>
          </w:p>
        </w:tc>
        <w:tc>
          <w:tcPr/>
          <w:p>
            <w:pPr>
              <w:pStyle w:val="Compact"/>
            </w:pPr>
            <w:r>
              <w:t xml:space="preserve">0.070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760"/>
        <w:gridCol w:w="1760"/>
        <w:gridCol w:w="1760"/>
        <w:gridCol w:w="1650"/>
        <w:gridCol w:w="990"/>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15.7</w:t>
            </w:r>
          </w:p>
        </w:tc>
        <w:tc>
          <w:tcPr/>
          <w:p>
            <w:pPr>
              <w:pStyle w:val="Compact"/>
            </w:pPr>
            <w:r>
              <w:t xml:space="preserve">12.3</w:t>
            </w:r>
          </w:p>
        </w:tc>
        <w:tc>
          <w:tcPr/>
          <w:p>
            <w:pPr>
              <w:pStyle w:val="Compact"/>
            </w:pPr>
            <w:r>
              <w:t xml:space="preserve">-0.421</w:t>
            </w:r>
          </w:p>
        </w:tc>
        <w:tc>
          <w:tcPr/>
          <w:p>
            <w:pPr>
              <w:pStyle w:val="Compact"/>
            </w:pPr>
            <w:r>
              <w:t xml:space="preserve">0.006</w:t>
            </w:r>
          </w:p>
        </w:tc>
      </w:tr>
      <w:tr>
        <w:tc>
          <w:tcPr/>
          <w:p>
            <w:pPr>
              <w:pStyle w:val="Compact"/>
            </w:pPr>
            <w:r>
              <w:t xml:space="preserve">MIGS</w:t>
            </w:r>
          </w:p>
        </w:tc>
        <w:tc>
          <w:tcPr/>
          <w:p>
            <w:pPr>
              <w:pStyle w:val="Compact"/>
            </w:pPr>
            <w:r>
              <w:t xml:space="preserve">0.2</w:t>
            </w:r>
          </w:p>
        </w:tc>
        <w:tc>
          <w:tcPr/>
          <w:p>
            <w:pPr>
              <w:pStyle w:val="Compact"/>
            </w:pPr>
            <w:r>
              <w:t xml:space="preserve">0.8</w:t>
            </w:r>
          </w:p>
        </w:tc>
        <w:tc>
          <w:tcPr/>
          <w:p>
            <w:pPr>
              <w:pStyle w:val="Compact"/>
            </w:pPr>
            <w:r>
              <w:t xml:space="preserve">0.071</w:t>
            </w:r>
          </w:p>
        </w:tc>
        <w:tc>
          <w:tcPr/>
          <w:p>
            <w:pPr>
              <w:pStyle w:val="Compact"/>
            </w:pPr>
            <w:r>
              <w:t xml:space="preserve">0.008</w:t>
            </w:r>
          </w:p>
        </w:tc>
      </w:tr>
      <w:tr>
        <w:tc>
          <w:tcPr/>
          <w:p>
            <w:pPr>
              <w:pStyle w:val="Compact"/>
            </w:pPr>
            <w:r>
              <w:t xml:space="preserve">URPS</w:t>
            </w:r>
          </w:p>
        </w:tc>
        <w:tc>
          <w:tcPr/>
          <w:p>
            <w:pPr>
              <w:pStyle w:val="Compact"/>
            </w:pPr>
            <w:r>
              <w:t xml:space="preserve">53.4</w:t>
            </w:r>
          </w:p>
        </w:tc>
        <w:tc>
          <w:tcPr/>
          <w:p>
            <w:pPr>
              <w:pStyle w:val="Compact"/>
            </w:pPr>
            <w:r>
              <w:t xml:space="preserve">63.8</w:t>
            </w:r>
          </w:p>
        </w:tc>
        <w:tc>
          <w:tcPr/>
          <w:p>
            <w:pPr>
              <w:pStyle w:val="Compact"/>
            </w:pPr>
            <w:r>
              <w:t xml:space="preserve">0.901</w:t>
            </w:r>
          </w:p>
        </w:tc>
        <w:tc>
          <w:tcPr/>
          <w:p>
            <w:pPr>
              <w:pStyle w:val="Compact"/>
            </w:pPr>
            <w:r>
              <w:t xml:space="preserve">&lt;0.001</w:t>
            </w:r>
          </w:p>
        </w:tc>
      </w:tr>
      <w:tr>
        <w:tc>
          <w:tcPr/>
          <w:p>
            <w:pPr>
              <w:pStyle w:val="Compact"/>
            </w:pPr>
            <w:r>
              <w:t xml:space="preserve">Urology</w:t>
            </w:r>
          </w:p>
        </w:tc>
        <w:tc>
          <w:tcPr/>
          <w:p>
            <w:pPr>
              <w:pStyle w:val="Compact"/>
            </w:pPr>
            <w:r>
              <w:t xml:space="preserve">30.7</w:t>
            </w:r>
          </w:p>
        </w:tc>
        <w:tc>
          <w:tcPr/>
          <w:p>
            <w:pPr>
              <w:pStyle w:val="Compact"/>
            </w:pPr>
            <w:r>
              <w:t xml:space="preserve">23.1</w:t>
            </w:r>
          </w:p>
        </w:tc>
        <w:tc>
          <w:tcPr/>
          <w:p>
            <w:pPr>
              <w:pStyle w:val="Compact"/>
            </w:pPr>
            <w:r>
              <w:t xml:space="preserve">-0.550</w:t>
            </w:r>
          </w:p>
        </w:tc>
        <w:tc>
          <w:tcPr/>
          <w:p>
            <w:pPr>
              <w:pStyle w:val="Compact"/>
            </w:pPr>
            <w:r>
              <w:t xml:space="preserve">0.004</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21.23 (19.63-22.97)</w:t>
            </w:r>
          </w:p>
        </w:tc>
        <w:tc>
          <w:tcPr/>
          <w:p>
            <w:pPr>
              <w:pStyle w:val="Compact"/>
            </w:pPr>
            <w:r>
              <w:t xml:space="preserve">n/a</w:t>
            </w:r>
          </w:p>
        </w:tc>
      </w:tr>
      <w:tr>
        <w:tc>
          <w:tcPr/>
          <w:p>
            <w:pPr>
              <w:pStyle w:val="Compact"/>
            </w:pPr>
            <w:r>
              <w:t xml:space="preserve">Specialty: General OB/GYN</w:t>
            </w:r>
          </w:p>
        </w:tc>
        <w:tc>
          <w:tcPr/>
          <w:p>
            <w:pPr>
              <w:pStyle w:val="Compact"/>
            </w:pPr>
            <w:r>
              <w:t xml:space="preserve">0.69 (0.53-0.89)</w:t>
            </w:r>
          </w:p>
        </w:tc>
        <w:tc>
          <w:tcPr/>
          <w:p>
            <w:pPr>
              <w:pStyle w:val="Compact"/>
            </w:pPr>
            <w:r>
              <w:t xml:space="preserve">0.004</w:t>
            </w:r>
          </w:p>
        </w:tc>
      </w:tr>
      <w:tr>
        <w:tc>
          <w:tcPr/>
          <w:p>
            <w:pPr>
              <w:pStyle w:val="Compact"/>
            </w:pPr>
            <w:r>
              <w:t xml:space="preserve">Specialty: MIGS</w:t>
            </w:r>
          </w:p>
        </w:tc>
        <w:tc>
          <w:tcPr/>
          <w:p>
            <w:pPr>
              <w:pStyle w:val="Compact"/>
            </w:pPr>
            <w:r>
              <w:t xml:space="preserve">0.60 (0.44-0.83)</w:t>
            </w:r>
          </w:p>
        </w:tc>
        <w:tc>
          <w:tcPr/>
          <w:p>
            <w:pPr>
              <w:pStyle w:val="Compact"/>
            </w:pPr>
            <w:r>
              <w:t xml:space="preserve">0.002</w:t>
            </w:r>
          </w:p>
        </w:tc>
      </w:tr>
      <w:tr>
        <w:tc>
          <w:tcPr/>
          <w:p>
            <w:pPr>
              <w:pStyle w:val="Compact"/>
            </w:pPr>
            <w:r>
              <w:t xml:space="preserve">Specialty: Urology</w:t>
            </w:r>
          </w:p>
        </w:tc>
        <w:tc>
          <w:tcPr/>
          <w:p>
            <w:pPr>
              <w:pStyle w:val="Compact"/>
            </w:pPr>
            <w:r>
              <w:t xml:space="preserve">0.81 (0.69-0.94)</w:t>
            </w:r>
          </w:p>
        </w:tc>
        <w:tc>
          <w:tcPr/>
          <w:p>
            <w:pPr>
              <w:pStyle w:val="Compact"/>
            </w:pPr>
            <w:r>
              <w:t xml:space="preserve">0.007</w:t>
            </w:r>
          </w:p>
        </w:tc>
      </w:tr>
      <w:tr>
        <w:tc>
          <w:tcPr/>
          <w:p>
            <w:pPr>
              <w:pStyle w:val="Compact"/>
            </w:pPr>
            <w:r>
              <w:t xml:space="preserve">year_c</w:t>
            </w:r>
          </w:p>
        </w:tc>
        <w:tc>
          <w:tcPr/>
          <w:p>
            <w:pPr>
              <w:pStyle w:val="Compact"/>
            </w:pPr>
            <w:r>
              <w:t xml:space="preserve">1.00 (0.99-1.01)</w:t>
            </w:r>
          </w:p>
        </w:tc>
        <w:tc>
          <w:tcPr/>
          <w:p>
            <w:pPr>
              <w:pStyle w:val="Compact"/>
            </w:pPr>
            <w:r>
              <w:t xml:space="preserve">0.620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0.840</w:t>
            </w:r>
          </w:p>
        </w:tc>
      </w:tr>
      <w:tr>
        <w:tc>
          <w:tcPr/>
          <w:p>
            <w:pPr>
              <w:pStyle w:val="Compact"/>
            </w:pPr>
            <w:r>
              <w:t xml:space="preserve">Specialty: MIGS:year_c</w:t>
            </w:r>
          </w:p>
        </w:tc>
        <w:tc>
          <w:tcPr/>
          <w:p>
            <w:pPr>
              <w:pStyle w:val="Compact"/>
            </w:pPr>
            <w:r>
              <w:t xml:space="preserve">1.08 (1.02-1.15)</w:t>
            </w:r>
          </w:p>
        </w:tc>
        <w:tc>
          <w:tcPr/>
          <w:p>
            <w:pPr>
              <w:pStyle w:val="Compact"/>
            </w:pPr>
            <w:r>
              <w:t xml:space="preserve">0.010</w:t>
            </w:r>
          </w:p>
        </w:tc>
      </w:tr>
      <w:tr>
        <w:tc>
          <w:tcPr/>
          <w:p>
            <w:pPr>
              <w:pStyle w:val="Compact"/>
            </w:pPr>
            <w:r>
              <w:t xml:space="preserve">Specialty: Urology:year_c</w:t>
            </w:r>
          </w:p>
        </w:tc>
        <w:tc>
          <w:tcPr/>
          <w:p>
            <w:pPr>
              <w:pStyle w:val="Compact"/>
            </w:pPr>
            <w:r>
              <w:t xml:space="preserve">0.99 (0.97-1.01)</w:t>
            </w:r>
          </w:p>
        </w:tc>
        <w:tc>
          <w:tcPr/>
          <w:p>
            <w:pPr>
              <w:pStyle w:val="Compact"/>
            </w:pPr>
            <w:r>
              <w:t xml:space="preserve">0.220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784"/>
        <w:gridCol w:w="978"/>
        <w:gridCol w:w="355"/>
        <w:gridCol w:w="800"/>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66.10</w:t>
            </w:r>
          </w:p>
        </w:tc>
        <w:tc>
          <w:tcPr/>
          <w:p>
            <w:pPr>
              <w:pStyle w:val="Compact"/>
            </w:pPr>
            <w:r>
              <w:t xml:space="preserve">3</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0.82</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Urology</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55"/>
        <w:gridCol w:w="1306"/>
        <w:gridCol w:w="1061"/>
        <w:gridCol w:w="979"/>
        <w:gridCol w:w="816"/>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Time-varying (per physician-year)</w:t>
            </w:r>
          </w:p>
        </w:tc>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r>
      <w:tr>
        <w:tc>
          <w:tcPr/>
          <w:p>
            <w:pPr>
              <w:pStyle w:val="Compact"/>
            </w:pPr>
            <w:r>
              <w:t xml:space="preserve">Time-varying (per physician-year)</w:t>
            </w:r>
          </w:p>
        </w:tc>
        <w:tc>
          <w:tcPr/>
          <w:p>
            <w:pPr>
              <w:pStyle w:val="Compact"/>
            </w:pPr>
            <w:r>
              <w:t xml:space="preserve">Urology</w:t>
            </w:r>
          </w:p>
        </w:tc>
        <w:tc>
          <w:tcPr/>
          <w:p>
            <w:pPr>
              <w:pStyle w:val="Compact"/>
            </w:pPr>
            <w:r>
              <w:t xml:space="preserve">665</w:t>
            </w:r>
          </w:p>
        </w:tc>
        <w:tc>
          <w:tcPr/>
          <w:p>
            <w:pPr>
              <w:pStyle w:val="Compact"/>
            </w:pPr>
            <w:r>
              <w:t xml:space="preserve">34351</w:t>
            </w:r>
          </w:p>
        </w:tc>
        <w:tc>
          <w:tcPr/>
          <w:p>
            <w:pPr>
              <w:pStyle w:val="Compact"/>
            </w:pPr>
            <w:r>
              <w:t xml:space="preserve">26.1%</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752</w:t>
            </w:r>
          </w:p>
        </w:tc>
        <w:tc>
          <w:tcPr/>
          <w:p>
            <w:pPr>
              <w:pStyle w:val="Compact"/>
            </w:pPr>
            <w:r>
              <w:t xml:space="preserve">80312</w:t>
            </w:r>
          </w:p>
        </w:tc>
        <w:tc>
          <w:tcPr/>
          <w:p>
            <w:pPr>
              <w:pStyle w:val="Compact"/>
            </w:pPr>
            <w:r>
              <w:t xml:space="preserve">61.0%</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657</w:t>
            </w:r>
          </w:p>
        </w:tc>
        <w:tc>
          <w:tcPr/>
          <w:p>
            <w:pPr>
              <w:pStyle w:val="Compact"/>
            </w:pPr>
            <w:r>
              <w:t xml:space="preserve">34101</w:t>
            </w:r>
          </w:p>
        </w:tc>
        <w:tc>
          <w:tcPr/>
          <w:p>
            <w:pPr>
              <w:pStyle w:val="Compact"/>
            </w:pPr>
            <w:r>
              <w:t xml:space="preserve">25.9%</w:t>
            </w:r>
          </w:p>
        </w:tc>
      </w:tr>
      <w:tr>
        <w:tc>
          <w:tcPr/>
          <w:p>
            <w:pPr>
              <w:pStyle w:val="Compact"/>
            </w:pPr>
            <w:r>
              <w:t xml:space="preserve">Ever URPS/MIGS</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Ever URPS/MIGS</w:t>
            </w:r>
          </w:p>
        </w:tc>
        <w:tc>
          <w:tcPr/>
          <w:p>
            <w:pPr>
              <w:pStyle w:val="Compact"/>
            </w:pPr>
            <w:r>
              <w:t xml:space="preserve">URPS</w:t>
            </w:r>
          </w:p>
        </w:tc>
        <w:tc>
          <w:tcPr/>
          <w:p>
            <w:pPr>
              <w:pStyle w:val="Compact"/>
            </w:pPr>
            <w:r>
              <w:t xml:space="preserve">753</w:t>
            </w:r>
          </w:p>
        </w:tc>
        <w:tc>
          <w:tcPr/>
          <w:p>
            <w:pPr>
              <w:pStyle w:val="Compact"/>
            </w:pPr>
            <w:r>
              <w:t xml:space="preserve">80803</w:t>
            </w:r>
          </w:p>
        </w:tc>
        <w:tc>
          <w:tcPr/>
          <w:p>
            <w:pPr>
              <w:pStyle w:val="Compact"/>
            </w:pPr>
            <w:r>
              <w:t xml:space="preserve">61.4%</w:t>
            </w:r>
          </w:p>
        </w:tc>
      </w:tr>
      <w:tr>
        <w:tc>
          <w:tcPr/>
          <w:p>
            <w:pPr>
              <w:pStyle w:val="Compact"/>
            </w:pPr>
            <w:r>
              <w:t xml:space="preserve">Ever URPS/MIGS</w:t>
            </w:r>
          </w:p>
        </w:tc>
        <w:tc>
          <w:tcPr/>
          <w:p>
            <w:pPr>
              <w:pStyle w:val="Compact"/>
            </w:pPr>
            <w:r>
              <w:t xml:space="preserve">Urology</w:t>
            </w:r>
          </w:p>
        </w:tc>
        <w:tc>
          <w:tcPr/>
          <w:p>
            <w:pPr>
              <w:pStyle w:val="Compact"/>
            </w:pPr>
            <w:r>
              <w:t xml:space="preserve">656</w:t>
            </w:r>
          </w:p>
        </w:tc>
        <w:tc>
          <w:tcPr/>
          <w:p>
            <w:pPr>
              <w:pStyle w:val="Compact"/>
            </w:pPr>
            <w:r>
              <w:t xml:space="preserve">33610</w:t>
            </w:r>
          </w:p>
        </w:tc>
        <w:tc>
          <w:tcPr/>
          <w:p>
            <w:pPr>
              <w:pStyle w:val="Compact"/>
            </w:pPr>
            <w:r>
              <w:t xml:space="preserve">25.5%</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520</w:t>
            </w:r>
          </w:p>
        </w:tc>
        <w:tc>
          <w:tcPr/>
          <w:p>
            <w:pPr>
              <w:pStyle w:val="Compact"/>
            </w:pPr>
            <w:r>
              <w:t xml:space="preserve">24505</w:t>
            </w:r>
          </w:p>
        </w:tc>
        <w:tc>
          <w:tcPr/>
          <w:p>
            <w:pPr>
              <w:pStyle w:val="Compact"/>
            </w:pPr>
            <w:r>
              <w:t xml:space="preserve">18.6%</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0.2%</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706</w:t>
            </w:r>
          </w:p>
        </w:tc>
        <w:tc>
          <w:tcPr/>
          <w:p>
            <w:pPr>
              <w:pStyle w:val="Compact"/>
            </w:pPr>
            <w:r>
              <w:t xml:space="preserve">74238</w:t>
            </w:r>
          </w:p>
        </w:tc>
        <w:tc>
          <w:tcPr/>
          <w:p>
            <w:pPr>
              <w:pStyle w:val="Compact"/>
            </w:pPr>
            <w:r>
              <w:t xml:space="preserve">56.4%</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651</w:t>
            </w:r>
          </w:p>
        </w:tc>
        <w:tc>
          <w:tcPr/>
          <w:p>
            <w:pPr>
              <w:pStyle w:val="Compact"/>
            </w:pPr>
            <w:r>
              <w:t xml:space="preserve">32693</w:t>
            </w:r>
          </w:p>
        </w:tc>
        <w:tc>
          <w:tcPr/>
          <w:p>
            <w:pPr>
              <w:pStyle w:val="Compact"/>
            </w:pPr>
            <w:r>
              <w:t xml:space="preserve">24.8%</w:t>
            </w:r>
          </w:p>
        </w:tc>
      </w:tr>
    </w:tbl>
    <w:p>
      <w:pPr>
        <w:pStyle w:val="BodyText"/>
      </w:pPr>
      <w:r>
        <w:rPr>
          <w:b/>
          <w:bCs/>
        </w:rPr>
        <w:t xml:space="preserve">Supplementary Table S6b.</w:t>
      </w:r>
      <w:r>
        <w:t xml:space="preserve"> </w:t>
      </w:r>
      <w:r>
        <w:t xml:space="preserve">URPS and gynecologic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43"/>
        <w:gridCol w:w="1584"/>
        <w:gridCol w:w="633"/>
        <w:gridCol w:w="1504"/>
        <w:gridCol w:w="554"/>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0.901</w:t>
            </w:r>
          </w:p>
        </w:tc>
        <w:tc>
          <w:tcPr/>
          <w:p>
            <w:pPr>
              <w:pStyle w:val="Compact"/>
            </w:pPr>
            <w:r>
              <w:t xml:space="preserve">&lt;0.001</w:t>
            </w:r>
          </w:p>
        </w:tc>
        <w:tc>
          <w:tcPr/>
          <w:p>
            <w:pPr>
              <w:pStyle w:val="Compact"/>
            </w:pPr>
            <w:r>
              <w:t xml:space="preserve">0.550</w:t>
            </w:r>
          </w:p>
        </w:tc>
        <w:tc>
          <w:tcPr/>
          <w:p>
            <w:pPr>
              <w:pStyle w:val="Compact"/>
            </w:pPr>
            <w:r>
              <w:t xml:space="preserve">0.004</w:t>
            </w:r>
          </w:p>
        </w:tc>
      </w:tr>
      <w:tr>
        <w:tc>
          <w:tcPr/>
          <w:p>
            <w:pPr>
              <w:pStyle w:val="Compact"/>
            </w:pPr>
            <w:r>
              <w:t xml:space="preserve">Modal (single most-frequent specialty)</w:t>
            </w:r>
          </w:p>
        </w:tc>
        <w:tc>
          <w:tcPr/>
          <w:p>
            <w:pPr>
              <w:pStyle w:val="Compact"/>
            </w:pPr>
            <w:r>
              <w:t xml:space="preserve">0.982</w:t>
            </w:r>
          </w:p>
        </w:tc>
        <w:tc>
          <w:tcPr/>
          <w:p>
            <w:pPr>
              <w:pStyle w:val="Compact"/>
            </w:pPr>
            <w:r>
              <w:t xml:space="preserve">&lt;0.001</w:t>
            </w:r>
          </w:p>
        </w:tc>
        <w:tc>
          <w:tcPr/>
          <w:p>
            <w:pPr>
              <w:pStyle w:val="Compact"/>
            </w:pPr>
            <w:r>
              <w:t xml:space="preserve">0.657</w:t>
            </w:r>
          </w:p>
        </w:tc>
        <w:tc>
          <w:tcPr/>
          <w:p>
            <w:pPr>
              <w:pStyle w:val="Compact"/>
            </w:pPr>
            <w:r>
              <w:t xml:space="preserve">0.002</w:t>
            </w:r>
          </w:p>
        </w:tc>
      </w:tr>
      <w:tr>
        <w:tc>
          <w:tcPr/>
          <w:p>
            <w:pPr>
              <w:pStyle w:val="Compact"/>
            </w:pPr>
            <w:r>
              <w:t xml:space="preserve">Ever URPS/MIGS</w:t>
            </w:r>
          </w:p>
        </w:tc>
        <w:tc>
          <w:tcPr/>
          <w:p>
            <w:pPr>
              <w:pStyle w:val="Compact"/>
            </w:pPr>
            <w:r>
              <w:t xml:space="preserve">0.958</w:t>
            </w:r>
          </w:p>
        </w:tc>
        <w:tc>
          <w:tcPr/>
          <w:p>
            <w:pPr>
              <w:pStyle w:val="Compact"/>
            </w:pPr>
            <w:r>
              <w:t xml:space="preserve">0.001</w:t>
            </w:r>
          </w:p>
        </w:tc>
        <w:tc>
          <w:tcPr/>
          <w:p>
            <w:pPr>
              <w:pStyle w:val="Compact"/>
            </w:pPr>
            <w:r>
              <w:t xml:space="preserve">0.633</w:t>
            </w:r>
          </w:p>
        </w:tc>
        <w:tc>
          <w:tcPr/>
          <w:p>
            <w:pPr>
              <w:pStyle w:val="Compact"/>
            </w:pPr>
            <w:r>
              <w:t xml:space="preserve">0.002</w:t>
            </w:r>
          </w:p>
        </w:tc>
      </w:tr>
      <w:tr>
        <w:tc>
          <w:tcPr/>
          <w:p>
            <w:pPr>
              <w:pStyle w:val="Compact"/>
            </w:pPr>
            <w:r>
              <w:t xml:space="preserve">Time-varying cert-gated (ABOG sub1startdate)</w:t>
            </w:r>
          </w:p>
        </w:tc>
        <w:tc>
          <w:tcPr/>
          <w:p>
            <w:pPr>
              <w:pStyle w:val="Compact"/>
            </w:pPr>
            <w:r>
              <w:t xml:space="preserve">1.539</w:t>
            </w:r>
          </w:p>
        </w:tc>
        <w:tc>
          <w:tcPr/>
          <w:p>
            <w:pPr>
              <w:pStyle w:val="Compact"/>
            </w:pPr>
            <w:r>
              <w:t xml:space="preserve">&lt;0.001</w:t>
            </w:r>
          </w:p>
        </w:tc>
        <w:tc>
          <w:tcPr/>
          <w:p>
            <w:pPr>
              <w:pStyle w:val="Compact"/>
            </w:pPr>
            <w:r>
              <w:t xml:space="preserve">0.550</w:t>
            </w:r>
          </w:p>
        </w:tc>
        <w:tc>
          <w:tcPr/>
          <w:p>
            <w:pPr>
              <w:pStyle w:val="Compact"/>
            </w:pPr>
            <w:r>
              <w:t xml:space="preserve">0.009</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150</w:t>
            </w:r>
          </w:p>
        </w:tc>
        <w:tc>
          <w:tcPr/>
          <w:p>
            <w:pPr>
              <w:pStyle w:val="Compact"/>
            </w:pPr>
            <w:r>
              <w:t xml:space="preserve">50</w:t>
            </w:r>
          </w:p>
        </w:tc>
        <w:tc>
          <w:tcPr/>
          <w:p>
            <w:pPr>
              <w:pStyle w:val="Compact"/>
            </w:pPr>
            <w:r>
              <w:t xml:space="preserve">33.3%</w:t>
            </w:r>
          </w:p>
        </w:tc>
        <w:tc>
          <w:tcPr/>
          <w:p>
            <w:pPr>
              <w:pStyle w:val="Compact"/>
            </w:pPr>
            <w:r>
              <w:t xml:space="preserve">Yes</w:t>
            </w:r>
          </w:p>
        </w:tc>
      </w:tr>
      <w:tr>
        <w:tc>
          <w:tcPr/>
          <w:p>
            <w:pPr>
              <w:pStyle w:val="Compact"/>
            </w:pPr>
            <w:r>
              <w:t xml:space="preserve">TX</w:t>
            </w:r>
          </w:p>
        </w:tc>
        <w:tc>
          <w:tcPr/>
          <w:p>
            <w:pPr>
              <w:pStyle w:val="Compact"/>
            </w:pPr>
            <w:r>
              <w:t xml:space="preserve">144</w:t>
            </w:r>
          </w:p>
        </w:tc>
        <w:tc>
          <w:tcPr/>
          <w:p>
            <w:pPr>
              <w:pStyle w:val="Compact"/>
            </w:pPr>
            <w:r>
              <w:t xml:space="preserve">47</w:t>
            </w:r>
          </w:p>
        </w:tc>
        <w:tc>
          <w:tcPr/>
          <w:p>
            <w:pPr>
              <w:pStyle w:val="Compact"/>
            </w:pPr>
            <w:r>
              <w:t xml:space="preserve">32.6%</w:t>
            </w:r>
          </w:p>
        </w:tc>
        <w:tc>
          <w:tcPr/>
          <w:p>
            <w:pPr>
              <w:pStyle w:val="Compact"/>
            </w:pPr>
            <w:r>
              <w:t xml:space="preserve">Yes</w:t>
            </w:r>
          </w:p>
        </w:tc>
      </w:tr>
      <w:tr>
        <w:tc>
          <w:tcPr/>
          <w:p>
            <w:pPr>
              <w:pStyle w:val="Compact"/>
            </w:pPr>
            <w:r>
              <w:t xml:space="preserve">FL</w:t>
            </w:r>
          </w:p>
        </w:tc>
        <w:tc>
          <w:tcPr/>
          <w:p>
            <w:pPr>
              <w:pStyle w:val="Compact"/>
            </w:pPr>
            <w:r>
              <w:t xml:space="preserve">139</w:t>
            </w:r>
          </w:p>
        </w:tc>
        <w:tc>
          <w:tcPr/>
          <w:p>
            <w:pPr>
              <w:pStyle w:val="Compact"/>
            </w:pPr>
            <w:r>
              <w:t xml:space="preserve">49</w:t>
            </w:r>
          </w:p>
        </w:tc>
        <w:tc>
          <w:tcPr/>
          <w:p>
            <w:pPr>
              <w:pStyle w:val="Compact"/>
            </w:pPr>
            <w:r>
              <w:t xml:space="preserve">35.3%</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64</w:t>
            </w:r>
          </w:p>
        </w:tc>
        <w:tc>
          <w:tcPr/>
          <w:p>
            <w:pPr>
              <w:pStyle w:val="Compact"/>
            </w:pPr>
            <w:r>
              <w:t xml:space="preserve">39</w:t>
            </w:r>
          </w:p>
        </w:tc>
        <w:tc>
          <w:tcPr/>
          <w:p>
            <w:pPr>
              <w:pStyle w:val="Compact"/>
            </w:pPr>
            <w:r>
              <w:t xml:space="preserve">60.9%</w:t>
            </w:r>
          </w:p>
        </w:tc>
        <w:tc>
          <w:tcPr/>
          <w:p>
            <w:pPr>
              <w:pStyle w:val="Compact"/>
            </w:pPr>
            <w:r>
              <w:t xml:space="preserve">Yes</w:t>
            </w:r>
          </w:p>
        </w:tc>
      </w:tr>
      <w:tr>
        <w:tc>
          <w:tcPr/>
          <w:p>
            <w:pPr>
              <w:pStyle w:val="Compact"/>
            </w:pPr>
            <w:r>
              <w:t xml:space="preserve">OH</w:t>
            </w:r>
          </w:p>
        </w:tc>
        <w:tc>
          <w:tcPr/>
          <w:p>
            <w:pPr>
              <w:pStyle w:val="Compact"/>
            </w:pPr>
            <w:r>
              <w:t xml:space="preserve">61</w:t>
            </w:r>
          </w:p>
        </w:tc>
        <w:tc>
          <w:tcPr/>
          <w:p>
            <w:pPr>
              <w:pStyle w:val="Compact"/>
            </w:pPr>
            <w:r>
              <w:t xml:space="preserve">44</w:t>
            </w:r>
          </w:p>
        </w:tc>
        <w:tc>
          <w:tcPr/>
          <w:p>
            <w:pPr>
              <w:pStyle w:val="Compact"/>
            </w:pPr>
            <w:r>
              <w:t xml:space="preserve">72.1%</w:t>
            </w:r>
          </w:p>
        </w:tc>
        <w:tc>
          <w:tcPr/>
          <w:p>
            <w:pPr>
              <w:pStyle w:val="Compact"/>
            </w:pPr>
            <w:r>
              <w:t xml:space="preserve">Yes</w:t>
            </w:r>
          </w:p>
        </w:tc>
      </w:tr>
      <w:tr>
        <w:tc>
          <w:tcPr/>
          <w:p>
            <w:pPr>
              <w:pStyle w:val="Compact"/>
            </w:pPr>
            <w:r>
              <w:t xml:space="preserve">PA</w:t>
            </w:r>
          </w:p>
        </w:tc>
        <w:tc>
          <w:tcPr/>
          <w:p>
            <w:pPr>
              <w:pStyle w:val="Compact"/>
            </w:pPr>
            <w:r>
              <w:t xml:space="preserve">61</w:t>
            </w:r>
          </w:p>
        </w:tc>
        <w:tc>
          <w:tcPr/>
          <w:p>
            <w:pPr>
              <w:pStyle w:val="Compact"/>
            </w:pPr>
            <w:r>
              <w:t xml:space="preserve">33</w:t>
            </w:r>
          </w:p>
        </w:tc>
        <w:tc>
          <w:tcPr/>
          <w:p>
            <w:pPr>
              <w:pStyle w:val="Compact"/>
            </w:pPr>
            <w:r>
              <w:t xml:space="preserve">54.1%</w:t>
            </w:r>
          </w:p>
        </w:tc>
        <w:tc>
          <w:tcPr/>
          <w:p>
            <w:pPr>
              <w:pStyle w:val="Compact"/>
            </w:pPr>
            <w:r>
              <w:t xml:space="preserve">Yes</w:t>
            </w:r>
          </w:p>
        </w:tc>
      </w:tr>
      <w:tr>
        <w:tc>
          <w:tcPr/>
          <w:p>
            <w:pPr>
              <w:pStyle w:val="Compact"/>
            </w:pPr>
            <w:r>
              <w:t xml:space="preserve">AZ</w:t>
            </w:r>
          </w:p>
        </w:tc>
        <w:tc>
          <w:tcPr/>
          <w:p>
            <w:pPr>
              <w:pStyle w:val="Compact"/>
            </w:pPr>
            <w:r>
              <w:t xml:space="preserve">59</w:t>
            </w:r>
          </w:p>
        </w:tc>
        <w:tc>
          <w:tcPr/>
          <w:p>
            <w:pPr>
              <w:pStyle w:val="Compact"/>
            </w:pPr>
            <w:r>
              <w:t xml:space="preserve">19</w:t>
            </w:r>
          </w:p>
        </w:tc>
        <w:tc>
          <w:tcPr/>
          <w:p>
            <w:pPr>
              <w:pStyle w:val="Compact"/>
            </w:pPr>
            <w:r>
              <w:t xml:space="preserve">32.2%</w:t>
            </w:r>
          </w:p>
        </w:tc>
        <w:tc>
          <w:tcPr/>
          <w:p>
            <w:pPr>
              <w:pStyle w:val="Compact"/>
            </w:pPr>
            <w:r>
              <w:t xml:space="preserve">Yes</w:t>
            </w:r>
          </w:p>
        </w:tc>
      </w:tr>
      <w:tr>
        <w:tc>
          <w:tcPr/>
          <w:p>
            <w:pPr>
              <w:pStyle w:val="Compact"/>
            </w:pPr>
            <w:r>
              <w:t xml:space="preserve">NJ</w:t>
            </w:r>
          </w:p>
        </w:tc>
        <w:tc>
          <w:tcPr/>
          <w:p>
            <w:pPr>
              <w:pStyle w:val="Compact"/>
            </w:pPr>
            <w:r>
              <w:t xml:space="preserve">57</w:t>
            </w:r>
          </w:p>
        </w:tc>
        <w:tc>
          <w:tcPr/>
          <w:p>
            <w:pPr>
              <w:pStyle w:val="Compact"/>
            </w:pPr>
            <w:r>
              <w:t xml:space="preserve">28</w:t>
            </w:r>
          </w:p>
        </w:tc>
        <w:tc>
          <w:tcPr/>
          <w:p>
            <w:pPr>
              <w:pStyle w:val="Compact"/>
            </w:pPr>
            <w:r>
              <w:t xml:space="preserve">49.1%</w:t>
            </w:r>
          </w:p>
        </w:tc>
        <w:tc>
          <w:tcPr/>
          <w:p>
            <w:pPr>
              <w:pStyle w:val="Compact"/>
            </w:pPr>
            <w:r>
              <w:t xml:space="preserve">Yes</w:t>
            </w:r>
          </w:p>
        </w:tc>
      </w:tr>
      <w:tr>
        <w:tc>
          <w:tcPr/>
          <w:p>
            <w:pPr>
              <w:pStyle w:val="Compact"/>
            </w:pPr>
            <w:r>
              <w:t xml:space="preserve">TN</w:t>
            </w:r>
          </w:p>
        </w:tc>
        <w:tc>
          <w:tcPr/>
          <w:p>
            <w:pPr>
              <w:pStyle w:val="Compact"/>
            </w:pPr>
            <w:r>
              <w:t xml:space="preserve">57</w:t>
            </w:r>
          </w:p>
        </w:tc>
        <w:tc>
          <w:tcPr/>
          <w:p>
            <w:pPr>
              <w:pStyle w:val="Compact"/>
            </w:pPr>
            <w:r>
              <w:t xml:space="preserve">20</w:t>
            </w:r>
          </w:p>
        </w:tc>
        <w:tc>
          <w:tcPr/>
          <w:p>
            <w:pPr>
              <w:pStyle w:val="Compact"/>
            </w:pPr>
            <w:r>
              <w:t xml:space="preserve">35.1%</w:t>
            </w:r>
          </w:p>
        </w:tc>
        <w:tc>
          <w:tcPr/>
          <w:p>
            <w:pPr>
              <w:pStyle w:val="Compact"/>
            </w:pPr>
            <w:r>
              <w:t xml:space="preserve">Yes</w:t>
            </w:r>
          </w:p>
        </w:tc>
      </w:tr>
      <w:tr>
        <w:tc>
          <w:tcPr/>
          <w:p>
            <w:pPr>
              <w:pStyle w:val="Compact"/>
            </w:pPr>
            <w:r>
              <w:t xml:space="preserve">MI</w:t>
            </w:r>
          </w:p>
        </w:tc>
        <w:tc>
          <w:tcPr/>
          <w:p>
            <w:pPr>
              <w:pStyle w:val="Compact"/>
            </w:pPr>
            <w:r>
              <w:t xml:space="preserve">56</w:t>
            </w:r>
          </w:p>
        </w:tc>
        <w:tc>
          <w:tcPr/>
          <w:p>
            <w:pPr>
              <w:pStyle w:val="Compact"/>
            </w:pPr>
            <w:r>
              <w:t xml:space="preserve">22</w:t>
            </w:r>
          </w:p>
        </w:tc>
        <w:tc>
          <w:tcPr/>
          <w:p>
            <w:pPr>
              <w:pStyle w:val="Compact"/>
            </w:pPr>
            <w:r>
              <w:t xml:space="preserve">39.3%</w:t>
            </w:r>
          </w:p>
        </w:tc>
        <w:tc>
          <w:tcPr/>
          <w:p>
            <w:pPr>
              <w:pStyle w:val="Compact"/>
            </w:pPr>
            <w:r>
              <w:t xml:space="preserve">Yes</w:t>
            </w:r>
          </w:p>
        </w:tc>
      </w:tr>
      <w:tr>
        <w:tc>
          <w:tcPr/>
          <w:p>
            <w:pPr>
              <w:pStyle w:val="Compact"/>
            </w:pPr>
            <w:r>
              <w:t xml:space="preserve">NC</w:t>
            </w:r>
          </w:p>
        </w:tc>
        <w:tc>
          <w:tcPr/>
          <w:p>
            <w:pPr>
              <w:pStyle w:val="Compact"/>
            </w:pPr>
            <w:r>
              <w:t xml:space="preserve">54</w:t>
            </w:r>
          </w:p>
        </w:tc>
        <w:tc>
          <w:tcPr/>
          <w:p>
            <w:pPr>
              <w:pStyle w:val="Compact"/>
            </w:pPr>
            <w:r>
              <w:t xml:space="preserve">35</w:t>
            </w:r>
          </w:p>
        </w:tc>
        <w:tc>
          <w:tcPr/>
          <w:p>
            <w:pPr>
              <w:pStyle w:val="Compact"/>
            </w:pPr>
            <w:r>
              <w:t xml:space="preserve">64.8%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WA</w:t>
            </w:r>
          </w:p>
        </w:tc>
        <w:tc>
          <w:tcPr/>
          <w:p>
            <w:pPr>
              <w:pStyle w:val="Compact"/>
            </w:pPr>
            <w:r>
              <w:t xml:space="preserve">45</w:t>
            </w:r>
          </w:p>
        </w:tc>
        <w:tc>
          <w:tcPr/>
          <w:p>
            <w:pPr>
              <w:pStyle w:val="Compact"/>
            </w:pPr>
            <w:r>
              <w:t xml:space="preserve">19</w:t>
            </w:r>
          </w:p>
        </w:tc>
        <w:tc>
          <w:tcPr/>
          <w:p>
            <w:pPr>
              <w:pStyle w:val="Compact"/>
            </w:pPr>
            <w:r>
              <w:t xml:space="preserve">42.2%</w:t>
            </w:r>
          </w:p>
        </w:tc>
        <w:tc>
          <w:tcPr/>
          <w:p>
            <w:pPr>
              <w:pStyle w:val="Compact"/>
            </w:pPr>
            <w:r>
              <w:t xml:space="preserve">Yes</w:t>
            </w:r>
          </w:p>
        </w:tc>
      </w:tr>
      <w:tr>
        <w:tc>
          <w:tcPr/>
          <w:p>
            <w:pPr>
              <w:pStyle w:val="Compact"/>
            </w:pPr>
            <w:r>
              <w:t xml:space="preserve">IN</w:t>
            </w:r>
          </w:p>
        </w:tc>
        <w:tc>
          <w:tcPr/>
          <w:p>
            <w:pPr>
              <w:pStyle w:val="Compact"/>
            </w:pPr>
            <w:r>
              <w:t xml:space="preserve">44</w:t>
            </w:r>
          </w:p>
        </w:tc>
        <w:tc>
          <w:tcPr/>
          <w:p>
            <w:pPr>
              <w:pStyle w:val="Compact"/>
            </w:pPr>
            <w:r>
              <w:t xml:space="preserve">13</w:t>
            </w:r>
          </w:p>
        </w:tc>
        <w:tc>
          <w:tcPr/>
          <w:p>
            <w:pPr>
              <w:pStyle w:val="Compact"/>
            </w:pPr>
            <w:r>
              <w:t xml:space="preserve">29.5%</w:t>
            </w:r>
          </w:p>
        </w:tc>
        <w:tc>
          <w:tcPr/>
          <w:p>
            <w:pPr>
              <w:pStyle w:val="Compact"/>
            </w:pPr>
            <w:r>
              <w:t xml:space="preserve">Yes</w:t>
            </w:r>
          </w:p>
        </w:tc>
      </w:tr>
      <w:tr>
        <w:tc>
          <w:tcPr/>
          <w:p>
            <w:pPr>
              <w:pStyle w:val="Compact"/>
            </w:pPr>
            <w:r>
              <w:t xml:space="preserve">VA</w:t>
            </w:r>
          </w:p>
        </w:tc>
        <w:tc>
          <w:tcPr/>
          <w:p>
            <w:pPr>
              <w:pStyle w:val="Compact"/>
            </w:pPr>
            <w:r>
              <w:t xml:space="preserve">43</w:t>
            </w:r>
          </w:p>
        </w:tc>
        <w:tc>
          <w:tcPr/>
          <w:p>
            <w:pPr>
              <w:pStyle w:val="Compact"/>
            </w:pPr>
            <w:r>
              <w:t xml:space="preserve">27</w:t>
            </w:r>
          </w:p>
        </w:tc>
        <w:tc>
          <w:tcPr/>
          <w:p>
            <w:pPr>
              <w:pStyle w:val="Compact"/>
            </w:pPr>
            <w:r>
              <w:t xml:space="preserve">62.8%</w:t>
            </w:r>
          </w:p>
        </w:tc>
        <w:tc>
          <w:tcPr/>
          <w:p>
            <w:pPr>
              <w:pStyle w:val="Compact"/>
            </w:pPr>
            <w:r>
              <w:t xml:space="preserve">Yes</w:t>
            </w:r>
          </w:p>
        </w:tc>
      </w:tr>
      <w:tr>
        <w:tc>
          <w:tcPr/>
          <w:p>
            <w:pPr>
              <w:pStyle w:val="Compact"/>
            </w:pPr>
            <w:r>
              <w:t xml:space="preserve">GA</w:t>
            </w:r>
          </w:p>
        </w:tc>
        <w:tc>
          <w:tcPr/>
          <w:p>
            <w:pPr>
              <w:pStyle w:val="Compact"/>
            </w:pPr>
            <w:r>
              <w:t xml:space="preserve">42</w:t>
            </w:r>
          </w:p>
        </w:tc>
        <w:tc>
          <w:tcPr/>
          <w:p>
            <w:pPr>
              <w:pStyle w:val="Compact"/>
            </w:pPr>
            <w:r>
              <w:t xml:space="preserve">17</w:t>
            </w:r>
          </w:p>
        </w:tc>
        <w:tc>
          <w:tcPr/>
          <w:p>
            <w:pPr>
              <w:pStyle w:val="Compact"/>
            </w:pPr>
            <w:r>
              <w:t xml:space="preserve">40.5%</w:t>
            </w:r>
          </w:p>
        </w:tc>
        <w:tc>
          <w:tcPr/>
          <w:p>
            <w:pPr>
              <w:pStyle w:val="Compact"/>
            </w:pPr>
            <w:r>
              <w:t xml:space="preserve">Yes</w:t>
            </w:r>
          </w:p>
        </w:tc>
      </w:tr>
      <w:tr>
        <w:tc>
          <w:tcPr/>
          <w:p>
            <w:pPr>
              <w:pStyle w:val="Compact"/>
            </w:pPr>
            <w:r>
              <w:t xml:space="preserve">MO</w:t>
            </w:r>
          </w:p>
        </w:tc>
        <w:tc>
          <w:tcPr/>
          <w:p>
            <w:pPr>
              <w:pStyle w:val="Compact"/>
            </w:pPr>
            <w:r>
              <w:t xml:space="preserve">42</w:t>
            </w:r>
          </w:p>
        </w:tc>
        <w:tc>
          <w:tcPr/>
          <w:p>
            <w:pPr>
              <w:pStyle w:val="Compact"/>
            </w:pPr>
            <w:r>
              <w:t xml:space="preserve">16</w:t>
            </w:r>
          </w:p>
        </w:tc>
        <w:tc>
          <w:tcPr/>
          <w:p>
            <w:pPr>
              <w:pStyle w:val="Compact"/>
            </w:pPr>
            <w:r>
              <w:t xml:space="preserve">38.1%</w:t>
            </w:r>
          </w:p>
        </w:tc>
        <w:tc>
          <w:tcPr/>
          <w:p>
            <w:pPr>
              <w:pStyle w:val="Compact"/>
            </w:pPr>
            <w:r>
              <w:t xml:space="preserve">Yes</w:t>
            </w:r>
          </w:p>
        </w:tc>
      </w:tr>
      <w:tr>
        <w:tc>
          <w:tcPr/>
          <w:p>
            <w:pPr>
              <w:pStyle w:val="Compact"/>
            </w:pPr>
            <w:r>
              <w:t xml:space="preserve">AL</w:t>
            </w:r>
          </w:p>
        </w:tc>
        <w:tc>
          <w:tcPr/>
          <w:p>
            <w:pPr>
              <w:pStyle w:val="Compact"/>
            </w:pPr>
            <w:r>
              <w:t xml:space="preserve">36</w:t>
            </w:r>
          </w:p>
        </w:tc>
        <w:tc>
          <w:tcPr/>
          <w:p>
            <w:pPr>
              <w:pStyle w:val="Compact"/>
            </w:pPr>
            <w:r>
              <w:t xml:space="preserve">12</w:t>
            </w:r>
          </w:p>
        </w:tc>
        <w:tc>
          <w:tcPr/>
          <w:p>
            <w:pPr>
              <w:pStyle w:val="Compact"/>
            </w:pPr>
            <w:r>
              <w:t xml:space="preserve">33.3%</w:t>
            </w:r>
          </w:p>
        </w:tc>
        <w:tc>
          <w:tcPr/>
          <w:p>
            <w:pPr>
              <w:pStyle w:val="Compact"/>
            </w:pPr>
            <w:r>
              <w:t xml:space="preserve">Yes</w:t>
            </w:r>
          </w:p>
        </w:tc>
      </w:tr>
      <w:tr>
        <w:tc>
          <w:tcPr/>
          <w:p>
            <w:pPr>
              <w:pStyle w:val="Compact"/>
            </w:pPr>
            <w:r>
              <w:t xml:space="preserve">MD</w:t>
            </w:r>
          </w:p>
        </w:tc>
        <w:tc>
          <w:tcPr/>
          <w:p>
            <w:pPr>
              <w:pStyle w:val="Compact"/>
            </w:pPr>
            <w:r>
              <w:t xml:space="preserve">34</w:t>
            </w:r>
          </w:p>
        </w:tc>
        <w:tc>
          <w:tcPr/>
          <w:p>
            <w:pPr>
              <w:pStyle w:val="Compact"/>
            </w:pPr>
            <w:r>
              <w:t xml:space="preserve">14</w:t>
            </w:r>
          </w:p>
        </w:tc>
        <w:tc>
          <w:tcPr/>
          <w:p>
            <w:pPr>
              <w:pStyle w:val="Compact"/>
            </w:pPr>
            <w:r>
              <w:t xml:space="preserve">41.2%</w:t>
            </w:r>
          </w:p>
        </w:tc>
        <w:tc>
          <w:tcPr/>
          <w:p>
            <w:pPr>
              <w:pStyle w:val="Compact"/>
            </w:pPr>
            <w:r>
              <w:t xml:space="preserve">Yes</w:t>
            </w:r>
          </w:p>
        </w:tc>
      </w:tr>
      <w:tr>
        <w:tc>
          <w:tcPr/>
          <w:p>
            <w:pPr>
              <w:pStyle w:val="Compact"/>
            </w:pPr>
            <w:r>
              <w:t xml:space="preserve">SC</w:t>
            </w:r>
          </w:p>
        </w:tc>
        <w:tc>
          <w:tcPr/>
          <w:p>
            <w:pPr>
              <w:pStyle w:val="Compact"/>
            </w:pPr>
            <w:r>
              <w:t xml:space="preserve">34</w:t>
            </w:r>
          </w:p>
        </w:tc>
        <w:tc>
          <w:tcPr/>
          <w:p>
            <w:pPr>
              <w:pStyle w:val="Compact"/>
            </w:pPr>
            <w:r>
              <w:t xml:space="preserve">11</w:t>
            </w:r>
          </w:p>
        </w:tc>
        <w:tc>
          <w:tcPr/>
          <w:p>
            <w:pPr>
              <w:pStyle w:val="Compact"/>
            </w:pPr>
            <w:r>
              <w:t xml:space="preserve">32.4%</w:t>
            </w:r>
          </w:p>
        </w:tc>
        <w:tc>
          <w:tcPr/>
          <w:p>
            <w:pPr>
              <w:pStyle w:val="Compact"/>
            </w:pPr>
            <w:r>
              <w:t xml:space="preserve">Yes</w:t>
            </w:r>
          </w:p>
        </w:tc>
      </w:tr>
      <w:tr>
        <w:tc>
          <w:tcPr/>
          <w:p>
            <w:pPr>
              <w:pStyle w:val="Compact"/>
            </w:pPr>
            <w:r>
              <w:t xml:space="preserve">KY</w:t>
            </w:r>
          </w:p>
        </w:tc>
        <w:tc>
          <w:tcPr/>
          <w:p>
            <w:pPr>
              <w:pStyle w:val="Compact"/>
            </w:pPr>
            <w:r>
              <w:t xml:space="preserve">30</w:t>
            </w:r>
          </w:p>
        </w:tc>
        <w:tc>
          <w:tcPr/>
          <w:p>
            <w:pPr>
              <w:pStyle w:val="Compact"/>
            </w:pPr>
            <w:r>
              <w:t xml:space="preserve">10</w:t>
            </w:r>
          </w:p>
        </w:tc>
        <w:tc>
          <w:tcPr/>
          <w:p>
            <w:pPr>
              <w:pStyle w:val="Compact"/>
            </w:pPr>
            <w:r>
              <w:t xml:space="preserve">33.3%</w:t>
            </w:r>
          </w:p>
        </w:tc>
        <w:tc>
          <w:tcPr/>
          <w:p>
            <w:pPr>
              <w:pStyle w:val="Compact"/>
            </w:pPr>
            <w:r>
              <w:t xml:space="preserve">Yes</w:t>
            </w:r>
          </w:p>
        </w:tc>
      </w:tr>
      <w:tr>
        <w:tc>
          <w:tcPr/>
          <w:p>
            <w:pPr>
              <w:pStyle w:val="Compact"/>
            </w:pPr>
            <w:r>
              <w:t xml:space="preserve">OK</w:t>
            </w:r>
          </w:p>
        </w:tc>
        <w:tc>
          <w:tcPr/>
          <w:p>
            <w:pPr>
              <w:pStyle w:val="Compact"/>
            </w:pPr>
            <w:r>
              <w:t xml:space="preserve">29</w:t>
            </w:r>
          </w:p>
        </w:tc>
        <w:tc>
          <w:tcPr/>
          <w:p>
            <w:pPr>
              <w:pStyle w:val="Compact"/>
            </w:pPr>
            <w:r>
              <w:t xml:space="preserve">10</w:t>
            </w:r>
          </w:p>
        </w:tc>
        <w:tc>
          <w:tcPr/>
          <w:p>
            <w:pPr>
              <w:pStyle w:val="Compact"/>
            </w:pPr>
            <w:r>
              <w:t xml:space="preserve">34.5%</w:t>
            </w:r>
          </w:p>
        </w:tc>
        <w:tc>
          <w:tcPr/>
          <w:p>
            <w:pPr>
              <w:pStyle w:val="Compact"/>
            </w:pPr>
            <w:r>
              <w:t xml:space="preserve">Yes</w:t>
            </w:r>
          </w:p>
        </w:tc>
      </w:tr>
      <w:tr>
        <w:tc>
          <w:tcPr/>
          <w:p>
            <w:pPr>
              <w:pStyle w:val="Compact"/>
            </w:pPr>
            <w:r>
              <w:t xml:space="preserve">LA</w:t>
            </w:r>
          </w:p>
        </w:tc>
        <w:tc>
          <w:tcPr/>
          <w:p>
            <w:pPr>
              <w:pStyle w:val="Compact"/>
            </w:pPr>
            <w:r>
              <w:t xml:space="preserve">28</w:t>
            </w:r>
          </w:p>
        </w:tc>
        <w:tc>
          <w:tcPr/>
          <w:p>
            <w:pPr>
              <w:pStyle w:val="Compact"/>
            </w:pPr>
            <w:r>
              <w:t xml:space="preserve">6</w:t>
            </w:r>
          </w:p>
        </w:tc>
        <w:tc>
          <w:tcPr/>
          <w:p>
            <w:pPr>
              <w:pStyle w:val="Compact"/>
            </w:pPr>
            <w:r>
              <w:t xml:space="preserve">21.4%</w:t>
            </w:r>
          </w:p>
        </w:tc>
        <w:tc>
          <w:tcPr/>
          <w:p>
            <w:pPr>
              <w:pStyle w:val="Compact"/>
            </w:pPr>
            <w:r>
              <w:t xml:space="preserve">Yes</w:t>
            </w:r>
          </w:p>
        </w:tc>
      </w:tr>
      <w:tr>
        <w:tc>
          <w:tcPr/>
          <w:p>
            <w:pPr>
              <w:pStyle w:val="Compact"/>
            </w:pPr>
            <w:r>
              <w:t xml:space="preserve">NE</w:t>
            </w:r>
          </w:p>
        </w:tc>
        <w:tc>
          <w:tcPr/>
          <w:p>
            <w:pPr>
              <w:pStyle w:val="Compact"/>
            </w:pPr>
            <w:r>
              <w:t xml:space="preserve">26</w:t>
            </w:r>
          </w:p>
        </w:tc>
        <w:tc>
          <w:tcPr/>
          <w:p>
            <w:pPr>
              <w:pStyle w:val="Compact"/>
            </w:pPr>
            <w:r>
              <w:t xml:space="preserve">4</w:t>
            </w:r>
          </w:p>
        </w:tc>
        <w:tc>
          <w:tcPr/>
          <w:p>
            <w:pPr>
              <w:pStyle w:val="Compact"/>
            </w:pPr>
            <w:r>
              <w:t xml:space="preserve">15.4%</w:t>
            </w:r>
          </w:p>
        </w:tc>
        <w:tc>
          <w:tcPr/>
          <w:p>
            <w:pPr>
              <w:pStyle w:val="Compact"/>
            </w:pPr>
            <w:r>
              <w:t xml:space="preserve">Yes</w:t>
            </w:r>
          </w:p>
        </w:tc>
      </w:tr>
      <w:tr>
        <w:tc>
          <w:tcPr/>
          <w:p>
            <w:pPr>
              <w:pStyle w:val="Compact"/>
            </w:pPr>
            <w:r>
              <w:t xml:space="preserve">CO</w:t>
            </w:r>
          </w:p>
        </w:tc>
        <w:tc>
          <w:tcPr/>
          <w:p>
            <w:pPr>
              <w:pStyle w:val="Compact"/>
            </w:pPr>
            <w:r>
              <w:t xml:space="preserve">25</w:t>
            </w:r>
          </w:p>
        </w:tc>
        <w:tc>
          <w:tcPr/>
          <w:p>
            <w:pPr>
              <w:pStyle w:val="Compact"/>
            </w:pPr>
            <w:r>
              <w:t xml:space="preserve">14</w:t>
            </w:r>
          </w:p>
        </w:tc>
        <w:tc>
          <w:tcPr/>
          <w:p>
            <w:pPr>
              <w:pStyle w:val="Compact"/>
            </w:pPr>
            <w:r>
              <w:t xml:space="preserve">56.0%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KS</w:t>
            </w:r>
          </w:p>
        </w:tc>
        <w:tc>
          <w:tcPr/>
          <w:p>
            <w:pPr>
              <w:pStyle w:val="Compact"/>
            </w:pPr>
            <w:r>
              <w:t xml:space="preserve">21</w:t>
            </w:r>
          </w:p>
        </w:tc>
        <w:tc>
          <w:tcPr/>
          <w:p>
            <w:pPr>
              <w:pStyle w:val="Compact"/>
            </w:pPr>
            <w:r>
              <w:t xml:space="preserve">4</w:t>
            </w:r>
          </w:p>
        </w:tc>
        <w:tc>
          <w:tcPr/>
          <w:p>
            <w:pPr>
              <w:pStyle w:val="Compact"/>
            </w:pPr>
            <w:r>
              <w:t xml:space="preserve">19.0%</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AR</w:t>
            </w:r>
          </w:p>
        </w:tc>
        <w:tc>
          <w:tcPr/>
          <w:p>
            <w:pPr>
              <w:pStyle w:val="Compact"/>
            </w:pPr>
            <w:r>
              <w:t xml:space="preserve">20</w:t>
            </w:r>
          </w:p>
        </w:tc>
        <w:tc>
          <w:tcPr/>
          <w:p>
            <w:pPr>
              <w:pStyle w:val="Compact"/>
            </w:pPr>
            <w:r>
              <w:t xml:space="preserve">3</w:t>
            </w:r>
          </w:p>
        </w:tc>
        <w:tc>
          <w:tcPr/>
          <w:p>
            <w:pPr>
              <w:pStyle w:val="Compact"/>
            </w:pPr>
            <w:r>
              <w:t xml:space="preserve">15.0%</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IA</w:t>
            </w:r>
          </w:p>
        </w:tc>
        <w:tc>
          <w:tcPr/>
          <w:p>
            <w:pPr>
              <w:pStyle w:val="Compact"/>
            </w:pPr>
            <w:r>
              <w:t xml:space="preserve">18</w:t>
            </w:r>
          </w:p>
        </w:tc>
        <w:tc>
          <w:tcPr/>
          <w:p>
            <w:pPr>
              <w:pStyle w:val="Compact"/>
            </w:pPr>
            <w:r>
              <w:t xml:space="preserve">7</w:t>
            </w:r>
          </w:p>
        </w:tc>
        <w:tc>
          <w:tcPr/>
          <w:p>
            <w:pPr>
              <w:pStyle w:val="Compact"/>
            </w:pPr>
            <w:r>
              <w:t xml:space="preserve">38.9%</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13</w:t>
            </w:r>
          </w:p>
        </w:tc>
        <w:tc>
          <w:tcPr/>
          <w:p>
            <w:pPr>
              <w:pStyle w:val="Compact"/>
            </w:pPr>
            <w:r>
              <w:t xml:space="preserve">3</w:t>
            </w:r>
          </w:p>
        </w:tc>
        <w:tc>
          <w:tcPr/>
          <w:p>
            <w:pPr>
              <w:pStyle w:val="Compact"/>
            </w:pPr>
            <w:r>
              <w:t xml:space="preserve">23.1%</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DE</w:t>
            </w:r>
          </w:p>
        </w:tc>
        <w:tc>
          <w:tcPr/>
          <w:p>
            <w:pPr>
              <w:pStyle w:val="Compact"/>
            </w:pPr>
            <w:r>
              <w:t xml:space="preserve">7</w:t>
            </w:r>
          </w:p>
        </w:tc>
        <w:tc>
          <w:tcPr/>
          <w:p>
            <w:pPr>
              <w:pStyle w:val="Compact"/>
            </w:pPr>
            <w:r>
              <w:t xml:space="preserve">4</w:t>
            </w:r>
          </w:p>
        </w:tc>
        <w:tc>
          <w:tcPr/>
          <w:p>
            <w:pPr>
              <w:pStyle w:val="Compact"/>
            </w:pPr>
            <w:r>
              <w:t xml:space="preserve">57.1%</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ID</w:t>
            </w:r>
          </w:p>
        </w:tc>
        <w:tc>
          <w:tcPr/>
          <w:p>
            <w:pPr>
              <w:pStyle w:val="Compact"/>
            </w:pPr>
            <w:r>
              <w:t xml:space="preserve">6</w:t>
            </w:r>
          </w:p>
        </w:tc>
        <w:tc>
          <w:tcPr/>
          <w:p>
            <w:pPr>
              <w:pStyle w:val="Compact"/>
            </w:pPr>
            <w:r>
              <w:t xml:space="preserve">3</w:t>
            </w:r>
          </w:p>
        </w:tc>
        <w:tc>
          <w:tcPr/>
          <w:p>
            <w:pPr>
              <w:pStyle w:val="Compact"/>
            </w:pPr>
            <w:r>
              <w:t xml:space="preserve">50.0%</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ND</w:t>
            </w:r>
          </w:p>
        </w:tc>
        <w:tc>
          <w:tcPr/>
          <w:p>
            <w:pPr>
              <w:pStyle w:val="Compact"/>
            </w:pPr>
            <w:r>
              <w:t xml:space="preserve">6</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AK</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Cross-sectional versus multi-year Gini coefficients (concentration sensitivity), showing that pooling years increases apparent concentration relative to any single year.</w:t>
      </w:r>
    </w:p>
    <w:tbl>
      <w:tblPr>
        <w:tblStyle w:val="Table"/>
        <w:tblW w:type="pct" w:w="5000"/>
        <w:tblLayout w:type="fixed"/>
        <w:tblLook w:firstRow="1" w:lastRow="0" w:firstColumn="0" w:lastColumn="0" w:noHBand="0" w:noVBand="0" w:val="0020"/>
      </w:tblPr>
      <w:tblGrid>
        <w:gridCol w:w="1146"/>
        <w:gridCol w:w="1771"/>
        <w:gridCol w:w="1354"/>
        <w:gridCol w:w="1875"/>
        <w:gridCol w:w="1771"/>
      </w:tblGrid>
      <w:tr>
        <w:trPr>
          <w:tblHeader w:val="on"/>
        </w:trPr>
        <w:tc>
          <w:tcPr/>
          <w:p>
            <w:pPr>
              <w:pStyle w:val="Compact"/>
            </w:pPr>
            <w:r>
              <w:t xml:space="preserve">Specialty</w:t>
            </w:r>
          </w:p>
        </w:tc>
        <w:tc>
          <w:tcPr/>
          <w:p>
            <w:pPr>
              <w:pStyle w:val="Compact"/>
            </w:pPr>
            <w:r>
              <w:t xml:space="preserve">Year mode</w:t>
            </w:r>
          </w:p>
        </w:tc>
        <w:tc>
          <w:tcPr/>
          <w:p>
            <w:pPr>
              <w:pStyle w:val="Compact"/>
            </w:pPr>
            <w:r>
              <w:t xml:space="preserve">N providers</w:t>
            </w:r>
          </w:p>
        </w:tc>
        <w:tc>
          <w:tcPr/>
          <w:p>
            <w:pPr>
              <w:pStyle w:val="Compact"/>
            </w:pPr>
            <w:r>
              <w:t xml:space="preserve">Gini coefficient</w:t>
            </w:r>
          </w:p>
        </w:tc>
        <w:tc>
          <w:tcPr/>
          <w:p>
            <w:pPr>
              <w:pStyle w:val="Compact"/>
            </w:pPr>
            <w:r>
              <w:t xml:space="preserve">% of all slings</w:t>
            </w:r>
          </w:p>
        </w:tc>
      </w:tr>
      <w:tr>
        <w:tc>
          <w:tcPr/>
          <w:p>
            <w:pPr>
              <w:pStyle w:val="Compact"/>
            </w:pPr>
            <w:r>
              <w:t xml:space="preserve">OB/GYN</w:t>
            </w:r>
          </w:p>
        </w:tc>
        <w:tc>
          <w:tcPr/>
          <w:p>
            <w:pPr>
              <w:pStyle w:val="Compact"/>
            </w:pPr>
            <w:r>
              <w:t xml:space="preserve">cross_sectional</w:t>
            </w:r>
          </w:p>
        </w:tc>
        <w:tc>
          <w:tcPr/>
          <w:p>
            <w:pPr>
              <w:pStyle w:val="Compact"/>
            </w:pPr>
            <w:r>
              <w:t xml:space="preserve">373</w:t>
            </w:r>
          </w:p>
        </w:tc>
        <w:tc>
          <w:tcPr/>
          <w:p>
            <w:pPr>
              <w:pStyle w:val="Compact"/>
            </w:pPr>
            <w:r>
              <w:t xml:space="preserve">0.275</w:t>
            </w:r>
          </w:p>
        </w:tc>
        <w:tc>
          <w:tcPr/>
          <w:p>
            <w:pPr>
              <w:pStyle w:val="Compact"/>
            </w:pPr>
            <w:r>
              <w:t xml:space="preserve">82.6%</w:t>
            </w:r>
          </w:p>
        </w:tc>
      </w:tr>
      <w:tr>
        <w:tc>
          <w:tcPr/>
          <w:p>
            <w:pPr>
              <w:pStyle w:val="Compact"/>
            </w:pPr>
            <w:r>
              <w:t xml:space="preserve">Urology</w:t>
            </w:r>
          </w:p>
        </w:tc>
        <w:tc>
          <w:tcPr/>
          <w:p>
            <w:pPr>
              <w:pStyle w:val="Compact"/>
            </w:pPr>
            <w:r>
              <w:t xml:space="preserve">cross_sectional</w:t>
            </w:r>
          </w:p>
        </w:tc>
        <w:tc>
          <w:tcPr/>
          <w:p>
            <w:pPr>
              <w:pStyle w:val="Compact"/>
            </w:pPr>
            <w:r>
              <w:t xml:space="preserve">93</w:t>
            </w:r>
          </w:p>
        </w:tc>
        <w:tc>
          <w:tcPr/>
          <w:p>
            <w:pPr>
              <w:pStyle w:val="Compact"/>
            </w:pPr>
            <w:r>
              <w:t xml:space="preserve">0.233</w:t>
            </w:r>
          </w:p>
        </w:tc>
        <w:tc>
          <w:tcPr/>
          <w:p>
            <w:pPr>
              <w:pStyle w:val="Compact"/>
            </w:pPr>
            <w:r>
              <w:t xml:space="preserve">17.4%</w:t>
            </w:r>
          </w:p>
        </w:tc>
      </w:tr>
      <w:tr>
        <w:tc>
          <w:tcPr/>
          <w:p>
            <w:pPr>
              <w:pStyle w:val="Compact"/>
            </w:pPr>
            <w:r>
              <w:t xml:space="preserve">OB/GYN</w:t>
            </w:r>
          </w:p>
        </w:tc>
        <w:tc>
          <w:tcPr/>
          <w:p>
            <w:pPr>
              <w:pStyle w:val="Compact"/>
            </w:pPr>
            <w:r>
              <w:t xml:space="preserve">multi_year</w:t>
            </w:r>
          </w:p>
        </w:tc>
        <w:tc>
          <w:tcPr/>
          <w:p>
            <w:pPr>
              <w:pStyle w:val="Compact"/>
            </w:pPr>
            <w:r>
              <w:t xml:space="preserve">964</w:t>
            </w:r>
          </w:p>
        </w:tc>
        <w:tc>
          <w:tcPr/>
          <w:p>
            <w:pPr>
              <w:pStyle w:val="Compact"/>
            </w:pPr>
            <w:r>
              <w:t xml:space="preserve">0.281</w:t>
            </w:r>
          </w:p>
        </w:tc>
        <w:tc>
          <w:tcPr/>
          <w:p>
            <w:pPr>
              <w:pStyle w:val="Compact"/>
            </w:pPr>
            <w:r>
              <w:t xml:space="preserve">74.8%</w:t>
            </w:r>
          </w:p>
        </w:tc>
      </w:tr>
      <w:tr>
        <w:tc>
          <w:tcPr/>
          <w:p>
            <w:pPr>
              <w:pStyle w:val="Compact"/>
            </w:pPr>
            <w:r>
              <w:t xml:space="preserve">Urology</w:t>
            </w:r>
          </w:p>
        </w:tc>
        <w:tc>
          <w:tcPr/>
          <w:p>
            <w:pPr>
              <w:pStyle w:val="Compact"/>
            </w:pPr>
            <w:r>
              <w:t xml:space="preserve">multi_year</w:t>
            </w:r>
          </w:p>
        </w:tc>
        <w:tc>
          <w:tcPr/>
          <w:p>
            <w:pPr>
              <w:pStyle w:val="Compact"/>
            </w:pPr>
            <w:r>
              <w:t xml:space="preserve">517</w:t>
            </w:r>
          </w:p>
        </w:tc>
        <w:tc>
          <w:tcPr/>
          <w:p>
            <w:pPr>
              <w:pStyle w:val="Compact"/>
            </w:pPr>
            <w:r>
              <w:t xml:space="preserve">0.225</w:t>
            </w:r>
          </w:p>
        </w:tc>
        <w:tc>
          <w:tcPr/>
          <w:p>
            <w:pPr>
              <w:pStyle w:val="Compact"/>
            </w:pPr>
            <w:r>
              <w:t xml:space="preserve">25.2%</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2026-07-22T19:13:24Z</dcterms:created>
  <dcterms:modified xsi:type="dcterms:W3CDTF">2026-07-22T19:13:24Z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