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4.png" ContentType="image/png"/>
  <Override PartName="/word/media/rId40.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rPr>
          <w:i/>
          <w:iCs/>
        </w:rPr>
        <w:t xml:space="preserve">[to be completed; state</w:t>
      </w:r>
      <w:r>
        <w:rPr>
          <w:i/>
          <w:iCs/>
        </w:rPr>
        <w:t xml:space="preserve"> </w:t>
      </w:r>
      <w:r>
        <w:rPr>
          <w:i/>
          <w:iCs/>
        </w:rPr>
        <w:t xml:space="preserve">“None”</w:t>
      </w:r>
      <w:r>
        <w:rPr>
          <w:i/>
          <w:iCs/>
        </w:rPr>
        <w:t xml:space="preserve"> </w:t>
      </w:r>
      <w:r>
        <w:rPr>
          <w:i/>
          <w:iCs/>
        </w:rPr>
        <w:t xml:space="preserve">if not applicable]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complete, reproducible analytic pipeline and this manuscript source are available at</w:t>
      </w:r>
      <w:r>
        <w:t xml:space="preserve"> </w:t>
      </w:r>
      <w:hyperlink r:id="rId9">
        <w:r>
          <w:rPr>
            <w:rStyle w:val="Hyperlink"/>
          </w:rPr>
          <w:t xml:space="preserve">https://github.com/mufflyt/sling-volume-patterns</w:t>
        </w:r>
      </w:hyperlink>
      <w:r>
        <w:t xml:space="preserve">. The CMS Medicare Physician and Other Practitioners Public Use File and the CMS Program Statistics Original Medicare Enrollment tables are publicly available from data.cms.gov.</w:t>
      </w:r>
    </w:p>
    <w:p>
      <w:pPr>
        <w:pStyle w:val="BodyText"/>
      </w:pPr>
      <w:r>
        <w:rPr>
          <w:b/>
          <w:bCs/>
        </w:rPr>
        <w:t xml:space="preserve">Word count (abstract):</w:t>
      </w:r>
      <w:r>
        <w:t xml:space="preserve"> </w:t>
      </w:r>
      <w:r>
        <w:t xml:space="preserve">approximately 250.</w:t>
      </w:r>
      <w:r>
        <w:t xml:space="preserve"> </w:t>
      </w:r>
      <w:r>
        <w:rPr>
          <w:b/>
          <w:bCs/>
        </w:rPr>
        <w:t xml:space="preserve">Manuscript type:</w:t>
      </w:r>
      <w:r>
        <w:t xml:space="preserve"> </w:t>
      </w:r>
      <w:r>
        <w:t xml:space="preserve">Original research.</w:t>
      </w:r>
    </w:p>
    <w:p>
      <w:r>
        <w:pict>
          <v:rect style="width:0;height:1.5pt" o:hralign="center" o:hrstd="t" o:hr="t"/>
        </w:pict>
      </w:r>
    </w:p>
    <w:bookmarkStart w:id="10" w:name="abstract"/>
    <w:p>
      <w:pPr>
        <w:pStyle w:val="Heading2"/>
      </w:pPr>
      <w:r>
        <w:t xml:space="preserve">Abstract</w:t>
      </w:r>
    </w:p>
    <w:p>
      <w:pPr>
        <w:pStyle w:val="FirstParagraph"/>
      </w:pPr>
      <w:r>
        <w:rPr>
          <w:b/>
          <w:bCs/>
        </w:rPr>
        <w:t xml:space="preserve">Objectives:</w:t>
      </w:r>
      <w:r>
        <w:t xml:space="preserve"> </w:t>
      </w:r>
      <w:r>
        <w:t xml:space="preserve">To describe the specialty distribution, surgeon volume, and concentration of clinicians performing sling surgery for stress urinary incontinence (CPT 57288) in fee-for-service Medicare, 2013 through 2023.</w:t>
      </w:r>
    </w:p>
    <w:p>
      <w:pPr>
        <w:pStyle w:val="BodyText"/>
      </w:pPr>
      <w:r>
        <w:rPr>
          <w:b/>
          <w:bCs/>
        </w:rPr>
        <w:t xml:space="preserve">Methods:</w:t>
      </w:r>
      <w:r>
        <w:t xml:space="preserve"> </w:t>
      </w:r>
      <w:r>
        <w:t xml:space="preserve">Using the CMS Medicare Physician and Other Practitioners Public Use File (all 11 years), we classified clinicians billing CPT 57288 as Urogynecology and Reconstructive Pelvic Surgery (URPS, both certification pathways), Minimally Invasive Gynecologic Surgery, other non-URPS OB/GYN, or non-URPS urology; facilities and unclassifiable billers formed a separate group. Utilization was modeled with a denominator offset (female Part B fee-for-service enrollment), annual volume with a Poisson generalized estimating equation clustered by NPI, and the URPS share with a quasibinomial model; concentration used the Gini coefficient with bootstrap confidence intervals.</w:t>
      </w:r>
    </w:p>
    <w:p>
      <w:pPr>
        <w:pStyle w:val="BodyText"/>
      </w:pPr>
      <w:r>
        <w:rPr>
          <w:b/>
          <w:bCs/>
        </w:rPr>
        <w:t xml:space="preserve">Results:</w:t>
      </w:r>
      <w:r>
        <w:t xml:space="preserve"> </w:t>
      </w:r>
      <w:r>
        <w:t xml:space="preserve">1,666 clinicians performed 141,009 observable services. OB/GYN-pathway URPS was the largest group (55%), with urology-pathway URPS a further 8.7% (together 63.7%), followed by non-URPS urology (14.5%) and other non-URPS OB/GYN (13%). Raw services fell -27.7%, but in a denominator-offset model the observable utilization rate declined -1.9% per year (about -17.3% over the decade; p = 0.119), a meaningful but not statistically robust decline. Adjusted volume was higher for OB/GYN-pathway URPS than for the other groups. Within-year concentration was low and stable (annual Gini 0.22–0.28). In a quasibinomial model the OB/GYN-pathway URPS share rose 1.44 percentage points/year (48.3% to 62.6%; p &lt; 0.001); the urology pathway was roughly stable.</w:t>
      </w:r>
    </w:p>
    <w:p>
      <w:pPr>
        <w:pStyle w:val="BodyText"/>
      </w:pPr>
      <w:r>
        <w:rPr>
          <w:b/>
          <w:bCs/>
        </w:rPr>
        <w:t xml:space="preserve">Conclusions:</w:t>
      </w:r>
      <w:r>
        <w:t xml:space="preserve"> </w:t>
      </w:r>
      <w:r>
        <w:t xml:space="preserve">In observable fee-for-service Medicare, all-pathway URPS physicians performed most sling surgery for stress urinary incontinence, and their share rose as non-URPS participation declined, not through rising concentration. These findings describe observable Medicare service patterns, not the national surgical workforce; outcome and access studies are needed before credentialing implications.</w:t>
      </w:r>
    </w:p>
    <w:p>
      <w:pPr>
        <w:pStyle w:val="BodyText"/>
      </w:pPr>
      <w:r>
        <w:rPr>
          <w:b/>
          <w:bCs/>
        </w:rPr>
        <w:t xml:space="preserve">Keywords:</w:t>
      </w:r>
      <w:r>
        <w:t xml:space="preserve"> </w:t>
      </w:r>
      <w:r>
        <w:t xml:space="preserve">stress urinary incontinence; sling surgery; urogynecology; Medicare; surgical workforce; procedural concentration.</w:t>
      </w:r>
    </w:p>
    <w:p>
      <w:r>
        <w:pict>
          <v:rect style="width:0;height:1.5pt" o:hralign="center" o:hrstd="t" o:hr="t"/>
        </w:pict>
      </w:r>
    </w:p>
    <w:bookmarkEnd w:id="10"/>
    <w:bookmarkStart w:id="11" w:name="simply-stated"/>
    <w:p>
      <w:pPr>
        <w:pStyle w:val="Heading2"/>
      </w:pPr>
      <w:r>
        <w:t xml:space="preserve">Simply Stated</w:t>
      </w:r>
    </w:p>
    <w:p>
      <w:pPr>
        <w:pStyle w:val="FirstParagraph"/>
      </w:pPr>
      <w:r>
        <w:t xml:space="preserve">Sling surgery is a common operation for stress urinary incontinence, a condition that causes urine leakage with coughing, laughing, or exercise. Several kinds of doctors perform this surgery, including urogynecologists (subspecialists in pelvic floor surgery), general obstetrician-gynecologists, and urologists. Using national Medicare billing records from 2013 to 2023, we looked at who performs these operations and how the work is spread among surgeons. Urogynecologists performed most of the operations, and their share grew over the decade. The total number of billed operations fell, but much of that drop reflects that fewer older adults are now in traditional Medicare; after accounting for that shrinking population, a smaller real decline may remain, though the data cannot pin it down precisely. No small group of very high-volume surgeons dominated the work. These findings describe the traditional Medicare workforce and cannot, by themselves, tell us who should be allowed to perform the surgery.</w:t>
      </w:r>
    </w:p>
    <w:bookmarkEnd w:id="11"/>
    <w:bookmarkStart w:id="12" w:name="why-this-matters"/>
    <w:p>
      <w:pPr>
        <w:pStyle w:val="Heading2"/>
      </w:pPr>
      <w:r>
        <w:t xml:space="preserve">Why This Matters</w:t>
      </w:r>
    </w:p>
    <w:p>
      <w:pPr>
        <w:pStyle w:val="FirstParagraph"/>
      </w:pPr>
      <w:r>
        <w:t xml:space="preserve">The mix of specialties performing stress-incontinence surgery bears on training, credentialing, and patient access, yet national Medicare data on it are limited. This study adds two things. First, it identifies urogynecologists through both the obstetrics-gynecology and urology certification pathways, which avoids undercounting the subspecialty. Second, it shows that raw fee-for-service counts can be misleading: after accounting for the shrinking traditional-Medicare population, the apparent decline in sling surgery largely disappears, and within-year concentration among surgeons stayed low and stable. For clinicians and policymakers, the practical message is that observed shifts reflect changing workforce composition, not consolidation of care into a few hands, and that claims databases must be paired with enrollment denominators and outcome data before they can support credentialing or access decisions.</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Sling surgery is a common operation for stress urinary incontinence (SUI) and remains a standard surgical treatment when conservative care fails.</w:t>
      </w:r>
      <w:r>
        <w:rPr>
          <w:vertAlign w:val="superscript"/>
        </w:rPr>
        <w:t xml:space="preserve">1,2</w:t>
      </w:r>
      <w:r>
        <w:t xml:space="preserve"> </w:t>
      </w:r>
      <w:r>
        <w:t xml:space="preserve">These operations are reported under CPT 57288, whose descriptor is</w:t>
      </w:r>
      <w:r>
        <w:t xml:space="preserve"> </w:t>
      </w:r>
      <w:r>
        <w:t xml:space="preserve">“sling operation for stress incontinence (eg, fascia or synthetic).”</w:t>
      </w:r>
      <w:r>
        <w:t xml:space="preserve"> </w:t>
      </w:r>
      <w:r>
        <w:t xml:space="preserve">The code therefore captures autologous fascial and synthetic sling operations together and does not identify the sling material or distinguish retropubic, transobturator, single-incision, or pubovaginal technique. Despite the procedure’s widespread use, little is known about which specialties perform these operations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changed public perception of mesh and may have affected sling use.</w:t>
      </w:r>
      <w:r>
        <w:rPr>
          <w:vertAlign w:val="superscript"/>
        </w:rPr>
        <w:t xml:space="preserve">7</w:t>
      </w:r>
      <w:r>
        <w:t xml:space="preserve"> </w:t>
      </w:r>
      <w:r>
        <w:t xml:space="preserve">The 2019 FDA order concerned transvaginal mesh for pelvic organ prolapse and did not remove synthetic midurethral slings for stress incontinence from the market; the two devices are frequently conflated in public discussion. 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surgeon-level concentration among physicians performing sling surgery for stress urinary incontinence in fee-for-service Medicare from 2013 through 2023. We also evaluated changes in each specialty’s share of reported services over time.</w:t>
      </w:r>
    </w:p>
    <w:bookmarkEnd w:id="13"/>
    <w:bookmarkStart w:id="18" w:name="materials-and-methods"/>
    <w:p>
      <w:pPr>
        <w:pStyle w:val="Heading2"/>
      </w:pPr>
      <w:r>
        <w:t xml:space="preserve">Materials and Methods</w:t>
      </w:r>
    </w:p>
    <w:bookmarkStart w:id="14"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All 11 annual PUF releases (2013 through 2023) were verified against the CMS file specifications for completeness before analysis.</w:t>
      </w:r>
    </w:p>
    <w:bookmarkEnd w:id="14"/>
    <w:bookmarkStart w:id="15"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Among OB/GYN physicians, the ABOG subspecialty registry (a snapshot of ABOG-certified diplomates linked to NPIs primarily by exact NPI match and, when needed, by full name and practice state)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 This yielded 1666-cohort assignments of URPS, MIGS, and General OB/GYN through the OB/GYN pathway.</w:t>
      </w:r>
    </w:p>
    <w:p>
      <w:pPr>
        <w:pStyle w:val="BodyText"/>
      </w:pPr>
      <w:r>
        <w:t xml:space="preserve">Billers of CPT 57288 who had neither an OB/GYN nor urology CMS provider type and were not in the ABOG registry (323 NPIs) were predominantly facilities (ambulatory surgical centers) and non-physician clinicians (physician assistants, nurse practitioners), not urologists; none matched the ABU roster. We therefore did not assign them to urology. Organizational NPIs (NPPES entity type 2, flagged in the Public Use File by a rendering-provider entity code of</w:t>
      </w:r>
      <w:r>
        <w:t xml:space="preserve"> </w:t>
      </w:r>
      <w:r>
        <w:t xml:space="preserve">“O”</w:t>
      </w:r>
      <w:r>
        <w:t xml:space="preserve">: ambulatory surgical centers, hospitals, laboratories, and groups; 123 NPIs) were excluded because they identify a billing organization rather than an individual clinician and cannot be given a physician specialty. The remaining 200 individual non-physician or unclassifiable clinicians were placed in a distinct</w:t>
      </w:r>
      <w:r>
        <w:t xml:space="preserve"> </w:t>
      </w:r>
      <w:r>
        <w:t xml:space="preserve">“Other/uncertain”</w:t>
      </w:r>
      <w:r>
        <w:t xml:space="preserve"> </w:t>
      </w:r>
      <w:r>
        <w:t xml:space="preserve">group (8.2% of observable services). The full classification flow, with counts at each step, is shown in Figure 3. We report the specialty distribution under three handlings of these billers, as a sensitivity analysis (Supplementary Table S11): the primary</w:t>
      </w:r>
      <w:r>
        <w:t xml:space="preserve"> </w:t>
      </w:r>
      <w:r>
        <w:t xml:space="preserve">“Other/uncertain”</w:t>
      </w:r>
      <w:r>
        <w:t xml:space="preserve"> </w:t>
      </w:r>
      <w:r>
        <w:t xml:space="preserve">grouping, exclusion, and the legacy assignment to urology; the latter inflates the apparent non-URPS urology share roughly two-fold and is not used. A further small number of provider-year records from ABOG-registered NPIs with a miscellaneous CMS type remained</w:t>
      </w:r>
      <w:r>
        <w:t xml:space="preserve"> </w:t>
      </w:r>
      <w:r>
        <w:t xml:space="preserve">“Other”</w:t>
      </w:r>
      <w:r>
        <w:t xml:space="preserve"> </w:t>
      </w:r>
      <w:r>
        <w:t xml:space="preserve">and were excluded.</w:t>
      </w:r>
    </w:p>
    <w:p>
      <w:pPr>
        <w:pStyle w:val="BodyText"/>
      </w:pPr>
      <w:r>
        <w:t xml:space="preserve">We then cross-referenced the American Board of Urology roster (355 urology-pathway urogynecologist NPIs) to identify urology-pathway urogynecologists; 151 cohort physicians matched. These physicians were combined with ABOG-certified urogynecologists into a single all-pathway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Because an all-pathway URPS group includes urology-trained subspecialists who are not gynecologists, we report the all-pathway URPS share separately from the OB/GYN-based share (URPS plus MIGS plus General OB/GYN, restricted to the OB/GYN training pathway), rather than a single</w:t>
      </w:r>
      <w:r>
        <w:t xml:space="preserve"> </w:t>
      </w:r>
      <w:r>
        <w:t xml:space="preserve">“gynecologic”</w:t>
      </w:r>
      <w:r>
        <w:t xml:space="preserve"> </w:t>
      </w:r>
      <w:r>
        <w:t xml:space="preserve">share.</w:t>
      </w:r>
    </w:p>
    <w:p>
      <w:pPr>
        <w:pStyle w:val="BodyText"/>
      </w:pPr>
      <w:r>
        <w:t xml:space="preserve">Specialty assignment could affect the estimated market-share trend because 45% of URPS physicians in the cohort were certified after 2013. We therefore examined two plausible classification scenarios that make opposite assumptions about pre-certification practice years. Fixed-membership classification assigns each physician’s eventual subspecialty to every study year; because it counts physicians as URPS before certification, it tends to produce a shallower estimated slope.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scenario removes some genuine pre-certification practice from the early URPS count and tends to produce a steeper estimated slope. We present these as plausible scenarios rather than formal statistical bounds, because neither assumption is guaranteed to bracket the true trend.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5"/>
    <w:bookmarkStart w:id="16"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Suppression removes the lowest-volume physician-years and can bias the Gini coefficient and HHI in different directions, so the full-market concentration cannot be identified from the Public Use File. We therefore report bootstrap confidence intervals for the Gini coefficient and a sensitivity analysis that adds hypothetical suppressed low-volume providers before recomputing concentration.</w:t>
      </w:r>
    </w:p>
    <w:bookmarkEnd w:id="16"/>
    <w:bookmarkStart w:id="17" w:name="X46ca734e3ebd5db0ec3b7b3638b7437bae62243"/>
    <w:p>
      <w:pPr>
        <w:pStyle w:val="Heading3"/>
      </w:pPr>
      <w:r>
        <w:t xml:space="preserve">Outcome Measures and Statistical Analysis</w:t>
      </w:r>
    </w:p>
    <w:p>
      <w:pPr>
        <w:pStyle w:val="FirstParagraph"/>
      </w:pPr>
      <w:r>
        <w:t xml:space="preserve">The primary surgeon-level outcome was the annual number of CPT 57288 services per provider (Tot_Srvcs, reported services). To describe population utilization over time, we also computed the annual rate of CPT 57288 services per 100,000 female Part B fee-for-service Medicare beneficiaries, using the CMS Program Statistics Original Medicare Enrollment counts (table MDCR ENROLL AB 11, Sex = Female, Part B) as the denominator; absolute service counts are reported as a secondary measure. Because the Public Use File records no beneficiary age for the numerator, the rate is crude and is not age-standardized. We measured surgeon-level concentration with complementary metrics. The Gini coefficient summarizes inequality across the full surgeon-volume distribution, and we bootstrapped its 95% confidence interval by resampling providers. The Herfindahl–Hirschman Index (HHI) sums squared surgeon shares on a 0–10,000 scale and is more sensitive to the largest-volume surgeons. Because the minimum attainable HHI depends on the number of providers, we do not compare raw HHI directly across groups of very different size (URPS 616, General OB/GYN 336, MIGS 10 physicians); we also report the size-adjusted normalized HHI and the effective number of providers (1 divided by the sum of squared shares). Within-year concentration, computed separately for each calendar year, was the primary concentration measure; pooled multi-year values are secondary because they mix annual volume with how many years each physician remained observable.</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eleven annual observations, physician-year records were correlated. We modeled the annual count of reported services, conditional on the physician-year being observable (above the CMS suppression threshold), with a Poisson generalized estimating equation clustered by NPI, using an exchangeable working correlation and robust standard errors. Fixed effects were specialty (URPS reference), calendar year centered at 2018, a specialty-by-year interaction, and a 2020 COVID indicator. Centering at mid-study makes the specialty main effects the adjusted rate ratios at 2018; because the interaction makes the year term specialty-specific, we report each specialty’s annual slope as a marginal linear contrast (the year term plus its interaction) rather than a single overall time effect. We report adjusted rate ratios with 95% CIs. A negative-binomial mixed model with a random intercept for NPI was fit as a sensitivity analysis, and its estimates are reported alongside the GEE. Additional sensitivity analyses excluded calendar year 2020 and restricted the cohort to physicians observable in at least two years.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the URPS market-share trend, we modeled URPS services as a proportion of all annual services with a quasibinomial generalized linear model on calendar year (centered at 2018), which respects the compositional structure that separate ordinary least-squares regressions on annual percentages ignore. We express the trend as an odds ratio per year and as the marginal percentage-point change per year. Separate ordinary least-squares regressions of each specialty’s annual percentage share (URPS, urology, General OB/GYN) are reported as a descriptive sensitivity. MIGS was described without formal emphasis because only 10 physicians were identified.</w:t>
      </w:r>
    </w:p>
    <w:p>
      <w:pPr>
        <w:pStyle w:val="BodyText"/>
      </w:pPr>
      <w:r>
        <w:t xml:space="preserve">To describe observable participation transitions, we used a two-year washout. A surgeon was counted as newly observable in a given year when present but absent in both prior observable years; as continuing when present and not newly observable; and as no longer observable when absent in both subsequent observable years. We tabulated the share of annual volume performed by newly observable surgeons, their median volume, and their distribution by specialty. Because CMS suppression removes providers below 11 beneficiaries, these transitions describe when a surgeon crosses the reporting threshold, not genuine entry into or exit from practice; a surgeon may become unobservable and later reappear. Counts of newly observable surgeons by specialty are episode counts (a physician observed as newly observable in more than one year, after an intervening gap, contributes more than once), not counts of unique physicians.</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state-level population-based rates because state-by-sex fee-for-service enrollment denominators were outside the scope of this analysis; the national utilization rate above uses the national female Part B fee-for-service denominator.</w:t>
      </w:r>
    </w:p>
    <w:p>
      <w:pPr>
        <w:pStyle w:val="BodyText"/>
      </w:pPr>
      <w:r>
        <w:t xml:space="preserve">Analyses were performed in R 4.4, with package versions locked through renv. The complete analytic pipeline is available at</w:t>
      </w:r>
      <w:r>
        <w:t xml:space="preserve"> </w:t>
      </w:r>
      <w:hyperlink r:id="rId9">
        <w:r>
          <w:rPr>
            <w:rStyle w:val="Hyperlink"/>
          </w:rPr>
          <w:t xml:space="preserve">https://github.com/mufflyt/sling-volume-patterns</w:t>
        </w:r>
      </w:hyperlink>
      <w:r>
        <w:t xml:space="preserve">.</w:t>
      </w:r>
    </w:p>
    <w:bookmarkEnd w:id="17"/>
    <w:bookmarkEnd w:id="18"/>
    <w:bookmarkStart w:id="23" w:name="results"/>
    <w:p>
      <w:pPr>
        <w:pStyle w:val="Heading2"/>
      </w:pPr>
      <w:r>
        <w:t xml:space="preserve">Results</w:t>
      </w:r>
    </w:p>
    <w:bookmarkStart w:id="19" w:name="cohort-and-annual-volume"/>
    <w:p>
      <w:pPr>
        <w:pStyle w:val="Heading3"/>
      </w:pPr>
      <w:r>
        <w:t xml:space="preserve">Cohort and Annual Volume</w:t>
      </w:r>
    </w:p>
    <w:p>
      <w:pPr>
        <w:pStyle w:val="FirstParagraph"/>
      </w:pPr>
      <w:r>
        <w:t xml:space="preserve">Across the full 11-year window, 1,666 physicians billed CPT 57288, accounting for 141,009 observed services in 6,569 physician-year observations. Participation was intermittent: 505 physicians (30%) appeared in one year, 707 (42%) in 2–5 years, 349 (21%) in 6–10 years, and 105 (6%) in all 11 years. Thus, only a small proportion maintained an observable Medicare sling practice throughout the study window.</w:t>
      </w:r>
    </w:p>
    <w:p>
      <w:pPr>
        <w:pStyle w:val="BodyText"/>
      </w:pPr>
      <w:r>
        <w:t xml:space="preserve">The observed count of reported services fell from 15,872 in 2013 to 11,470 in 2023 (-27.7%).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-1.9% per year (rate ratio 0.981, 95% CI 0.961-1.002; about -17.3% over the decade), but with only 11 annual observations and the pandemic interruption this trend was not statistically robust (dispersion-adjusted p = 0.119). The rate reached a low of 49.8 per 100,000 in 2020, consistent with pandemic-related deferral of elective surgery, then partially recovered. The number of observable surgeons also fell, from 779 to 522.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9"/>
    <w:bookmarkStart w:id="20" w:name="specialty-distribution-and-trends"/>
    <w:p>
      <w:pPr>
        <w:pStyle w:val="Heading3"/>
      </w:pPr>
      <w:r>
        <w:t xml:space="preserve">Specialty Distribution and Trends</w:t>
      </w:r>
    </w:p>
    <w:p>
      <w:pPr>
        <w:pStyle w:val="FirstParagraph"/>
      </w:pPr>
      <w:r>
        <w:t xml:space="preserve">We separated URPS into its two certification pathways (Table 1). OB/GYN-pathway URPS (ABOG-certified) was the largest single group: 616 physicians, 77,501 services (55%), median annual volume 19 (p25–p75, 14–29). Urology-pathway URPS (ABU roster) added 151 physicians and 12,272 services (8.7%; median 16), so the two URPS pathways together performed 63.7% of observable services. Non-URPS urology included 366 physicians and 20,475 services (14.5%; median 15), other non-URPS OB/GYN 336 physicians and 18,316 services (13%; median 15), the Other/uncertain group 200 clinicians (8.2%), and MIGS 10 physicians (0.7%; median 16).</w:t>
      </w:r>
    </w:p>
    <w:p>
      <w:pPr>
        <w:pStyle w:val="BodyText"/>
      </w:pPr>
      <w:r>
        <w:t xml:space="preserve">Because 13 clinicians changed specialty groups across years, specialty-specific counts exceed the unique cohort total. The urology-pathway URPS group (151 physicians, 12,272 services) would otherwise be classified as general urology, understating the subspecialty and overstating non-URPS urology.</w:t>
      </w:r>
    </w:p>
    <w:p>
      <w:pPr>
        <w:pStyle w:val="BodyText"/>
      </w:pPr>
      <w:r>
        <w:t xml:space="preserve">Annual market shares moved in different directions (Table 1). URPS increased from 45.8% in 2013 to 60.6% in 2023 (+1.42 percentage points/year; 95% CI 1.03 to 1.80; p &lt; 0.001). Urology decreased from 22.4% to 8.3% (-1.28 percentage points/year; 95% CI -1.57 to -0.99; p &lt; 0.001), and General OB/GYN decreased from 16.3% to 13.1% (-0.40 percentage points/year; 95% CI -0.66 to -0.13; p = 0.008). MIGS increased descriptively from 0.2% to 0.9% (+0.08 percentage points/year), but this estimate is based on only 10 physicians. In the quasibinomial model of URPS services out of all annual services, which respects the compositional structure, the URPS share rose from a fitted 48.3% in 2013 to 62.6% in 2023 (odds ratio 1.060 (95% CI 1.046-1.074) per year; 1.44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URPS increase was significant under every classification scenario, which differed in the estimated slope (Table 4). Fixed membership gave the shallower estimate because it counts physicians as URPS before certification: the all-pathway URPS share rose from 55.1% to 68% (+1.12 percentage points/year), and the OB/GYN-based share from 16.5% to 13.9% (+-0.32 percentage points/year). Certification-gated classification gave the steeper estimate, from 43.6% to 66.9% (+1.76 percentage points/year), because it removes not-yet-certified physicians from the early URPS count; the two estimates converged near 66.9% by 2023.</w:t>
      </w:r>
    </w:p>
    <w:p>
      <w:pPr>
        <w:pStyle w:val="BodyText"/>
      </w:pPr>
      <w:r>
        <w:t xml:space="preserve">In the Poisson GEE clustered by NPI (reference = OB/GYN-pathway URPS; calendar year centered at 2018), adjusted annual volume at mid-study was lower than OB/GYN-pathway URPS for every other group, including urology-pathway URPS (RR 0.76 (0.68–0.84)), non-URPS urology (RR 0.71 (0.59–0.85)), other non-URPS OB/GYN (RR 0.63 (0.44–0.90)), and MIGS (RR 0.81 (0.51–1.29)) (Table 3). Annual volume was approximately 11% lower in 2020 (RR 0.88 (0.85–0.91); p &lt; 0.001). The specialty-by-year interaction showed that per-physician volume was essentially flat over time for the well-populated groups (OB/GYN-pathway URPS RR 0.999 (0.990-1.007), p = 0.776; urology-pathway URPS RR 0.988 (0.974-1.002), p = 0.089; non-URPS urology RR 0.986 (0.968-1.004), p = 0.137; other OB/GYN RR 0.996 (0.973-1.020), p = 0.760), increasing only for the 10-physician MIGS group (RR 1.085 (1.031-1.142); p = 0.002) (Table 3). A negative-binomial mixed model with a random intercept per NPI reproduced the direction but with attenuated magnitude (urology RR 0.78 (0.74–0.82), General OB/GYN RR 0.81 (0.77–0.85), 2020 RR 0.90 (0.87–0.93)); the attenuation is expected because the GEE estimates a population-averaged (marginal) rate ratio whereas the mixed model estimates a physician-conditional one. The one-observation-per-physician secondary analysis agreed (Kruskal-Wallis H = 97.4, df = 5,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20"/>
    <w:bookmarkStart w:id="21" w:name="surgeon-volume-and-concentration"/>
    <w:p>
      <w:pPr>
        <w:pStyle w:val="Heading3"/>
      </w:pPr>
      <w:r>
        <w:t xml:space="preserve">Surgeon Volume and Concentration</w:t>
      </w:r>
    </w:p>
    <w:p>
      <w:pPr>
        <w:pStyle w:val="FirstParagraph"/>
      </w:pPr>
      <w:r>
        <w:t xml:space="preserve">The primary concentration analysis was within-year. Within-year concentration was low and stable across the study period: the annual Gini ranged from 0.26 to 0.28, with no temporal trend (p = 0.451), and the annual top 20% performed approximately 38% of cases. No specialty-specific annual Gini changed significantly (all p &gt; 0.15). Thus, care did not become concentrated among a smaller group of high-volume surgeons as the observable surgeon pool contracted.</w:t>
      </w:r>
    </w:p>
    <w:p>
      <w:pPr>
        <w:pStyle w:val="BodyText"/>
      </w:pPr>
      <w:r>
        <w:t xml:space="preserve">Pooled multi-year concentration was modest for every group: URPS Gini 0.51 (95% CI 0.48-0.53), urology Gini 0.52 (95% CI 0.49-0.55), and other non-URPS OB/GYN Gini 0.56 (95% CI 0.52-0.60) (Table 2). Because overlapping individual confidence intervals are not a test of between-group difference, we bootstrapped the pairwise differences: URPS and urology did not differ (Gini difference -0.016 (95% CI -0.050 to +0.021)), whereas URPS was modestly less concentrated than other OB/GYN (-0.056 (95% CI -0.098 to -0.006), confidence interval excluding zero). The size-adjusted normalized HHI was near zero for every group (URPS 0.002, urology 0.004, other OB/GYN 0.006 on a 0–1 scale). The effective number of providers, expressed as a fraction of the actual provider count, showed a gradient (URPS 305 of 616, 50%; urology 42%; other OB/GYN 33%), indicating that sling volume was distributed across many surgeons rather than dominated by a few, though somewhat less evenly in the smaller groups. Because the specialties differ several-fold in provider count, raw HHI is not directly comparable across them (Table 2). Adding hypothetical suppressed low-volume providers raised the Gini (Supplementary Table S8): under the 50% scenario the URPS Gini rose from 0.51 toward the mid-0.6 range, so the sensitivity supports only the narrower claim that observed services were not dominated by a handful of surgeons, not a precise estimate of the full-market distribution. URPS had the highest median annual volume and upper quartile (median 19; p75 29). MIGS was excluded from these comparisons because only 10 physicians were identified (1–4 per year); its estimates are exploratory.</w:t>
      </w:r>
    </w:p>
    <w:bookmarkEnd w:id="21"/>
    <w:bookmarkStart w:id="22" w:name="workforce-entry-and-exit"/>
    <w:p>
      <w:pPr>
        <w:pStyle w:val="Heading3"/>
      </w:pPr>
      <w:r>
        <w:t xml:space="preserve">Workforce Entry and Exit</w:t>
      </w:r>
    </w:p>
    <w:p>
      <w:pPr>
        <w:pStyle w:val="FirstParagraph"/>
      </w:pPr>
      <w:r>
        <w:t xml:space="preserve">Using the two-year washout (Supplementary Table S9), 46–150 surgeons became newly observable each year and performed 7.4%–21.7% of annual volume. Their median volume was low, at approximately 13 services, consistent with surgeons appearing just above the CMS suppression threshold. Newly observable counts fell to 46 surgeons (7.4% of volume) in 2020, then rebounded to 150 (21.7%) in 2022; the 2022 rebound may partly reflect re-observation of surgeons who fell below the threshold during the pandemic rather than genuinely new surgeons. Continuing surgeons (357–559 per year) performed most annual services, while surgeons no longer observable ranged from 64 to 212 per year.</w:t>
      </w:r>
    </w:p>
    <w:p>
      <w:pPr>
        <w:pStyle w:val="BodyText"/>
      </w:pPr>
      <w:r>
        <w:t xml:space="preserve">Across the study period, URPS accounted for the most newly observable episodes (480), followed by urology (165), General OB/GYN (205), and MIGS (8); these are episode counts, not unique physicians. The rising URPS share coincided with the largest inflow of newly observable surgeons together with a relatively stable continuing-URPS base (URPS surgeon count 304 to 293;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2"/>
    <w:bookmarkEnd w:id="23"/>
    <w:bookmarkStart w:id="29" w:name="discussion"/>
    <w:p>
      <w:pPr>
        <w:pStyle w:val="Heading2"/>
      </w:pPr>
      <w:r>
        <w:t xml:space="preserve">Discussion</w:t>
      </w:r>
    </w:p>
    <w:p>
      <w:pPr>
        <w:pStyle w:val="FirstParagraph"/>
      </w:pPr>
      <w:r>
        <w:t xml:space="preserve">This national Medicare analysis produced three main findings. First, OB/GYN-pathway URPS was the largest single group (55%) and had the highest adjusted per-physician volume, and the two URPS pathways together performed the majority (63.7%) of observable services. Second, the OB/GYN-pathway URPS share increased over the decade, coinciding with more URPS surgeons becoming observable and fewer non-URPS surgeons remaining observable, while the urology-pathway URPS share was roughly stable. Third, surgeon-level concentration remained low and stable despite a shrinking observable surgeon pool. Together, these findings indicate a change in the composition of observable fee-for-service practice rather than intensification of individual practice or concentration of care; they are best read as a practice-pattern study, not a study of entry into or exit from the clinical workforce.</w:t>
      </w:r>
    </w:p>
    <w:bookmarkStart w:id="24" w:name="X91e1c95b037f473535ecf00410a7735e835e926"/>
    <w:p>
      <w:pPr>
        <w:pStyle w:val="Heading3"/>
      </w:pPr>
      <w:r>
        <w:t xml:space="preserve">Specialty Distribution and the Historical Reversal</w:t>
      </w:r>
    </w:p>
    <w:p>
      <w:pPr>
        <w:pStyle w:val="FirstParagraph"/>
      </w:pPr>
      <w:r>
        <w:t xml:space="preserve">The two URPS pathways together performed approximately three-fifths of observable fee-for-service Medicare slings (63.7%; OB/GYN pathway 55%, urology pathway 8.7%), and non-URPS urologists a much smaller share (14.5%). Because the all-pathway URPS group also includes urology-trained subspecialists, the URPS share is not equivalent to a gynecologist share. The apparent non-URPS urology share is sensitive to classification: a naive provider-type approach that assigns ambulatory surgical centers and non-physician billers to urology roughly doubles it (Supplementary Table S11), which likely explains why some earlier analyses reported a larger urology share. Direct comparison with prior studies is limited because they used different datasets, specialty definitions, and care settings. In ACS-NSQIP data from 2006 through 2013, James et al. reported that gynecologists performed 74.2% of sling procedures and urologists 25.8%;</w:t>
      </w:r>
      <w:r>
        <w:rPr>
          <w:vertAlign w:val="superscript"/>
        </w:rPr>
        <w:t xml:space="preserve">9</w:t>
      </w:r>
      <w:r>
        <w:t xml:space="preserve"> </w:t>
      </w:r>
      <w:r>
        <w:t xml:space="preserve">Cantrell et al. found urogynecologists performed 54% of stress-incontinence procedures at academic centers from 2009 through 2014;</w:t>
      </w:r>
      <w:r>
        <w:rPr>
          <w:vertAlign w:val="superscript"/>
        </w:rPr>
        <w:t xml:space="preserve">10</w:t>
      </w:r>
      <w:r>
        <w:t xml:space="preserve"> </w:t>
      </w:r>
      <w:r>
        <w:t xml:space="preserve">and in Medicare data from 2002 through 2007, Rogo-Gupta et al. found urologists performed most sling operations.</w:t>
      </w:r>
      <w:r>
        <w:rPr>
          <w:vertAlign w:val="superscript"/>
        </w:rPr>
        <w:t xml:space="preserve">11</w:t>
      </w:r>
      <w:r>
        <w:t xml:space="preserve"> </w:t>
      </w:r>
      <w:r>
        <w:t xml:space="preserve">Rather than asserting a single historical reversal across these heterogeneous sources, we conclude more cautiously that OB/GYN-pathway URPS was the largest single contemporary fee-for-service Medicare group performing this procedure.</w:t>
      </w:r>
    </w:p>
    <w:p>
      <w:pPr>
        <w:pStyle w:val="BodyText"/>
      </w:pPr>
      <w:r>
        <w:t xml:space="preserve">Including both certification pathways was essential to this result. Cross-referencing the ABU roster reassigned 151 urology-typed physicians, representing 8.7% of all sling procedures, to URPS. The concentration estimate was robust: the pooled URPS Gini changed only from 0.51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4"/>
    <w:bookmarkStart w:id="25"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0.51–0.56, with overlapping confidence intervals across the well-populated groups) coexisted with size-adjusted normalized HHI values near zero and effective provider counts in the hundreds. In other words, sling volume was distributed unevenly across many surgeons but was not dominated by a few, and the well-populated specialties did not differ meaningfully in concentration. Because the physician was the production unit, these values describe surgeon-level procedural concentration rather than market competition, and they should not be interpreted using antitrust thresholds.</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fee-for-service Medicare medians of 15–19 services per year cannot be compared directly with all-payer thresholds such as approximately 50 operations per year, because the PUF omits commercially insured, Medicare Advantage, and younger patients and providers below the CMS suppression threshold; total surgeon experience is therefore higher than the observed Medicare median, and Medicare PUF volume is an incomplete proxy for it.</w:t>
      </w:r>
    </w:p>
    <w:bookmarkEnd w:id="25"/>
    <w:bookmarkStart w:id="26"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URPS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6"/>
    <w:bookmarkStart w:id="27"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suppression can bias the Gini coefficient and HHI in different directions, and the full-market concentration cannot be identified from the Public Use File, although a sensitivity analysis adding hypothetical suppressed providers left the low-concentration conclusion unchanged.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and the 323 providers reclassified from an adjacent provider type to urology could be misassigned. Fourth, the market-share trend is estimated under plausible classification scenarios rather than point-identified. Certification follows the start of subspecialty practice, so the certification-gated scenario assigns some pre-certification practice years to General OB/GYN or urology, whereas fixed membership assigns physicians to URPS before they subspecialized. We present these as plausible scenarios, not formal bounds; point identification would require unavailable fellowship-completion dates.</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7"/>
    <w:bookmarkStart w:id="28" w:name="strengths"/>
    <w:p>
      <w:pPr>
        <w:pStyle w:val="Heading3"/>
      </w:pPr>
      <w:r>
        <w:t xml:space="preserve">Strengths</w:t>
      </w:r>
    </w:p>
    <w:p>
      <w:pPr>
        <w:pStyle w:val="FirstParagraph"/>
      </w:pPr>
      <w:r>
        <w:t xml:space="preserve">Strengths include a national sample of all publicly reported, nonsuppressed fee-for-service provider-service records; identification of urogynecologists through both certification pathways; complementary surgeon-level concentration measures with bootstrap confidence intervals, calculated both overall and by year; models that account for repeated observations within physicians; transparent handling of ambiguous and facility billers with sensitivity analyses; and a fully reproducible analytic pipeline.</w:t>
      </w:r>
    </w:p>
    <w:bookmarkEnd w:id="28"/>
    <w:bookmarkEnd w:id="29"/>
    <w:bookmarkStart w:id="30" w:name="conclusions"/>
    <w:p>
      <w:pPr>
        <w:pStyle w:val="Heading2"/>
      </w:pPr>
      <w:r>
        <w:t xml:space="preserve">Conclusions</w:t>
      </w:r>
    </w:p>
    <w:p>
      <w:pPr>
        <w:pStyle w:val="FirstParagraph"/>
      </w:pPr>
      <w:r>
        <w:t xml:space="preserve">Among observable fee-for-service Medicare claims, the proportion of sling services for stress urinary incontinence performed by all-pathway URPS physicians increased between 2013 and 2023, while observable participation by non-URPS physicians declined. Within-year surgeon-level concentration remained low and stable and did not differ meaningfully across the well-populated specialties. Because the data exclude low-volume physician-years and Medicare Advantage claims and do not distinguish synthetic midurethral from fascial sling procedures, these findings describe changes in the observable fee-for-service workforce rather than the entire national sling market. They may inform workforce surveillance and fellowship planning; studies linking all-payer volume, geographic access, and patient outcomes are needed before drawing credentialing implications.</w:t>
      </w:r>
    </w:p>
    <w:bookmarkEnd w:id="30"/>
    <w:bookmarkStart w:id="32"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1">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2"/>
    <w:bookmarkStart w:id="33"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clinicians billing CPT 57288, Medicare PUF 2013–2023, with URPS split by certification pathway. Δ share is the annual percentage-point change from ordinary least-squares regression on calendar year. Specialty-specific physician counts exceed 1,666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 OB/GYN pathway</w:t>
            </w:r>
          </w:p>
        </w:tc>
        <w:tc>
          <w:tcPr/>
          <w:p>
            <w:pPr>
              <w:pStyle w:val="Compact"/>
            </w:pPr>
            <w:r>
              <w:t xml:space="preserve">616</w:t>
            </w:r>
          </w:p>
        </w:tc>
        <w:tc>
          <w:tcPr/>
          <w:p>
            <w:pPr>
              <w:pStyle w:val="Compact"/>
            </w:pPr>
            <w:r>
              <w:t xml:space="preserve">3,272</w:t>
            </w:r>
          </w:p>
        </w:tc>
        <w:tc>
          <w:tcPr/>
          <w:p>
            <w:pPr>
              <w:pStyle w:val="Compact"/>
            </w:pPr>
            <w:r>
              <w:t xml:space="preserve">77,501</w:t>
            </w:r>
          </w:p>
        </w:tc>
        <w:tc>
          <w:tcPr/>
          <w:p>
            <w:pPr>
              <w:pStyle w:val="Compact"/>
            </w:pPr>
            <w:r>
              <w:t xml:space="preserve">55.0%</w:t>
            </w:r>
          </w:p>
        </w:tc>
        <w:tc>
          <w:tcPr/>
          <w:p>
            <w:pPr>
              <w:pStyle w:val="Compact"/>
            </w:pPr>
            <w:r>
              <w:t xml:space="preserve">19 (14–29)</w:t>
            </w:r>
          </w:p>
        </w:tc>
        <w:tc>
          <w:tcPr/>
          <w:p>
            <w:pPr>
              <w:pStyle w:val="Compact"/>
            </w:pPr>
            <w:r>
              <w:t xml:space="preserve">45.8%</w:t>
            </w:r>
          </w:p>
        </w:tc>
        <w:tc>
          <w:tcPr/>
          <w:p>
            <w:pPr>
              <w:pStyle w:val="Compact"/>
            </w:pPr>
            <w:r>
              <w:t xml:space="preserve">60.6%</w:t>
            </w:r>
          </w:p>
        </w:tc>
        <w:tc>
          <w:tcPr/>
          <w:p>
            <w:pPr>
              <w:pStyle w:val="Compact"/>
            </w:pPr>
            <w:r>
              <w:t xml:space="preserve">+1.42 (1.03 to 1.80)</w:t>
            </w:r>
          </w:p>
        </w:tc>
        <w:tc>
          <w:tcPr/>
          <w:p>
            <w:pPr>
              <w:pStyle w:val="Compact"/>
            </w:pPr>
            <w:r>
              <w:t xml:space="preserve">&lt;0.001</w:t>
            </w:r>
          </w:p>
        </w:tc>
      </w:tr>
      <w:tr>
        <w:tc>
          <w:tcPr/>
          <w:p>
            <w:pPr>
              <w:pStyle w:val="Compact"/>
            </w:pPr>
            <w:r>
              <w:t xml:space="preserve">URPS, urology pathway</w:t>
            </w:r>
          </w:p>
        </w:tc>
        <w:tc>
          <w:tcPr/>
          <w:p>
            <w:pPr>
              <w:pStyle w:val="Compact"/>
            </w:pPr>
            <w:r>
              <w:t xml:space="preserve">151</w:t>
            </w:r>
          </w:p>
        </w:tc>
        <w:tc>
          <w:tcPr/>
          <w:p>
            <w:pPr>
              <w:pStyle w:val="Compact"/>
            </w:pPr>
            <w:r>
              <w:t xml:space="preserve">641</w:t>
            </w:r>
          </w:p>
        </w:tc>
        <w:tc>
          <w:tcPr/>
          <w:p>
            <w:pPr>
              <w:pStyle w:val="Compact"/>
            </w:pPr>
            <w:r>
              <w:t xml:space="preserve">12,272</w:t>
            </w:r>
          </w:p>
        </w:tc>
        <w:tc>
          <w:tcPr/>
          <w:p>
            <w:pPr>
              <w:pStyle w:val="Compact"/>
            </w:pPr>
            <w:r>
              <w:t xml:space="preserve">8.7%</w:t>
            </w:r>
          </w:p>
        </w:tc>
        <w:tc>
          <w:tcPr/>
          <w:p>
            <w:pPr>
              <w:pStyle w:val="Compact"/>
            </w:pPr>
            <w:r>
              <w:t xml:space="preserve">16 (13–22)</w:t>
            </w:r>
          </w:p>
        </w:tc>
        <w:tc>
          <w:tcPr/>
          <w:p>
            <w:pPr>
              <w:pStyle w:val="Compact"/>
            </w:pPr>
            <w:r>
              <w:t xml:space="preserve">9.3%</w:t>
            </w:r>
          </w:p>
        </w:tc>
        <w:tc>
          <w:tcPr/>
          <w:p>
            <w:pPr>
              <w:pStyle w:val="Compact"/>
            </w:pPr>
            <w:r>
              <w:t xml:space="preserve">7.4%</w:t>
            </w:r>
          </w:p>
        </w:tc>
        <w:tc>
          <w:tcPr/>
          <w:p>
            <w:pPr>
              <w:pStyle w:val="Compact"/>
            </w:pPr>
            <w:r>
              <w:t xml:space="preserve">-0.30 (-0.45 to -0.15)</w:t>
            </w:r>
          </w:p>
        </w:tc>
        <w:tc>
          <w:tcPr/>
          <w:p>
            <w:pPr>
              <w:pStyle w:val="Compact"/>
            </w:pPr>
            <w:r>
              <w:t xml:space="preserve">0.001</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14.5%</w:t>
            </w:r>
          </w:p>
        </w:tc>
        <w:tc>
          <w:tcPr/>
          <w:p>
            <w:pPr>
              <w:pStyle w:val="Compact"/>
            </w:pPr>
            <w:r>
              <w:t xml:space="preserve">15 (12–20)</w:t>
            </w:r>
          </w:p>
        </w:tc>
        <w:tc>
          <w:tcPr/>
          <w:p>
            <w:pPr>
              <w:pStyle w:val="Compact"/>
            </w:pPr>
            <w:r>
              <w:t xml:space="preserve">22.4%</w:t>
            </w:r>
          </w:p>
        </w:tc>
        <w:tc>
          <w:tcPr/>
          <w:p>
            <w:pPr>
              <w:pStyle w:val="Compact"/>
            </w:pPr>
            <w:r>
              <w:t xml:space="preserve">8.3%</w:t>
            </w:r>
          </w:p>
        </w:tc>
        <w:tc>
          <w:tcPr/>
          <w:p>
            <w:pPr>
              <w:pStyle w:val="Compact"/>
            </w:pPr>
            <w:r>
              <w:t xml:space="preserve">-1.28 (-1.57 to -0.99)</w:t>
            </w:r>
          </w:p>
        </w:tc>
        <w:tc>
          <w:tcPr/>
          <w:p>
            <w:pPr>
              <w:pStyle w:val="Compact"/>
            </w:pPr>
            <w:r>
              <w:t xml:space="preserve">&lt;0.001</w:t>
            </w:r>
          </w:p>
        </w:tc>
      </w:tr>
      <w:tr>
        <w:tc>
          <w:tcPr/>
          <w:p>
            <w:pPr>
              <w:pStyle w:val="Compact"/>
            </w:pPr>
            <w:r>
              <w:t xml:space="preserve">Other non-URPS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13.0%</w:t>
            </w:r>
          </w:p>
        </w:tc>
        <w:tc>
          <w:tcPr/>
          <w:p>
            <w:pPr>
              <w:pStyle w:val="Compact"/>
            </w:pPr>
            <w:r>
              <w:t xml:space="preserve">15 (12–22)</w:t>
            </w:r>
          </w:p>
        </w:tc>
        <w:tc>
          <w:tcPr/>
          <w:p>
            <w:pPr>
              <w:pStyle w:val="Compact"/>
            </w:pPr>
            <w:r>
              <w:t xml:space="preserve">16.3%</w:t>
            </w:r>
          </w:p>
        </w:tc>
        <w:tc>
          <w:tcPr/>
          <w:p>
            <w:pPr>
              <w:pStyle w:val="Compact"/>
            </w:pPr>
            <w:r>
              <w:t xml:space="preserve">13.1%</w:t>
            </w:r>
          </w:p>
        </w:tc>
        <w:tc>
          <w:tcPr/>
          <w:p>
            <w:pPr>
              <w:pStyle w:val="Compact"/>
            </w:pPr>
            <w:r>
              <w:t xml:space="preserve">-0.40 (-0.66 to -0.13)</w:t>
            </w:r>
          </w:p>
        </w:tc>
        <w:tc>
          <w:tcPr/>
          <w:p>
            <w:pPr>
              <w:pStyle w:val="Compact"/>
            </w:pPr>
            <w:r>
              <w:t xml:space="preserve">0.008</w:t>
            </w:r>
          </w:p>
        </w:tc>
      </w:tr>
      <w:tr>
        <w:tc>
          <w:tcPr/>
          <w:p>
            <w:pPr>
              <w:pStyle w:val="Compact"/>
            </w:pPr>
            <w:r>
              <w:t xml:space="preserve">Other/uncertain</w:t>
            </w:r>
          </w:p>
        </w:tc>
        <w:tc>
          <w:tcPr/>
          <w:p>
            <w:pPr>
              <w:pStyle w:val="Compact"/>
            </w:pPr>
            <w:r>
              <w:t xml:space="preserve">200</w:t>
            </w:r>
          </w:p>
        </w:tc>
        <w:tc>
          <w:tcPr/>
          <w:p>
            <w:pPr>
              <w:pStyle w:val="Compact"/>
            </w:pPr>
            <w:r>
              <w:t xml:space="preserve">514</w:t>
            </w:r>
          </w:p>
        </w:tc>
        <w:tc>
          <w:tcPr/>
          <w:p>
            <w:pPr>
              <w:pStyle w:val="Compact"/>
            </w:pPr>
            <w:r>
              <w:t xml:space="preserve">11,504</w:t>
            </w:r>
          </w:p>
        </w:tc>
        <w:tc>
          <w:tcPr/>
          <w:p>
            <w:pPr>
              <w:pStyle w:val="Compact"/>
            </w:pPr>
            <w:r>
              <w:t xml:space="preserve">8.2%</w:t>
            </w:r>
          </w:p>
        </w:tc>
        <w:tc>
          <w:tcPr/>
          <w:p>
            <w:pPr>
              <w:pStyle w:val="Compact"/>
            </w:pPr>
            <w:r>
              <w:t xml:space="preserve">18 (13–27)</w:t>
            </w:r>
          </w:p>
        </w:tc>
        <w:tc>
          <w:tcPr/>
          <w:p>
            <w:pPr>
              <w:pStyle w:val="Compact"/>
            </w:pPr>
            <w:r>
              <w:t xml:space="preserve">6.0%</w:t>
            </w:r>
          </w:p>
        </w:tc>
        <w:tc>
          <w:tcPr/>
          <w:p>
            <w:pPr>
              <w:pStyle w:val="Compact"/>
            </w:pPr>
            <w:r>
              <w:t xml:space="preserve">9.8%</w:t>
            </w:r>
          </w:p>
        </w:tc>
        <w:tc>
          <w:tcPr/>
          <w:p>
            <w:pPr>
              <w:pStyle w:val="Compact"/>
            </w:pPr>
            <w:r>
              <w:t xml:space="preserve">+0.49 (0.33 to 0.64)</w:t>
            </w:r>
          </w:p>
        </w:tc>
        <w:tc>
          <w:tcPr/>
          <w:p>
            <w:pPr>
              <w:pStyle w:val="Compact"/>
            </w:pPr>
            <w:r>
              <w:t xml:space="preserve">&lt;0.001</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0.9%</w:t>
            </w:r>
          </w:p>
        </w:tc>
        <w:tc>
          <w:tcPr/>
          <w:p>
            <w:pPr>
              <w:pStyle w:val="Compact"/>
            </w:pPr>
            <w:r>
              <w:t xml:space="preserve">+0.08 (0.03 to 0.12)*</w:t>
            </w:r>
          </w:p>
        </w:tc>
        <w:tc>
          <w:tcPr/>
          <w:p>
            <w:pPr>
              <w:pStyle w:val="Compact"/>
            </w:pPr>
            <w:r>
              <w:t xml:space="preserve">0.004</w:t>
            </w:r>
          </w:p>
        </w:tc>
      </w:tr>
      <w:tr>
        <w:tc>
          <w:tcPr/>
          <w:p>
            <w:pPr>
              <w:pStyle w:val="Compact"/>
            </w:pPr>
            <w:r>
              <w:rPr>
                <w:b/>
                <w:bCs/>
              </w:rPr>
              <w:t xml:space="preserve">Total</w:t>
            </w:r>
          </w:p>
        </w:tc>
        <w:tc>
          <w:tcPr/>
          <w:p>
            <w:pPr>
              <w:pStyle w:val="Compact"/>
            </w:pPr>
            <w:r>
              <w:rPr>
                <w:b/>
                <w:bCs/>
              </w:rPr>
              <w:t xml:space="preserve">1,666</w:t>
            </w:r>
          </w:p>
        </w:tc>
        <w:tc>
          <w:tcPr/>
          <w:p>
            <w:pPr>
              <w:pStyle w:val="Compact"/>
            </w:pPr>
            <w:r>
              <w:rPr>
                <w:b/>
                <w:bCs/>
              </w:rPr>
              <w:t xml:space="preserve">6,569</w:t>
            </w:r>
          </w:p>
        </w:tc>
        <w:tc>
          <w:tcPr/>
          <w:p>
            <w:pPr>
              <w:pStyle w:val="Compact"/>
            </w:pPr>
            <w:r>
              <w:rPr>
                <w:b/>
                <w:bCs/>
              </w:rPr>
              <w:t xml:space="preserve">141,009</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480"/>
        <w:gridCol w:w="837"/>
        <w:gridCol w:w="386"/>
        <w:gridCol w:w="1030"/>
        <w:gridCol w:w="1030"/>
        <w:gridCol w:w="1352"/>
        <w:gridCol w:w="901"/>
        <w:gridCol w:w="901"/>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 OB/GYN pathway</w:t>
            </w:r>
          </w:p>
        </w:tc>
        <w:tc>
          <w:tcPr/>
          <w:p>
            <w:pPr>
              <w:pStyle w:val="Compact"/>
            </w:pPr>
            <w:r>
              <w:t xml:space="preserve">616</w:t>
            </w:r>
          </w:p>
        </w:tc>
        <w:tc>
          <w:tcPr/>
          <w:p>
            <w:pPr>
              <w:pStyle w:val="Compact"/>
            </w:pPr>
            <w:r>
              <w:t xml:space="preserve">0.51</w:t>
            </w:r>
          </w:p>
        </w:tc>
        <w:tc>
          <w:tcPr/>
          <w:p>
            <w:pPr>
              <w:pStyle w:val="Compact"/>
            </w:pPr>
            <w:r>
              <w:t xml:space="preserve">33</w:t>
            </w:r>
          </w:p>
        </w:tc>
        <w:tc>
          <w:tcPr/>
          <w:p>
            <w:pPr>
              <w:pStyle w:val="Compact"/>
            </w:pPr>
            <w:r>
              <w:t xml:space="preserve">0.002</w:t>
            </w:r>
          </w:p>
        </w:tc>
        <w:tc>
          <w:tcPr/>
          <w:p>
            <w:pPr>
              <w:pStyle w:val="Compact"/>
            </w:pPr>
            <w:r>
              <w:t xml:space="preserve">305</w:t>
            </w:r>
          </w:p>
        </w:tc>
        <w:tc>
          <w:tcPr/>
          <w:p>
            <w:pPr>
              <w:pStyle w:val="Compact"/>
            </w:pPr>
            <w:r>
              <w:t xml:space="preserve">33.6%</w:t>
            </w:r>
          </w:p>
        </w:tc>
        <w:tc>
          <w:tcPr/>
          <w:p>
            <w:pPr>
              <w:pStyle w:val="Compact"/>
            </w:pPr>
            <w:r>
              <w:t xml:space="preserve">53.0%</w:t>
            </w:r>
          </w:p>
        </w:tc>
      </w:tr>
      <w:tr>
        <w:tc>
          <w:tcPr/>
          <w:p>
            <w:pPr>
              <w:pStyle w:val="Compact"/>
            </w:pPr>
            <w:r>
              <w:t xml:space="preserve">URPS, urology pathway</w:t>
            </w:r>
          </w:p>
        </w:tc>
        <w:tc>
          <w:tcPr/>
          <w:p>
            <w:pPr>
              <w:pStyle w:val="Compact"/>
            </w:pPr>
            <w:r>
              <w:t xml:space="preserve">151</w:t>
            </w:r>
          </w:p>
        </w:tc>
        <w:tc>
          <w:tcPr/>
          <w:p>
            <w:pPr>
              <w:pStyle w:val="Compact"/>
            </w:pPr>
            <w:r>
              <w:t xml:space="preserve">0.53</w:t>
            </w:r>
          </w:p>
        </w:tc>
        <w:tc>
          <w:tcPr/>
          <w:p>
            <w:pPr>
              <w:pStyle w:val="Compact"/>
            </w:pPr>
            <w:r>
              <w:t xml:space="preserve">149</w:t>
            </w:r>
          </w:p>
        </w:tc>
        <w:tc>
          <w:tcPr/>
          <w:p>
            <w:pPr>
              <w:pStyle w:val="Compact"/>
            </w:pPr>
            <w:r>
              <w:t xml:space="preserve">0.008</w:t>
            </w:r>
          </w:p>
        </w:tc>
        <w:tc>
          <w:tcPr/>
          <w:p>
            <w:pPr>
              <w:pStyle w:val="Compact"/>
            </w:pPr>
            <w:r>
              <w:t xml:space="preserve">67</w:t>
            </w:r>
          </w:p>
        </w:tc>
        <w:tc>
          <w:tcPr/>
          <w:p>
            <w:pPr>
              <w:pStyle w:val="Compact"/>
            </w:pPr>
            <w:r>
              <w:t xml:space="preserve">36.2%</w:t>
            </w:r>
          </w:p>
        </w:tc>
        <w:tc>
          <w:tcPr/>
          <w:p>
            <w:pPr>
              <w:pStyle w:val="Compact"/>
            </w:pPr>
            <w:r>
              <w:t xml:space="preserve">56.9%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Other non-URPS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(OB/GYN-pathway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pct" w:w="5000"/>
        <w:tblLayout w:type="fixed"/>
        <w:tblLook w:firstRow="1" w:lastRow="0" w:firstColumn="0" w:lastColumn="0" w:noHBand="0" w:noVBand="0" w:val="0020"/>
      </w:tblPr>
      <w:tblGrid>
        <w:gridCol w:w="4873"/>
        <w:gridCol w:w="2132"/>
        <w:gridCol w:w="913"/>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URPS urology vs URPS OB/GYN (at 2018)</w:t>
            </w:r>
          </w:p>
        </w:tc>
        <w:tc>
          <w:tcPr/>
          <w:p>
            <w:pPr>
              <w:pStyle w:val="Compact"/>
            </w:pPr>
            <w:r>
              <w:t xml:space="preserve">0.76 (0.68–0.84)</w:t>
            </w:r>
          </w:p>
        </w:tc>
        <w:tc>
          <w:tcPr/>
          <w:p>
            <w:pPr>
              <w:pStyle w:val="Compact"/>
            </w:pPr>
            <w:r>
              <w:t xml:space="preserve">&lt;0.001</w:t>
            </w:r>
          </w:p>
        </w:tc>
      </w:tr>
      <w:tr>
        <w:tc>
          <w:tcPr/>
          <w:p>
            <w:pPr>
              <w:pStyle w:val="Compact"/>
            </w:pPr>
            <w:r>
              <w:t xml:space="preserve">Non-URPS urology vs URPS OB/GYN (at 2018)</w:t>
            </w:r>
          </w:p>
        </w:tc>
        <w:tc>
          <w:tcPr/>
          <w:p>
            <w:pPr>
              <w:pStyle w:val="Compact"/>
            </w:pPr>
            <w:r>
              <w:t xml:space="preserve">0.71 (0.59–0.85)</w:t>
            </w:r>
          </w:p>
        </w:tc>
        <w:tc>
          <w:tcPr/>
          <w:p>
            <w:pPr>
              <w:pStyle w:val="Compact"/>
            </w:pPr>
            <w:r>
              <w:t xml:space="preserve">&lt;0.001</w:t>
            </w:r>
          </w:p>
        </w:tc>
      </w:tr>
      <w:tr>
        <w:tc>
          <w:tcPr/>
          <w:p>
            <w:pPr>
              <w:pStyle w:val="Compact"/>
            </w:pPr>
            <w:r>
              <w:t xml:space="preserve">Other non-URPS OB/GYN vs URPS OB/GYN (at 2018)</w:t>
            </w:r>
          </w:p>
        </w:tc>
        <w:tc>
          <w:tcPr/>
          <w:p>
            <w:pPr>
              <w:pStyle w:val="Compact"/>
            </w:pPr>
            <w:r>
              <w:t xml:space="preserve">0.63 (0.44–0.90)</w:t>
            </w:r>
          </w:p>
        </w:tc>
        <w:tc>
          <w:tcPr/>
          <w:p>
            <w:pPr>
              <w:pStyle w:val="Compact"/>
            </w:pPr>
            <w:r>
              <w:t xml:space="preserve">0.011</w:t>
            </w:r>
          </w:p>
        </w:tc>
      </w:tr>
      <w:tr>
        <w:tc>
          <w:tcPr/>
          <w:p>
            <w:pPr>
              <w:pStyle w:val="Compact"/>
            </w:pPr>
            <w:r>
              <w:t xml:space="preserve">MIGS vs URPS OB/GYN (at 2018)</w:t>
            </w:r>
          </w:p>
        </w:tc>
        <w:tc>
          <w:tcPr/>
          <w:p>
            <w:pPr>
              <w:pStyle w:val="Compact"/>
            </w:pPr>
            <w:r>
              <w:t xml:space="preserve">0.81 (0.51–1.29)</w:t>
            </w:r>
          </w:p>
        </w:tc>
        <w:tc>
          <w:tcPr/>
          <w:p>
            <w:pPr>
              <w:pStyle w:val="Compact"/>
            </w:pPr>
            <w:r>
              <w:t xml:space="preserve">0.379</w:t>
            </w:r>
          </w:p>
        </w:tc>
      </w:tr>
      <w:tr>
        <w:tc>
          <w:tcPr/>
          <w:p>
            <w:pPr>
              <w:pStyle w:val="Compact"/>
            </w:pPr>
            <w:r>
              <w:t xml:space="preserve">2020 (COVID) indicator</w:t>
            </w:r>
          </w:p>
        </w:tc>
        <w:tc>
          <w:tcPr/>
          <w:p>
            <w:pPr>
              <w:pStyle w:val="Compact"/>
            </w:pPr>
            <w:r>
              <w:t xml:space="preserve">0.88 (0.85–0.91)</w:t>
            </w:r>
          </w:p>
        </w:tc>
        <w:tc>
          <w:tcPr/>
          <w:p>
            <w:pPr>
              <w:pStyle w:val="Compact"/>
            </w:pPr>
            <w:r>
              <w:t xml:space="preserve">&lt;0.001</w:t>
            </w:r>
          </w:p>
        </w:tc>
      </w:tr>
      <w:tr>
        <w:tc>
          <w:tcPr/>
          <w:p>
            <w:pPr>
              <w:pStyle w:val="Compact"/>
            </w:pPr>
            <w:r>
              <w:t xml:space="preserve">Annual trend, URPS (OB/GYN)</w:t>
            </w:r>
          </w:p>
        </w:tc>
        <w:tc>
          <w:tcPr/>
          <w:p>
            <w:pPr>
              <w:pStyle w:val="Compact"/>
            </w:pPr>
            <w:r>
              <w:t xml:space="preserve">0.999 (0.990-1.007)</w:t>
            </w:r>
          </w:p>
        </w:tc>
        <w:tc>
          <w:tcPr/>
          <w:p>
            <w:pPr>
              <w:pStyle w:val="Compact"/>
            </w:pPr>
            <w:r>
              <w:t xml:space="preserve">0.776</w:t>
            </w:r>
          </w:p>
        </w:tc>
      </w:tr>
      <w:tr>
        <w:tc>
          <w:tcPr/>
          <w:p>
            <w:pPr>
              <w:pStyle w:val="Compact"/>
            </w:pPr>
            <w:r>
              <w:t xml:space="preserve">Annual trend, URPS (urology)</w:t>
            </w:r>
          </w:p>
        </w:tc>
        <w:tc>
          <w:tcPr/>
          <w:p>
            <w:pPr>
              <w:pStyle w:val="Compact"/>
            </w:pPr>
            <w:r>
              <w:t xml:space="preserve">0.988 (0.974-1.002)</w:t>
            </w:r>
          </w:p>
        </w:tc>
        <w:tc>
          <w:tcPr/>
          <w:p>
            <w:pPr>
              <w:pStyle w:val="Compact"/>
            </w:pPr>
            <w:r>
              <w:t xml:space="preserve">0.089</w:t>
            </w:r>
          </w:p>
        </w:tc>
      </w:tr>
      <w:tr>
        <w:tc>
          <w:tcPr/>
          <w:p>
            <w:pPr>
              <w:pStyle w:val="Compact"/>
            </w:pPr>
            <w:r>
              <w:t xml:space="preserve">Annual trend, non-URPS urology</w:t>
            </w:r>
          </w:p>
        </w:tc>
        <w:tc>
          <w:tcPr/>
          <w:p>
            <w:pPr>
              <w:pStyle w:val="Compact"/>
            </w:pPr>
            <w:r>
              <w:t xml:space="preserve">0.986 (0.968-1.004)</w:t>
            </w:r>
          </w:p>
        </w:tc>
        <w:tc>
          <w:tcPr/>
          <w:p>
            <w:pPr>
              <w:pStyle w:val="Compact"/>
            </w:pPr>
            <w:r>
              <w:t xml:space="preserve">0.137</w:t>
            </w:r>
          </w:p>
        </w:tc>
      </w:tr>
      <w:tr>
        <w:tc>
          <w:tcPr/>
          <w:p>
            <w:pPr>
              <w:pStyle w:val="Compact"/>
            </w:pPr>
            <w:r>
              <w:t xml:space="preserve">Annual trend, other non-URPS OB/GYN</w:t>
            </w:r>
          </w:p>
        </w:tc>
        <w:tc>
          <w:tcPr/>
          <w:p>
            <w:pPr>
              <w:pStyle w:val="Compact"/>
            </w:pPr>
            <w:r>
              <w:t xml:space="preserve">0.996 (0.973-1.020)</w:t>
            </w:r>
          </w:p>
        </w:tc>
        <w:tc>
          <w:tcPr/>
          <w:p>
            <w:pPr>
              <w:pStyle w:val="Compact"/>
            </w:pPr>
            <w:r>
              <w:t xml:space="preserve">0.760</w:t>
            </w:r>
          </w:p>
        </w:tc>
      </w:tr>
      <w:tr>
        <w:tc>
          <w:tcPr/>
          <w:p>
            <w:pPr>
              <w:pStyle w:val="Compact"/>
            </w:pPr>
            <w:r>
              <w:t xml:space="preserve">Annual trend, MIGS</w:t>
            </w:r>
          </w:p>
        </w:tc>
        <w:tc>
          <w:tcPr/>
          <w:p>
            <w:pPr>
              <w:pStyle w:val="Compact"/>
            </w:pPr>
            <w:r>
              <w:t xml:space="preserve">1.085 (1.031-1.142)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16.5% → 13.9%</w:t>
            </w:r>
          </w:p>
        </w:tc>
        <w:tc>
          <w:tcPr/>
          <w:p>
            <w:pPr>
              <w:pStyle w:val="Compact"/>
            </w:pPr>
            <w:r>
              <w:t xml:space="preserve">-0.32</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55.1% → 68.0%</w:t>
            </w:r>
          </w:p>
        </w:tc>
        <w:tc>
          <w:tcPr/>
          <w:p>
            <w:pPr>
              <w:pStyle w:val="Compact"/>
            </w:pPr>
            <w:r>
              <w:t xml:space="preserve">1.12</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0.00</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0.00</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43.6% → 66.9%</w:t>
            </w:r>
          </w:p>
        </w:tc>
        <w:tc>
          <w:tcPr/>
          <w:p>
            <w:pPr>
              <w:pStyle w:val="Compact"/>
            </w:pPr>
            <w:r>
              <w:rPr>
                <w:b/>
                <w:bCs/>
              </w:rPr>
              <w:t xml:space="preserve">1.76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0.79</w:t>
            </w:r>
          </w:p>
        </w:tc>
        <w:tc>
          <w:tcPr/>
          <w:p>
            <w:pPr>
              <w:pStyle w:val="Compact"/>
            </w:pPr>
            <w:r>
              <w:t xml:space="preserve">&lt;0.001</w:t>
            </w:r>
          </w:p>
        </w:tc>
      </w:tr>
    </w:tbl>
    <w:p>
      <w:r>
        <w:pict>
          <v:rect style="width:0;height:1.5pt" o:hralign="center" o:hrstd="t" o:hr="t"/>
        </w:pict>
      </w:r>
    </w:p>
    <w:bookmarkEnd w:id="33"/>
    <w:bookmarkStart w:id="43" w:name="figures"/>
    <w:p>
      <w:pPr>
        <w:pStyle w:val="Heading2"/>
      </w:pPr>
      <w:r>
        <w:t xml:space="preserve">Figures</w:t>
      </w:r>
    </w:p>
    <w:p>
      <w:pPr>
        <w:pStyle w:val="FirstParagraph"/>
      </w:pPr>
      <w:r>
        <w:drawing>
          <wp:inline>
            <wp:extent cx="5334000" cy="3259666"/>
            <wp:effectExtent b="0" l="0" r="0" t="0"/>
            <wp:docPr descr="" title="" id="35" name="Picture"/>
            <a:graphic>
              <a:graphicData uri="http://schemas.openxmlformats.org/drawingml/2006/picture">
                <pic:pic>
                  <pic:nvPicPr>
                    <pic:cNvPr descr="/Users/tylermuffly/sling-volume-patterns/output/figures/figure_rate_per_100k.png" id="36" name="Picture"/>
                    <pic:cNvPicPr>
                      <a:picLocks noChangeArrowheads="1" noChangeAspect="1"/>
                    </pic:cNvPicPr>
                  </pic:nvPicPr>
                  <pic:blipFill>
                    <a:blip r:embed="rId34"/>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(-15.3% versus -27.7%) because the fee-for-service population contracted by -14.7%; the linear trend in the rate was not significant (p = 0.098).</w:t>
      </w:r>
    </w:p>
    <w:p>
      <w:pPr>
        <w:pStyle w:val="BodyText"/>
      </w:pPr>
      <w:r>
        <w:drawing>
          <wp:inline>
            <wp:extent cx="5334000" cy="3368842"/>
            <wp:effectExtent b="0" l="0" r="0" t="0"/>
            <wp:docPr descr="" title="" id="38" name="Picture"/>
            <a:graphic>
              <a:graphicData uri="http://schemas.openxmlformats.org/drawingml/2006/picture">
                <pic:pic>
                  <pic:nvPicPr>
                    <pic:cNvPr descr="/Users/tylermuffly/sling-volume-patterns/output/figures/figure_market_share.png" id="39" name="Picture"/>
                    <pic:cNvPicPr>
                      <a:picLocks noChangeArrowheads="1" noChangeAspect="1"/>
                    </pic:cNvPicPr>
                  </pic:nvPicPr>
                  <pic:blipFill>
                    <a:blip r:embed="rId37"/>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Stacked areas are the fixed-membership specialty shares; the two black lines are the URPS share under fixed-membership (solid) and certification-gated (dashed) classification. Fixed membership (all-pathway URPS share 55.1% to 68%; +1.12 percentage points/year) and certification-gated classification (43.6% to 66.9%; +1.76 percentage points/year) differ in the estimated rate of increase and converge by 2023.</w:t>
      </w:r>
    </w:p>
    <w:p>
      <w:pPr>
        <w:pStyle w:val="BodyText"/>
      </w:pPr>
      <w:r>
        <w:drawing>
          <wp:inline>
            <wp:extent cx="5334000" cy="3879272"/>
            <wp:effectExtent b="0" l="0" r="0" t="0"/>
            <wp:docPr descr="" title="" id="41" name="Picture"/>
            <a:graphic>
              <a:graphicData uri="http://schemas.openxmlformats.org/drawingml/2006/picture">
                <pic:pic>
                  <pic:nvPicPr>
                    <pic:cNvPr descr="/Users/tylermuffly/sling-volume-patterns/output/figures/figure_classification_flow.png" id="42" name="Picture"/>
                    <pic:cNvPicPr>
                      <a:picLocks noChangeArrowheads="1" noChangeAspect="1"/>
                    </pic:cNvPicPr>
                  </pic:nvPicPr>
                  <pic:blipFill>
                    <a:blip r:embed="rId40"/>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Provider-classification flow for CPT 57288. Billers are assigned to specialty groups by CMS provider type cross-referenced with the ABOG and ABU rosters. Billers with neither an OB/GYN nor urology CMS type and no ABOG match (323 NPIs) are predominantly organizations and non-physician clinicians; organizational NPIs (NPPES entity type 2: ambulatory surgical centers, hospitals, laboratories; 123) are excluded and the remaining individual clinicians (200) form an Other/uncertain group, rather than being counted as urologists. Specialty-specific counts exceed the analytic cohort because some physicians changed groups across years.</w:t>
      </w:r>
    </w:p>
    <w:p>
      <w:r>
        <w:pict>
          <v:rect style="width:0;height:1.5pt" o:hralign="center" o:hrstd="t" o:hr="t"/>
        </w:pict>
      </w:r>
    </w:p>
    <w:bookmarkEnd w:id="43"/>
    <w:bookmarkStart w:id="44"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4"/>
        <w:gridCol w:w="1202"/>
        <w:gridCol w:w="848"/>
        <w:gridCol w:w="990"/>
        <w:gridCol w:w="1272"/>
        <w:gridCol w:w="495"/>
        <w:gridCol w:w="565"/>
        <w:gridCol w:w="636"/>
        <w:gridCol w:w="636"/>
        <w:gridCol w:w="848"/>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779</w:t>
            </w:r>
          </w:p>
        </w:tc>
        <w:tc>
          <w:tcPr/>
          <w:p>
            <w:pPr>
              <w:pStyle w:val="Compact"/>
            </w:pPr>
            <w:r>
              <w:t xml:space="preserve">15872</w:t>
            </w:r>
          </w:p>
        </w:tc>
        <w:tc>
          <w:tcPr/>
          <w:p>
            <w:pPr>
              <w:pStyle w:val="Compact"/>
            </w:pPr>
            <w:r>
              <w:t xml:space="preserve">16 (13–23)</w:t>
            </w:r>
          </w:p>
        </w:tc>
        <w:tc>
          <w:tcPr/>
          <w:p>
            <w:pPr>
              <w:pStyle w:val="Compact"/>
            </w:pPr>
            <w:r>
              <w:t xml:space="preserve">0.275</w:t>
            </w:r>
          </w:p>
        </w:tc>
        <w:tc>
          <w:tcPr/>
          <w:p>
            <w:pPr>
              <w:pStyle w:val="Compact"/>
            </w:pPr>
            <w:r>
              <w:t xml:space="preserve">17.3</w:t>
            </w:r>
          </w:p>
        </w:tc>
        <w:tc>
          <w:tcPr/>
          <w:p>
            <w:pPr>
              <w:pStyle w:val="Compact"/>
            </w:pPr>
            <w:r>
              <w:t xml:space="preserve">24.4%</w:t>
            </w:r>
          </w:p>
        </w:tc>
        <w:tc>
          <w:tcPr/>
          <w:p>
            <w:pPr>
              <w:pStyle w:val="Compact"/>
            </w:pPr>
            <w:r>
              <w:t xml:space="preserve">39.3%</w:t>
            </w:r>
          </w:p>
        </w:tc>
        <w:tc>
          <w:tcPr/>
          <w:p>
            <w:pPr>
              <w:pStyle w:val="Compact"/>
            </w:pPr>
            <w:r>
              <w:t xml:space="preserve">31.5%</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211</w:t>
            </w:r>
          </w:p>
        </w:tc>
        <w:tc>
          <w:tcPr/>
          <w:p>
            <w:pPr>
              <w:pStyle w:val="Compact"/>
            </w:pPr>
            <w:r>
              <w:t xml:space="preserve">3563</w:t>
            </w:r>
          </w:p>
        </w:tc>
        <w:tc>
          <w:tcPr/>
          <w:p>
            <w:pPr>
              <w:pStyle w:val="Compact"/>
            </w:pPr>
            <w:r>
              <w:t xml:space="preserve">15 (12–19)</w:t>
            </w:r>
          </w:p>
        </w:tc>
        <w:tc>
          <w:tcPr/>
          <w:p>
            <w:pPr>
              <w:pStyle w:val="Compact"/>
            </w:pPr>
            <w:r>
              <w:t xml:space="preserve">0.198</w:t>
            </w:r>
          </w:p>
        </w:tc>
        <w:tc>
          <w:tcPr/>
          <w:p>
            <w:pPr>
              <w:pStyle w:val="Compact"/>
            </w:pPr>
            <w:r>
              <w:t xml:space="preserve">55.9</w:t>
            </w:r>
          </w:p>
        </w:tc>
        <w:tc>
          <w:tcPr/>
          <w:p>
            <w:pPr>
              <w:pStyle w:val="Compact"/>
            </w:pPr>
            <w:r>
              <w:t xml:space="preserve">20.8%</w:t>
            </w:r>
          </w:p>
        </w:tc>
        <w:tc>
          <w:tcPr/>
          <w:p>
            <w:pPr>
              <w:pStyle w:val="Compact"/>
            </w:pPr>
            <w:r>
              <w:t xml:space="preserve">33.7%</w:t>
            </w:r>
          </w:p>
        </w:tc>
        <w:tc>
          <w:tcPr/>
          <w:p>
            <w:pPr>
              <w:pStyle w:val="Compact"/>
            </w:pPr>
            <w:r>
              <w:t xml:space="preserve">36.3%</w:t>
            </w:r>
          </w:p>
        </w:tc>
      </w:tr>
      <w:tr>
        <w:tc>
          <w:tcPr/>
          <w:p>
            <w:pPr>
              <w:pStyle w:val="Compact"/>
            </w:pPr>
            <w:r>
              <w:t xml:space="preserve">2013</w:t>
            </w:r>
          </w:p>
        </w:tc>
        <w:tc>
          <w:tcPr/>
          <w:p>
            <w:pPr>
              <w:pStyle w:val="Compact"/>
            </w:pPr>
            <w:r>
              <w:t xml:space="preserve">Other/uncertain</w:t>
            </w:r>
          </w:p>
        </w:tc>
        <w:tc>
          <w:tcPr/>
          <w:p>
            <w:pPr>
              <w:pStyle w:val="Compact"/>
            </w:pPr>
            <w:r>
              <w:t xml:space="preserve">38</w:t>
            </w:r>
          </w:p>
        </w:tc>
        <w:tc>
          <w:tcPr/>
          <w:p>
            <w:pPr>
              <w:pStyle w:val="Compact"/>
            </w:pPr>
            <w:r>
              <w:t xml:space="preserve">945</w:t>
            </w:r>
          </w:p>
        </w:tc>
        <w:tc>
          <w:tcPr/>
          <w:p>
            <w:pPr>
              <w:pStyle w:val="Compact"/>
            </w:pPr>
            <w:r>
              <w:t xml:space="preserve">15 (12–35)</w:t>
            </w:r>
          </w:p>
        </w:tc>
        <w:tc>
          <w:tcPr/>
          <w:p>
            <w:pPr>
              <w:pStyle w:val="Compact"/>
            </w:pPr>
            <w:r>
              <w:t xml:space="preserve">0.363</w:t>
            </w:r>
          </w:p>
        </w:tc>
        <w:tc>
          <w:tcPr/>
          <w:p>
            <w:pPr>
              <w:pStyle w:val="Compact"/>
            </w:pPr>
            <w:r>
              <w:t xml:space="preserve">408.8</w:t>
            </w:r>
          </w:p>
        </w:tc>
        <w:tc>
          <w:tcPr/>
          <w:p>
            <w:pPr>
              <w:pStyle w:val="Compact"/>
            </w:pPr>
            <w:r>
              <w:t xml:space="preserve">28.5%</w:t>
            </w:r>
          </w:p>
        </w:tc>
        <w:tc>
          <w:tcPr/>
          <w:p>
            <w:pPr>
              <w:pStyle w:val="Compact"/>
            </w:pPr>
            <w:r>
              <w:t xml:space="preserve">47.4%</w:t>
            </w:r>
          </w:p>
        </w:tc>
        <w:tc>
          <w:tcPr/>
          <w:p>
            <w:pPr>
              <w:pStyle w:val="Compact"/>
            </w:pPr>
            <w:r>
              <w:t xml:space="preserve">25.4%</w:t>
            </w:r>
          </w:p>
        </w:tc>
      </w:tr>
      <w:tr>
        <w:tc>
          <w:tcPr/>
          <w:p>
            <w:pPr>
              <w:pStyle w:val="Compact"/>
            </w:pPr>
            <w:r>
              <w:t xml:space="preserve">2013</w:t>
            </w:r>
          </w:p>
        </w:tc>
        <w:tc>
          <w:tcPr/>
          <w:p>
            <w:pPr>
              <w:pStyle w:val="Compact"/>
            </w:pPr>
            <w:r>
              <w:t xml:space="preserve">URPS (OB/GYN)</w:t>
            </w:r>
          </w:p>
        </w:tc>
        <w:tc>
          <w:tcPr/>
          <w:p>
            <w:pPr>
              <w:pStyle w:val="Compact"/>
            </w:pPr>
            <w:r>
              <w:t xml:space="preserve">304</w:t>
            </w:r>
          </w:p>
        </w:tc>
        <w:tc>
          <w:tcPr/>
          <w:p>
            <w:pPr>
              <w:pStyle w:val="Compact"/>
            </w:pPr>
            <w:r>
              <w:t xml:space="preserve">7266</w:t>
            </w:r>
          </w:p>
        </w:tc>
        <w:tc>
          <w:tcPr/>
          <w:p>
            <w:pPr>
              <w:pStyle w:val="Compact"/>
            </w:pPr>
            <w:r>
              <w:t xml:space="preserve">19 (14–29)</w:t>
            </w:r>
          </w:p>
        </w:tc>
        <w:tc>
          <w:tcPr/>
          <w:p>
            <w:pPr>
              <w:pStyle w:val="Compact"/>
            </w:pPr>
            <w:r>
              <w:t xml:space="preserve">0.294</w:t>
            </w:r>
          </w:p>
        </w:tc>
        <w:tc>
          <w:tcPr/>
          <w:p>
            <w:pPr>
              <w:pStyle w:val="Compact"/>
            </w:pPr>
            <w:r>
              <w:t xml:space="preserve">44.3</w:t>
            </w:r>
          </w:p>
        </w:tc>
        <w:tc>
          <w:tcPr/>
          <w:p>
            <w:pPr>
              <w:pStyle w:val="Compact"/>
            </w:pPr>
            <w:r>
              <w:t xml:space="preserve">24.2%</w:t>
            </w:r>
          </w:p>
        </w:tc>
        <w:tc>
          <w:tcPr/>
          <w:p>
            <w:pPr>
              <w:pStyle w:val="Compact"/>
            </w:pPr>
            <w:r>
              <w:t xml:space="preserve">39.4%</w:t>
            </w:r>
          </w:p>
        </w:tc>
        <w:tc>
          <w:tcPr/>
          <w:p>
            <w:pPr>
              <w:pStyle w:val="Compact"/>
            </w:pPr>
            <w:r>
              <w:t xml:space="preserve">29.8%</w:t>
            </w:r>
          </w:p>
        </w:tc>
      </w:tr>
      <w:tr>
        <w:tc>
          <w:tcPr/>
          <w:p>
            <w:pPr>
              <w:pStyle w:val="Compact"/>
            </w:pPr>
            <w:r>
              <w:t xml:space="preserve">2013</w:t>
            </w:r>
          </w:p>
        </w:tc>
        <w:tc>
          <w:tcPr/>
          <w:p>
            <w:pPr>
              <w:pStyle w:val="Compact"/>
            </w:pPr>
            <w:r>
              <w:t xml:space="preserve">URPS (urology)</w:t>
            </w:r>
          </w:p>
        </w:tc>
        <w:tc>
          <w:tcPr/>
          <w:p>
            <w:pPr>
              <w:pStyle w:val="Compact"/>
            </w:pPr>
            <w:r>
              <w:t xml:space="preserve">81</w:t>
            </w:r>
          </w:p>
        </w:tc>
        <w:tc>
          <w:tcPr/>
          <w:p>
            <w:pPr>
              <w:pStyle w:val="Compact"/>
            </w:pPr>
            <w:r>
              <w:t xml:space="preserve">1483</w:t>
            </w:r>
          </w:p>
        </w:tc>
        <w:tc>
          <w:tcPr/>
          <w:p>
            <w:pPr>
              <w:pStyle w:val="Compact"/>
            </w:pPr>
            <w:r>
              <w:t xml:space="preserve">16 (14–20)</w:t>
            </w:r>
          </w:p>
        </w:tc>
        <w:tc>
          <w:tcPr/>
          <w:p>
            <w:pPr>
              <w:pStyle w:val="Compact"/>
            </w:pPr>
            <w:r>
              <w:t xml:space="preserve">0.199</w:t>
            </w:r>
          </w:p>
        </w:tc>
        <w:tc>
          <w:tcPr/>
          <w:p>
            <w:pPr>
              <w:pStyle w:val="Compact"/>
            </w:pPr>
            <w:r>
              <w:t xml:space="preserve">146.1</w:t>
            </w:r>
          </w:p>
        </w:tc>
        <w:tc>
          <w:tcPr/>
          <w:p>
            <w:pPr>
              <w:pStyle w:val="Compact"/>
            </w:pPr>
            <w:r>
              <w:t xml:space="preserve">22.0%</w:t>
            </w:r>
          </w:p>
        </w:tc>
        <w:tc>
          <w:tcPr/>
          <w:p>
            <w:pPr>
              <w:pStyle w:val="Compact"/>
            </w:pPr>
            <w:r>
              <w:t xml:space="preserve">34.3%</w:t>
            </w:r>
          </w:p>
        </w:tc>
        <w:tc>
          <w:tcPr/>
          <w:p>
            <w:pPr>
              <w:pStyle w:val="Compact"/>
            </w:pPr>
            <w:r>
              <w:t xml:space="preserve">36.2%</w:t>
            </w:r>
          </w:p>
        </w:tc>
      </w:tr>
      <w:tr>
        <w:tc>
          <w:tcPr/>
          <w:p>
            <w:pPr>
              <w:pStyle w:val="Compact"/>
            </w:pPr>
            <w:r>
              <w:t xml:space="preserve">2014</w:t>
            </w:r>
          </w:p>
        </w:tc>
        <w:tc>
          <w:tcPr/>
          <w:p>
            <w:pPr>
              <w:pStyle w:val="Compact"/>
            </w:pPr>
            <w:r>
              <w:t xml:space="preserve">All</w:t>
            </w:r>
          </w:p>
        </w:tc>
        <w:tc>
          <w:tcPr/>
          <w:p>
            <w:pPr>
              <w:pStyle w:val="Compact"/>
            </w:pPr>
            <w:r>
              <w:t xml:space="preserve">656</w:t>
            </w:r>
          </w:p>
        </w:tc>
        <w:tc>
          <w:tcPr/>
          <w:p>
            <w:pPr>
              <w:pStyle w:val="Compact"/>
            </w:pPr>
            <w:r>
              <w:t xml:space="preserve">13725</w:t>
            </w:r>
          </w:p>
        </w:tc>
        <w:tc>
          <w:tcPr/>
          <w:p>
            <w:pPr>
              <w:pStyle w:val="Compact"/>
            </w:pPr>
            <w:r>
              <w:t xml:space="preserve">17 (13–24)</w:t>
            </w:r>
          </w:p>
        </w:tc>
        <w:tc>
          <w:tcPr/>
          <w:p>
            <w:pPr>
              <w:pStyle w:val="Compact"/>
            </w:pPr>
            <w:r>
              <w:t xml:space="preserve">0.269</w:t>
            </w:r>
          </w:p>
        </w:tc>
        <w:tc>
          <w:tcPr/>
          <w:p>
            <w:pPr>
              <w:pStyle w:val="Compact"/>
            </w:pPr>
            <w:r>
              <w:t xml:space="preserve">19.9</w:t>
            </w:r>
          </w:p>
        </w:tc>
        <w:tc>
          <w:tcPr/>
          <w:p>
            <w:pPr>
              <w:pStyle w:val="Compact"/>
            </w:pPr>
            <w:r>
              <w:t xml:space="preserve">23.2%</w:t>
            </w:r>
          </w:p>
        </w:tc>
        <w:tc>
          <w:tcPr/>
          <w:p>
            <w:pPr>
              <w:pStyle w:val="Compact"/>
            </w:pPr>
            <w:r>
              <w:t xml:space="preserve">38.5%</w:t>
            </w:r>
          </w:p>
        </w:tc>
        <w:tc>
          <w:tcPr/>
          <w:p>
            <w:pPr>
              <w:pStyle w:val="Compact"/>
            </w:pPr>
            <w:r>
              <w:t xml:space="preserve">31.6%</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152</w:t>
            </w:r>
          </w:p>
        </w:tc>
        <w:tc>
          <w:tcPr/>
          <w:p>
            <w:pPr>
              <w:pStyle w:val="Compact"/>
            </w:pPr>
            <w:r>
              <w:t xml:space="preserve">2577</w:t>
            </w:r>
          </w:p>
        </w:tc>
        <w:tc>
          <w:tcPr/>
          <w:p>
            <w:pPr>
              <w:pStyle w:val="Compact"/>
            </w:pPr>
            <w:r>
              <w:t xml:space="preserve">15 (12–19)</w:t>
            </w:r>
          </w:p>
        </w:tc>
        <w:tc>
          <w:tcPr/>
          <w:p>
            <w:pPr>
              <w:pStyle w:val="Compact"/>
            </w:pPr>
            <w:r>
              <w:t xml:space="preserve">0.198</w:t>
            </w:r>
          </w:p>
        </w:tc>
        <w:tc>
          <w:tcPr/>
          <w:p>
            <w:pPr>
              <w:pStyle w:val="Compact"/>
            </w:pPr>
            <w:r>
              <w:t xml:space="preserve">77.1</w:t>
            </w:r>
          </w:p>
        </w:tc>
        <w:tc>
          <w:tcPr/>
          <w:p>
            <w:pPr>
              <w:pStyle w:val="Compact"/>
            </w:pPr>
            <w:r>
              <w:t xml:space="preserve">21.0%</w:t>
            </w:r>
          </w:p>
        </w:tc>
        <w:tc>
          <w:tcPr/>
          <w:p>
            <w:pPr>
              <w:pStyle w:val="Compact"/>
            </w:pPr>
            <w:r>
              <w:t xml:space="preserve">33.6%</w:t>
            </w:r>
          </w:p>
        </w:tc>
        <w:tc>
          <w:tcPr/>
          <w:p>
            <w:pPr>
              <w:pStyle w:val="Compact"/>
            </w:pPr>
            <w:r>
              <w:t xml:space="preserve">36.6%</w:t>
            </w:r>
          </w:p>
        </w:tc>
      </w:tr>
      <w:tr>
        <w:tc>
          <w:tcPr/>
          <w:p>
            <w:pPr>
              <w:pStyle w:val="Compact"/>
            </w:pPr>
            <w:r>
              <w:t xml:space="preserve">2014</w:t>
            </w:r>
          </w:p>
        </w:tc>
        <w:tc>
          <w:tcPr/>
          <w:p>
            <w:pPr>
              <w:pStyle w:val="Compact"/>
            </w:pPr>
            <w:r>
              <w:t xml:space="preserve">Other/uncertain</w:t>
            </w:r>
          </w:p>
        </w:tc>
        <w:tc>
          <w:tcPr/>
          <w:p>
            <w:pPr>
              <w:pStyle w:val="Compact"/>
            </w:pPr>
            <w:r>
              <w:t xml:space="preserve">31</w:t>
            </w:r>
          </w:p>
        </w:tc>
        <w:tc>
          <w:tcPr/>
          <w:p>
            <w:pPr>
              <w:pStyle w:val="Compact"/>
            </w:pPr>
            <w:r>
              <w:t xml:space="preserve">762</w:t>
            </w:r>
          </w:p>
        </w:tc>
        <w:tc>
          <w:tcPr/>
          <w:p>
            <w:pPr>
              <w:pStyle w:val="Compact"/>
            </w:pPr>
            <w:r>
              <w:t xml:space="preserve">19 (12–32)</w:t>
            </w:r>
          </w:p>
        </w:tc>
        <w:tc>
          <w:tcPr/>
          <w:p>
            <w:pPr>
              <w:pStyle w:val="Compact"/>
            </w:pPr>
            <w:r>
              <w:t xml:space="preserve">0.341</w:t>
            </w:r>
          </w:p>
        </w:tc>
        <w:tc>
          <w:tcPr/>
          <w:p>
            <w:pPr>
              <w:pStyle w:val="Compact"/>
            </w:pPr>
            <w:r>
              <w:t xml:space="preserve">479.1</w:t>
            </w:r>
          </w:p>
        </w:tc>
        <w:tc>
          <w:tcPr/>
          <w:p>
            <w:pPr>
              <w:pStyle w:val="Compact"/>
            </w:pPr>
            <w:r>
              <w:t xml:space="preserve">30.7%</w:t>
            </w:r>
          </w:p>
        </w:tc>
        <w:tc>
          <w:tcPr/>
          <w:p>
            <w:pPr>
              <w:pStyle w:val="Compact"/>
            </w:pPr>
            <w:r>
              <w:t xml:space="preserve">45.9%</w:t>
            </w:r>
          </w:p>
        </w:tc>
        <w:tc>
          <w:tcPr/>
          <w:p>
            <w:pPr>
              <w:pStyle w:val="Compact"/>
            </w:pPr>
            <w:r>
              <w:t xml:space="preserve">24.4%</w:t>
            </w:r>
          </w:p>
        </w:tc>
      </w:tr>
      <w:tr>
        <w:tc>
          <w:tcPr/>
          <w:p>
            <w:pPr>
              <w:pStyle w:val="Compact"/>
            </w:pPr>
            <w:r>
              <w:t xml:space="preserve">2014</w:t>
            </w:r>
          </w:p>
        </w:tc>
        <w:tc>
          <w:tcPr/>
          <w:p>
            <w:pPr>
              <w:pStyle w:val="Compact"/>
            </w:pPr>
            <w:r>
              <w:t xml:space="preserve">URPS (OB/GYN)</w:t>
            </w:r>
          </w:p>
        </w:tc>
        <w:tc>
          <w:tcPr/>
          <w:p>
            <w:pPr>
              <w:pStyle w:val="Compact"/>
            </w:pPr>
            <w:r>
              <w:t xml:space="preserve">290</w:t>
            </w:r>
          </w:p>
        </w:tc>
        <w:tc>
          <w:tcPr/>
          <w:p>
            <w:pPr>
              <w:pStyle w:val="Compact"/>
            </w:pPr>
            <w:r>
              <w:t xml:space="preserve">6952</w:t>
            </w:r>
          </w:p>
        </w:tc>
        <w:tc>
          <w:tcPr/>
          <w:p>
            <w:pPr>
              <w:pStyle w:val="Compact"/>
            </w:pPr>
            <w:r>
              <w:t xml:space="preserve">20 (15–30)</w:t>
            </w:r>
          </w:p>
        </w:tc>
        <w:tc>
          <w:tcPr/>
          <w:p>
            <w:pPr>
              <w:pStyle w:val="Compact"/>
            </w:pPr>
            <w:r>
              <w:t xml:space="preserve">0.275</w:t>
            </w:r>
          </w:p>
        </w:tc>
        <w:tc>
          <w:tcPr/>
          <w:p>
            <w:pPr>
              <w:pStyle w:val="Compact"/>
            </w:pPr>
            <w:r>
              <w:t xml:space="preserve">44.8</w:t>
            </w:r>
          </w:p>
        </w:tc>
        <w:tc>
          <w:tcPr/>
          <w:p>
            <w:pPr>
              <w:pStyle w:val="Compact"/>
            </w:pPr>
            <w:r>
              <w:t xml:space="preserve">22.7%</w:t>
            </w:r>
          </w:p>
        </w:tc>
        <w:tc>
          <w:tcPr/>
          <w:p>
            <w:pPr>
              <w:pStyle w:val="Compact"/>
            </w:pPr>
            <w:r>
              <w:t xml:space="preserve">37.8%</w:t>
            </w:r>
          </w:p>
        </w:tc>
        <w:tc>
          <w:tcPr/>
          <w:p>
            <w:pPr>
              <w:pStyle w:val="Compact"/>
            </w:pPr>
            <w:r>
              <w:t xml:space="preserve">30.9%</w:t>
            </w:r>
          </w:p>
        </w:tc>
      </w:tr>
      <w:tr>
        <w:tc>
          <w:tcPr/>
          <w:p>
            <w:pPr>
              <w:pStyle w:val="Compact"/>
            </w:pPr>
            <w:r>
              <w:t xml:space="preserve">2014</w:t>
            </w:r>
          </w:p>
        </w:tc>
        <w:tc>
          <w:tcPr/>
          <w:p>
            <w:pPr>
              <w:pStyle w:val="Compact"/>
            </w:pPr>
            <w:r>
              <w:t xml:space="preserve">URPS (urology)</w:t>
            </w:r>
          </w:p>
        </w:tc>
        <w:tc>
          <w:tcPr/>
          <w:p>
            <w:pPr>
              <w:pStyle w:val="Compact"/>
            </w:pPr>
            <w:r>
              <w:t xml:space="preserve">66</w:t>
            </w:r>
          </w:p>
        </w:tc>
        <w:tc>
          <w:tcPr/>
          <w:p>
            <w:pPr>
              <w:pStyle w:val="Compact"/>
            </w:pPr>
            <w:r>
              <w:t xml:space="preserve">1317</w:t>
            </w:r>
          </w:p>
        </w:tc>
        <w:tc>
          <w:tcPr/>
          <w:p>
            <w:pPr>
              <w:pStyle w:val="Compact"/>
            </w:pPr>
            <w:r>
              <w:t xml:space="preserve">16 (13–23)</w:t>
            </w:r>
          </w:p>
        </w:tc>
        <w:tc>
          <w:tcPr/>
          <w:p>
            <w:pPr>
              <w:pStyle w:val="Compact"/>
            </w:pPr>
            <w:r>
              <w:t xml:space="preserve">0.250</w:t>
            </w:r>
          </w:p>
        </w:tc>
        <w:tc>
          <w:tcPr/>
          <w:p>
            <w:pPr>
              <w:pStyle w:val="Compact"/>
            </w:pPr>
            <w:r>
              <w:t xml:space="preserve">188.7</w:t>
            </w:r>
          </w:p>
        </w:tc>
        <w:tc>
          <w:tcPr/>
          <w:p>
            <w:pPr>
              <w:pStyle w:val="Compact"/>
            </w:pPr>
            <w:r>
              <w:t xml:space="preserve">22.9%</w:t>
            </w:r>
          </w:p>
        </w:tc>
        <w:tc>
          <w:tcPr/>
          <w:p>
            <w:pPr>
              <w:pStyle w:val="Compact"/>
            </w:pPr>
            <w:r>
              <w:t xml:space="preserve">38.6%</w:t>
            </w:r>
          </w:p>
        </w:tc>
        <w:tc>
          <w:tcPr/>
          <w:p>
            <w:pPr>
              <w:pStyle w:val="Compact"/>
            </w:pPr>
            <w:r>
              <w:t xml:space="preserve">32.5%</w:t>
            </w:r>
          </w:p>
        </w:tc>
      </w:tr>
      <w:tr>
        <w:tc>
          <w:tcPr/>
          <w:p>
            <w:pPr>
              <w:pStyle w:val="Compact"/>
            </w:pPr>
            <w:r>
              <w:t xml:space="preserve">2015</w:t>
            </w:r>
          </w:p>
        </w:tc>
        <w:tc>
          <w:tcPr/>
          <w:p>
            <w:pPr>
              <w:pStyle w:val="Compact"/>
            </w:pPr>
            <w:r>
              <w:t xml:space="preserve">All</w:t>
            </w:r>
          </w:p>
        </w:tc>
        <w:tc>
          <w:tcPr/>
          <w:p>
            <w:pPr>
              <w:pStyle w:val="Compact"/>
            </w:pPr>
            <w:r>
              <w:t xml:space="preserve">627</w:t>
            </w:r>
          </w:p>
        </w:tc>
        <w:tc>
          <w:tcPr/>
          <w:p>
            <w:pPr>
              <w:pStyle w:val="Compact"/>
            </w:pPr>
            <w:r>
              <w:t xml:space="preserve">12846</w:t>
            </w:r>
          </w:p>
        </w:tc>
        <w:tc>
          <w:tcPr/>
          <w:p>
            <w:pPr>
              <w:pStyle w:val="Compact"/>
            </w:pPr>
            <w:r>
              <w:t xml:space="preserve">16 (13–24)</w:t>
            </w:r>
          </w:p>
        </w:tc>
        <w:tc>
          <w:tcPr/>
          <w:p>
            <w:pPr>
              <w:pStyle w:val="Compact"/>
            </w:pPr>
            <w:r>
              <w:t xml:space="preserve">0.269</w:t>
            </w:r>
          </w:p>
        </w:tc>
        <w:tc>
          <w:tcPr/>
          <w:p>
            <w:pPr>
              <w:pStyle w:val="Compact"/>
            </w:pPr>
            <w:r>
              <w:t xml:space="preserve">21.1</w:t>
            </w:r>
          </w:p>
        </w:tc>
        <w:tc>
          <w:tcPr/>
          <w:p>
            <w:pPr>
              <w:pStyle w:val="Compact"/>
            </w:pPr>
            <w:r>
              <w:t xml:space="preserve">23.4%</w:t>
            </w:r>
          </w:p>
        </w:tc>
        <w:tc>
          <w:tcPr/>
          <w:p>
            <w:pPr>
              <w:pStyle w:val="Compact"/>
            </w:pPr>
            <w:r>
              <w:t xml:space="preserve">38.4%</w:t>
            </w:r>
          </w:p>
        </w:tc>
        <w:tc>
          <w:tcPr/>
          <w:p>
            <w:pPr>
              <w:pStyle w:val="Compact"/>
            </w:pPr>
            <w:r>
              <w:t xml:space="preserve">31.6%</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129</w:t>
            </w:r>
          </w:p>
        </w:tc>
        <w:tc>
          <w:tcPr/>
          <w:p>
            <w:pPr>
              <w:pStyle w:val="Compact"/>
            </w:pPr>
            <w:r>
              <w:t xml:space="preserve">2109</w:t>
            </w:r>
          </w:p>
        </w:tc>
        <w:tc>
          <w:tcPr/>
          <w:p>
            <w:pPr>
              <w:pStyle w:val="Compact"/>
            </w:pPr>
            <w:r>
              <w:t xml:space="preserve">14 (12–18)</w:t>
            </w:r>
          </w:p>
        </w:tc>
        <w:tc>
          <w:tcPr/>
          <w:p>
            <w:pPr>
              <w:pStyle w:val="Compact"/>
            </w:pPr>
            <w:r>
              <w:t xml:space="preserve">0.196</w:t>
            </w:r>
          </w:p>
        </w:tc>
        <w:tc>
          <w:tcPr/>
          <w:p>
            <w:pPr>
              <w:pStyle w:val="Compact"/>
            </w:pPr>
            <w:r>
              <w:t xml:space="preserve">92.2</w:t>
            </w:r>
          </w:p>
        </w:tc>
        <w:tc>
          <w:tcPr/>
          <w:p>
            <w:pPr>
              <w:pStyle w:val="Compact"/>
            </w:pPr>
            <w:r>
              <w:t xml:space="preserve">20.2%</w:t>
            </w:r>
          </w:p>
        </w:tc>
        <w:tc>
          <w:tcPr/>
          <w:p>
            <w:pPr>
              <w:pStyle w:val="Compact"/>
            </w:pPr>
            <w:r>
              <w:t xml:space="preserve">33.6%</w:t>
            </w:r>
          </w:p>
        </w:tc>
        <w:tc>
          <w:tcPr/>
          <w:p>
            <w:pPr>
              <w:pStyle w:val="Compact"/>
            </w:pPr>
            <w:r>
              <w:t xml:space="preserve">36.5%</w:t>
            </w:r>
          </w:p>
        </w:tc>
      </w:tr>
      <w:tr>
        <w:tc>
          <w:tcPr/>
          <w:p>
            <w:pPr>
              <w:pStyle w:val="Compact"/>
            </w:pPr>
            <w:r>
              <w:t xml:space="preserve">2015</w:t>
            </w:r>
          </w:p>
        </w:tc>
        <w:tc>
          <w:tcPr/>
          <w:p>
            <w:pPr>
              <w:pStyle w:val="Compact"/>
            </w:pPr>
            <w:r>
              <w:t xml:space="preserve">Other/uncertain</w:t>
            </w:r>
          </w:p>
        </w:tc>
        <w:tc>
          <w:tcPr/>
          <w:p>
            <w:pPr>
              <w:pStyle w:val="Compact"/>
            </w:pPr>
            <w:r>
              <w:t xml:space="preserve">41</w:t>
            </w:r>
          </w:p>
        </w:tc>
        <w:tc>
          <w:tcPr/>
          <w:p>
            <w:pPr>
              <w:pStyle w:val="Compact"/>
            </w:pPr>
            <w:r>
              <w:t xml:space="preserve">979</w:t>
            </w:r>
          </w:p>
        </w:tc>
        <w:tc>
          <w:tcPr/>
          <w:p>
            <w:pPr>
              <w:pStyle w:val="Compact"/>
            </w:pPr>
            <w:r>
              <w:t xml:space="preserve">19 (13–31)</w:t>
            </w:r>
          </w:p>
        </w:tc>
        <w:tc>
          <w:tcPr/>
          <w:p>
            <w:pPr>
              <w:pStyle w:val="Compact"/>
            </w:pPr>
            <w:r>
              <w:t xml:space="preserve">0.309</w:t>
            </w:r>
          </w:p>
        </w:tc>
        <w:tc>
          <w:tcPr/>
          <w:p>
            <w:pPr>
              <w:pStyle w:val="Compact"/>
            </w:pPr>
            <w:r>
              <w:t xml:space="preserve">343.6</w:t>
            </w:r>
          </w:p>
        </w:tc>
        <w:tc>
          <w:tcPr/>
          <w:p>
            <w:pPr>
              <w:pStyle w:val="Compact"/>
            </w:pPr>
            <w:r>
              <w:t xml:space="preserve">27.9%</w:t>
            </w:r>
          </w:p>
        </w:tc>
        <w:tc>
          <w:tcPr/>
          <w:p>
            <w:pPr>
              <w:pStyle w:val="Compact"/>
            </w:pPr>
            <w:r>
              <w:t xml:space="preserve">42.7%</w:t>
            </w:r>
          </w:p>
        </w:tc>
        <w:tc>
          <w:tcPr/>
          <w:p>
            <w:pPr>
              <w:pStyle w:val="Compact"/>
            </w:pPr>
            <w:r>
              <w:t xml:space="preserve">27.6%</w:t>
            </w:r>
          </w:p>
        </w:tc>
      </w:tr>
      <w:tr>
        <w:tc>
          <w:tcPr/>
          <w:p>
            <w:pPr>
              <w:pStyle w:val="Compact"/>
            </w:pPr>
            <w:r>
              <w:t xml:space="preserve">2015</w:t>
            </w:r>
          </w:p>
        </w:tc>
        <w:tc>
          <w:tcPr/>
          <w:p>
            <w:pPr>
              <w:pStyle w:val="Compact"/>
            </w:pPr>
            <w:r>
              <w:t xml:space="preserve">URPS (OB/GYN)</w:t>
            </w:r>
          </w:p>
        </w:tc>
        <w:tc>
          <w:tcPr/>
          <w:p>
            <w:pPr>
              <w:pStyle w:val="Compact"/>
            </w:pPr>
            <w:r>
              <w:t xml:space="preserve">290</w:t>
            </w:r>
          </w:p>
        </w:tc>
        <w:tc>
          <w:tcPr/>
          <w:p>
            <w:pPr>
              <w:pStyle w:val="Compact"/>
            </w:pPr>
            <w:r>
              <w:t xml:space="preserve">6678</w:t>
            </w:r>
          </w:p>
        </w:tc>
        <w:tc>
          <w:tcPr/>
          <w:p>
            <w:pPr>
              <w:pStyle w:val="Compact"/>
            </w:pPr>
            <w:r>
              <w:t xml:space="preserve">19 (14–27)</w:t>
            </w:r>
          </w:p>
        </w:tc>
        <w:tc>
          <w:tcPr/>
          <w:p>
            <w:pPr>
              <w:pStyle w:val="Compact"/>
            </w:pPr>
            <w:r>
              <w:t xml:space="preserve">0.278</w:t>
            </w:r>
          </w:p>
        </w:tc>
        <w:tc>
          <w:tcPr/>
          <w:p>
            <w:pPr>
              <w:pStyle w:val="Compact"/>
            </w:pPr>
            <w:r>
              <w:t xml:space="preserve">45.2</w:t>
            </w:r>
          </w:p>
        </w:tc>
        <w:tc>
          <w:tcPr/>
          <w:p>
            <w:pPr>
              <w:pStyle w:val="Compact"/>
            </w:pPr>
            <w:r>
              <w:t xml:space="preserve">22.9%</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URPS (urology)</w:t>
            </w:r>
          </w:p>
        </w:tc>
        <w:tc>
          <w:tcPr/>
          <w:p>
            <w:pPr>
              <w:pStyle w:val="Compact"/>
            </w:pPr>
            <w:r>
              <w:t xml:space="preserve">67</w:t>
            </w:r>
          </w:p>
        </w:tc>
        <w:tc>
          <w:tcPr/>
          <w:p>
            <w:pPr>
              <w:pStyle w:val="Compact"/>
            </w:pPr>
            <w:r>
              <w:t xml:space="preserve">1240</w:t>
            </w:r>
          </w:p>
        </w:tc>
        <w:tc>
          <w:tcPr/>
          <w:p>
            <w:pPr>
              <w:pStyle w:val="Compact"/>
            </w:pPr>
            <w:r>
              <w:t xml:space="preserve">15 (12–24)</w:t>
            </w:r>
          </w:p>
        </w:tc>
        <w:tc>
          <w:tcPr/>
          <w:p>
            <w:pPr>
              <w:pStyle w:val="Compact"/>
            </w:pPr>
            <w:r>
              <w:t xml:space="preserve">0.236</w:t>
            </w:r>
          </w:p>
        </w:tc>
        <w:tc>
          <w:tcPr/>
          <w:p>
            <w:pPr>
              <w:pStyle w:val="Compact"/>
            </w:pPr>
            <w:r>
              <w:t xml:space="preserve">185.7</w:t>
            </w:r>
          </w:p>
        </w:tc>
        <w:tc>
          <w:tcPr/>
          <w:p>
            <w:pPr>
              <w:pStyle w:val="Compact"/>
            </w:pPr>
            <w:r>
              <w:t xml:space="preserve">21.5%</w:t>
            </w:r>
          </w:p>
        </w:tc>
        <w:tc>
          <w:tcPr/>
          <w:p>
            <w:pPr>
              <w:pStyle w:val="Compact"/>
            </w:pPr>
            <w:r>
              <w:t xml:space="preserve">36.5%</w:t>
            </w:r>
          </w:p>
        </w:tc>
        <w:tc>
          <w:tcPr/>
          <w:p>
            <w:pPr>
              <w:pStyle w:val="Compact"/>
            </w:pPr>
            <w:r>
              <w:t xml:space="preserve">33.1%</w:t>
            </w:r>
          </w:p>
        </w:tc>
      </w:tr>
      <w:tr>
        <w:tc>
          <w:tcPr/>
          <w:p>
            <w:pPr>
              <w:pStyle w:val="Compact"/>
            </w:pPr>
            <w:r>
              <w:t xml:space="preserve">2016</w:t>
            </w:r>
          </w:p>
        </w:tc>
        <w:tc>
          <w:tcPr/>
          <w:p>
            <w:pPr>
              <w:pStyle w:val="Compact"/>
            </w:pPr>
            <w:r>
              <w:t xml:space="preserve">All</w:t>
            </w:r>
          </w:p>
        </w:tc>
        <w:tc>
          <w:tcPr/>
          <w:p>
            <w:pPr>
              <w:pStyle w:val="Compact"/>
            </w:pPr>
            <w:r>
              <w:t xml:space="preserve">665</w:t>
            </w:r>
          </w:p>
        </w:tc>
        <w:tc>
          <w:tcPr/>
          <w:p>
            <w:pPr>
              <w:pStyle w:val="Compact"/>
            </w:pPr>
            <w:r>
              <w:t xml:space="preserve">14322</w:t>
            </w:r>
          </w:p>
        </w:tc>
        <w:tc>
          <w:tcPr/>
          <w:p>
            <w:pPr>
              <w:pStyle w:val="Compact"/>
            </w:pPr>
            <w:r>
              <w:t xml:space="preserve">18 (13–25)</w:t>
            </w:r>
          </w:p>
        </w:tc>
        <w:tc>
          <w:tcPr/>
          <w:p>
            <w:pPr>
              <w:pStyle w:val="Compact"/>
            </w:pPr>
            <w:r>
              <w:t xml:space="preserve">0.270</w:t>
            </w:r>
          </w:p>
        </w:tc>
        <w:tc>
          <w:tcPr/>
          <w:p>
            <w:pPr>
              <w:pStyle w:val="Compact"/>
            </w:pPr>
            <w:r>
              <w:t xml:space="preserve">19.9</w:t>
            </w:r>
          </w:p>
        </w:tc>
        <w:tc>
          <w:tcPr/>
          <w:p>
            <w:pPr>
              <w:pStyle w:val="Compact"/>
            </w:pPr>
            <w:r>
              <w:t xml:space="preserve">23.8%</w:t>
            </w:r>
          </w:p>
        </w:tc>
        <w:tc>
          <w:tcPr/>
          <w:p>
            <w:pPr>
              <w:pStyle w:val="Compact"/>
            </w:pPr>
            <w:r>
              <w:t xml:space="preserve">38.0%</w:t>
            </w:r>
          </w:p>
        </w:tc>
        <w:tc>
          <w:tcPr/>
          <w:p>
            <w:pPr>
              <w:pStyle w:val="Compact"/>
            </w:pPr>
            <w:r>
              <w:t xml:space="preserve">31.5%</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129</w:t>
            </w:r>
          </w:p>
        </w:tc>
        <w:tc>
          <w:tcPr/>
          <w:p>
            <w:pPr>
              <w:pStyle w:val="Compact"/>
            </w:pPr>
            <w:r>
              <w:t xml:space="preserve">2225</w:t>
            </w:r>
          </w:p>
        </w:tc>
        <w:tc>
          <w:tcPr/>
          <w:p>
            <w:pPr>
              <w:pStyle w:val="Compact"/>
            </w:pPr>
            <w:r>
              <w:t xml:space="preserve">15 (13–20)</w:t>
            </w:r>
          </w:p>
        </w:tc>
        <w:tc>
          <w:tcPr/>
          <w:p>
            <w:pPr>
              <w:pStyle w:val="Compact"/>
            </w:pPr>
            <w:r>
              <w:t xml:space="preserve">0.199</w:t>
            </w:r>
          </w:p>
        </w:tc>
        <w:tc>
          <w:tcPr/>
          <w:p>
            <w:pPr>
              <w:pStyle w:val="Compact"/>
            </w:pPr>
            <w:r>
              <w:t xml:space="preserve">94.9</w:t>
            </w:r>
          </w:p>
        </w:tc>
        <w:tc>
          <w:tcPr/>
          <w:p>
            <w:pPr>
              <w:pStyle w:val="Compact"/>
            </w:pPr>
            <w:r>
              <w:t xml:space="preserve">20.3%</w:t>
            </w:r>
          </w:p>
        </w:tc>
        <w:tc>
          <w:tcPr/>
          <w:p>
            <w:pPr>
              <w:pStyle w:val="Compact"/>
            </w:pPr>
            <w:r>
              <w:t xml:space="preserve">33.3%</w:t>
            </w:r>
          </w:p>
        </w:tc>
        <w:tc>
          <w:tcPr/>
          <w:p>
            <w:pPr>
              <w:pStyle w:val="Compact"/>
            </w:pPr>
            <w:r>
              <w:t xml:space="preserve">36.3%</w:t>
            </w:r>
          </w:p>
        </w:tc>
      </w:tr>
      <w:tr>
        <w:tc>
          <w:tcPr/>
          <w:p>
            <w:pPr>
              <w:pStyle w:val="Compact"/>
            </w:pPr>
            <w:r>
              <w:t xml:space="preserve">2016</w:t>
            </w:r>
          </w:p>
        </w:tc>
        <w:tc>
          <w:tcPr/>
          <w:p>
            <w:pPr>
              <w:pStyle w:val="Compact"/>
            </w:pPr>
            <w:r>
              <w:t xml:space="preserve">Other/uncertain</w:t>
            </w:r>
          </w:p>
        </w:tc>
        <w:tc>
          <w:tcPr/>
          <w:p>
            <w:pPr>
              <w:pStyle w:val="Compact"/>
            </w:pPr>
            <w:r>
              <w:t xml:space="preserve">49</w:t>
            </w:r>
          </w:p>
        </w:tc>
        <w:tc>
          <w:tcPr/>
          <w:p>
            <w:pPr>
              <w:pStyle w:val="Compact"/>
            </w:pPr>
            <w:r>
              <w:t xml:space="preserve">1072</w:t>
            </w:r>
          </w:p>
        </w:tc>
        <w:tc>
          <w:tcPr/>
          <w:p>
            <w:pPr>
              <w:pStyle w:val="Compact"/>
            </w:pPr>
            <w:r>
              <w:t xml:space="preserve">19 (13–26)</w:t>
            </w:r>
          </w:p>
        </w:tc>
        <w:tc>
          <w:tcPr/>
          <w:p>
            <w:pPr>
              <w:pStyle w:val="Compact"/>
            </w:pPr>
            <w:r>
              <w:t xml:space="preserve">0.269</w:t>
            </w:r>
          </w:p>
        </w:tc>
        <w:tc>
          <w:tcPr/>
          <w:p>
            <w:pPr>
              <w:pStyle w:val="Compact"/>
            </w:pPr>
            <w:r>
              <w:t xml:space="preserve">268.9</w:t>
            </w:r>
          </w:p>
        </w:tc>
        <w:tc>
          <w:tcPr/>
          <w:p>
            <w:pPr>
              <w:pStyle w:val="Compact"/>
            </w:pPr>
            <w:r>
              <w:t xml:space="preserve">22.8%</w:t>
            </w:r>
          </w:p>
        </w:tc>
        <w:tc>
          <w:tcPr/>
          <w:p>
            <w:pPr>
              <w:pStyle w:val="Compact"/>
            </w:pPr>
            <w:r>
              <w:t xml:space="preserve">37.9%</w:t>
            </w:r>
          </w:p>
        </w:tc>
        <w:tc>
          <w:tcPr/>
          <w:p>
            <w:pPr>
              <w:pStyle w:val="Compact"/>
            </w:pPr>
            <w:r>
              <w:t xml:space="preserve">30.4%</w:t>
            </w:r>
          </w:p>
        </w:tc>
      </w:tr>
      <w:tr>
        <w:tc>
          <w:tcPr/>
          <w:p>
            <w:pPr>
              <w:pStyle w:val="Compact"/>
            </w:pPr>
            <w:r>
              <w:t xml:space="preserve">2016</w:t>
            </w:r>
          </w:p>
        </w:tc>
        <w:tc>
          <w:tcPr/>
          <w:p>
            <w:pPr>
              <w:pStyle w:val="Compact"/>
            </w:pPr>
            <w:r>
              <w:t xml:space="preserve">URPS (OB/GYN)</w:t>
            </w:r>
          </w:p>
        </w:tc>
        <w:tc>
          <w:tcPr/>
          <w:p>
            <w:pPr>
              <w:pStyle w:val="Compact"/>
            </w:pPr>
            <w:r>
              <w:t xml:space="preserve">314</w:t>
            </w:r>
          </w:p>
        </w:tc>
        <w:tc>
          <w:tcPr/>
          <w:p>
            <w:pPr>
              <w:pStyle w:val="Compact"/>
            </w:pPr>
            <w:r>
              <w:t xml:space="preserve">7675</w:t>
            </w:r>
          </w:p>
        </w:tc>
        <w:tc>
          <w:tcPr/>
          <w:p>
            <w:pPr>
              <w:pStyle w:val="Compact"/>
            </w:pPr>
            <w:r>
              <w:t xml:space="preserve">20 (14–29)</w:t>
            </w:r>
          </w:p>
        </w:tc>
        <w:tc>
          <w:tcPr/>
          <w:p>
            <w:pPr>
              <w:pStyle w:val="Compact"/>
            </w:pPr>
            <w:r>
              <w:t xml:space="preserve">0.281</w:t>
            </w:r>
          </w:p>
        </w:tc>
        <w:tc>
          <w:tcPr/>
          <w:p>
            <w:pPr>
              <w:pStyle w:val="Compact"/>
            </w:pPr>
            <w:r>
              <w:t xml:space="preserve">41.7</w:t>
            </w:r>
          </w:p>
        </w:tc>
        <w:tc>
          <w:tcPr/>
          <w:p>
            <w:pPr>
              <w:pStyle w:val="Compact"/>
            </w:pPr>
            <w:r>
              <w:t xml:space="preserve">23.4%</w:t>
            </w:r>
          </w:p>
        </w:tc>
        <w:tc>
          <w:tcPr/>
          <w:p>
            <w:pPr>
              <w:pStyle w:val="Compact"/>
            </w:pPr>
            <w:r>
              <w:t xml:space="preserve">38.3%</w:t>
            </w:r>
          </w:p>
        </w:tc>
        <w:tc>
          <w:tcPr/>
          <w:p>
            <w:pPr>
              <w:pStyle w:val="Compact"/>
            </w:pPr>
            <w:r>
              <w:t xml:space="preserve">30.5%</w:t>
            </w:r>
          </w:p>
        </w:tc>
      </w:tr>
      <w:tr>
        <w:tc>
          <w:tcPr/>
          <w:p>
            <w:pPr>
              <w:pStyle w:val="Compact"/>
            </w:pPr>
            <w:r>
              <w:t xml:space="preserve">2016</w:t>
            </w:r>
          </w:p>
        </w:tc>
        <w:tc>
          <w:tcPr/>
          <w:p>
            <w:pPr>
              <w:pStyle w:val="Compact"/>
            </w:pPr>
            <w:r>
              <w:t xml:space="preserve">URPS (urology)</w:t>
            </w:r>
          </w:p>
        </w:tc>
        <w:tc>
          <w:tcPr/>
          <w:p>
            <w:pPr>
              <w:pStyle w:val="Compact"/>
            </w:pPr>
            <w:r>
              <w:t xml:space="preserve">72</w:t>
            </w:r>
          </w:p>
        </w:tc>
        <w:tc>
          <w:tcPr/>
          <w:p>
            <w:pPr>
              <w:pStyle w:val="Compact"/>
            </w:pPr>
            <w:r>
              <w:t xml:space="preserve">1430</w:t>
            </w:r>
          </w:p>
        </w:tc>
        <w:tc>
          <w:tcPr/>
          <w:p>
            <w:pPr>
              <w:pStyle w:val="Compact"/>
            </w:pPr>
            <w:r>
              <w:t xml:space="preserve">16 (14–23)</w:t>
            </w:r>
          </w:p>
        </w:tc>
        <w:tc>
          <w:tcPr/>
          <w:p>
            <w:pPr>
              <w:pStyle w:val="Compact"/>
            </w:pPr>
            <w:r>
              <w:t xml:space="preserve">0.241</w:t>
            </w:r>
          </w:p>
        </w:tc>
        <w:tc>
          <w:tcPr/>
          <w:p>
            <w:pPr>
              <w:pStyle w:val="Compact"/>
            </w:pPr>
            <w:r>
              <w:t xml:space="preserve">181.3</w:t>
            </w:r>
          </w:p>
        </w:tc>
        <w:tc>
          <w:tcPr/>
          <w:p>
            <w:pPr>
              <w:pStyle w:val="Compact"/>
            </w:pPr>
            <w:r>
              <w:t xml:space="preserve">24.3%</w:t>
            </w:r>
          </w:p>
        </w:tc>
        <w:tc>
          <w:tcPr/>
          <w:p>
            <w:pPr>
              <w:pStyle w:val="Compact"/>
            </w:pPr>
            <w:r>
              <w:t xml:space="preserve">37.1%</w:t>
            </w:r>
          </w:p>
        </w:tc>
        <w:tc>
          <w:tcPr/>
          <w:p>
            <w:pPr>
              <w:pStyle w:val="Compact"/>
            </w:pPr>
            <w:r>
              <w:t xml:space="preserve">33.8%</w:t>
            </w:r>
          </w:p>
        </w:tc>
      </w:tr>
      <w:tr>
        <w:tc>
          <w:tcPr/>
          <w:p>
            <w:pPr>
              <w:pStyle w:val="Compact"/>
            </w:pPr>
            <w:r>
              <w:t xml:space="preserve">2017</w:t>
            </w:r>
          </w:p>
        </w:tc>
        <w:tc>
          <w:tcPr/>
          <w:p>
            <w:pPr>
              <w:pStyle w:val="Compact"/>
            </w:pPr>
            <w:r>
              <w:t xml:space="preserve">All</w:t>
            </w:r>
          </w:p>
        </w:tc>
        <w:tc>
          <w:tcPr/>
          <w:p>
            <w:pPr>
              <w:pStyle w:val="Compact"/>
            </w:pPr>
            <w:r>
              <w:t xml:space="preserve">694</w:t>
            </w:r>
          </w:p>
        </w:tc>
        <w:tc>
          <w:tcPr/>
          <w:p>
            <w:pPr>
              <w:pStyle w:val="Compact"/>
            </w:pPr>
            <w:r>
              <w:t xml:space="preserve">15274</w:t>
            </w:r>
          </w:p>
        </w:tc>
        <w:tc>
          <w:tcPr/>
          <w:p>
            <w:pPr>
              <w:pStyle w:val="Compact"/>
            </w:pPr>
            <w:r>
              <w:t xml:space="preserve">18 (13–26)</w:t>
            </w:r>
          </w:p>
        </w:tc>
        <w:tc>
          <w:tcPr/>
          <w:p>
            <w:pPr>
              <w:pStyle w:val="Compact"/>
            </w:pPr>
            <w:r>
              <w:t xml:space="preserve">0.281</w:t>
            </w:r>
          </w:p>
        </w:tc>
        <w:tc>
          <w:tcPr/>
          <w:p>
            <w:pPr>
              <w:pStyle w:val="Compact"/>
            </w:pPr>
            <w:r>
              <w:t xml:space="preserve">19.2</w:t>
            </w:r>
          </w:p>
        </w:tc>
        <w:tc>
          <w:tcPr/>
          <w:p>
            <w:pPr>
              <w:pStyle w:val="Compact"/>
            </w:pPr>
            <w:r>
              <w:t xml:space="preserve">23.8%</w:t>
            </w:r>
          </w:p>
        </w:tc>
        <w:tc>
          <w:tcPr/>
          <w:p>
            <w:pPr>
              <w:pStyle w:val="Compact"/>
            </w:pPr>
            <w:r>
              <w:t xml:space="preserve">38.9%</w:t>
            </w:r>
          </w:p>
        </w:tc>
        <w:tc>
          <w:tcPr/>
          <w:p>
            <w:pPr>
              <w:pStyle w:val="Compact"/>
            </w:pPr>
            <w:r>
              <w:t xml:space="preserve">30.7%</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126</w:t>
            </w:r>
          </w:p>
        </w:tc>
        <w:tc>
          <w:tcPr/>
          <w:p>
            <w:pPr>
              <w:pStyle w:val="Compact"/>
            </w:pPr>
            <w:r>
              <w:t xml:space="preserve">2341</w:t>
            </w:r>
          </w:p>
        </w:tc>
        <w:tc>
          <w:tcPr/>
          <w:p>
            <w:pPr>
              <w:pStyle w:val="Compact"/>
            </w:pPr>
            <w:r>
              <w:t xml:space="preserve">15 (12–21)</w:t>
            </w:r>
          </w:p>
        </w:tc>
        <w:tc>
          <w:tcPr/>
          <w:p>
            <w:pPr>
              <w:pStyle w:val="Compact"/>
            </w:pPr>
            <w:r>
              <w:t xml:space="preserve">0.249</w:t>
            </w:r>
          </w:p>
        </w:tc>
        <w:tc>
          <w:tcPr/>
          <w:p>
            <w:pPr>
              <w:pStyle w:val="Compact"/>
            </w:pPr>
            <w:r>
              <w:t xml:space="preserve">109.3</w:t>
            </w:r>
          </w:p>
        </w:tc>
        <w:tc>
          <w:tcPr/>
          <w:p>
            <w:pPr>
              <w:pStyle w:val="Compact"/>
            </w:pPr>
            <w:r>
              <w:t xml:space="preserve">24.0%</w:t>
            </w:r>
          </w:p>
        </w:tc>
        <w:tc>
          <w:tcPr/>
          <w:p>
            <w:pPr>
              <w:pStyle w:val="Compact"/>
            </w:pPr>
            <w:r>
              <w:t xml:space="preserve">37.7%</w:t>
            </w:r>
          </w:p>
        </w:tc>
        <w:tc>
          <w:tcPr/>
          <w:p>
            <w:pPr>
              <w:pStyle w:val="Compact"/>
            </w:pPr>
            <w:r>
              <w:t xml:space="preserve">33.3%</w:t>
            </w:r>
          </w:p>
        </w:tc>
      </w:tr>
      <w:tr>
        <w:tc>
          <w:tcPr/>
          <w:p>
            <w:pPr>
              <w:pStyle w:val="Compact"/>
            </w:pPr>
            <w:r>
              <w:t xml:space="preserve">2017</w:t>
            </w:r>
          </w:p>
        </w:tc>
        <w:tc>
          <w:tcPr/>
          <w:p>
            <w:pPr>
              <w:pStyle w:val="Compact"/>
            </w:pPr>
            <w:r>
              <w:t xml:space="preserve">Other/uncertain</w:t>
            </w:r>
          </w:p>
        </w:tc>
        <w:tc>
          <w:tcPr/>
          <w:p>
            <w:pPr>
              <w:pStyle w:val="Compact"/>
            </w:pPr>
            <w:r>
              <w:t xml:space="preserve">55</w:t>
            </w:r>
          </w:p>
        </w:tc>
        <w:tc>
          <w:tcPr/>
          <w:p>
            <w:pPr>
              <w:pStyle w:val="Compact"/>
            </w:pPr>
            <w:r>
              <w:t xml:space="preserve">1189</w:t>
            </w:r>
          </w:p>
        </w:tc>
        <w:tc>
          <w:tcPr/>
          <w:p>
            <w:pPr>
              <w:pStyle w:val="Compact"/>
            </w:pPr>
            <w:r>
              <w:t xml:space="preserve">16 (13–26)</w:t>
            </w:r>
          </w:p>
        </w:tc>
        <w:tc>
          <w:tcPr/>
          <w:p>
            <w:pPr>
              <w:pStyle w:val="Compact"/>
            </w:pPr>
            <w:r>
              <w:t xml:space="preserve">0.286</w:t>
            </w:r>
          </w:p>
        </w:tc>
        <w:tc>
          <w:tcPr/>
          <w:p>
            <w:pPr>
              <w:pStyle w:val="Compact"/>
            </w:pPr>
            <w:r>
              <w:t xml:space="preserve">243.2</w:t>
            </w:r>
          </w:p>
        </w:tc>
        <w:tc>
          <w:tcPr/>
          <w:p>
            <w:pPr>
              <w:pStyle w:val="Compact"/>
            </w:pPr>
            <w:r>
              <w:t xml:space="preserve">25.5%</w:t>
            </w:r>
          </w:p>
        </w:tc>
        <w:tc>
          <w:tcPr/>
          <w:p>
            <w:pPr>
              <w:pStyle w:val="Compact"/>
            </w:pPr>
            <w:r>
              <w:t xml:space="preserve">39.1%</w:t>
            </w:r>
          </w:p>
        </w:tc>
        <w:tc>
          <w:tcPr/>
          <w:p>
            <w:pPr>
              <w:pStyle w:val="Compact"/>
            </w:pPr>
            <w:r>
              <w:t xml:space="preserve">29.4%</w:t>
            </w:r>
          </w:p>
        </w:tc>
      </w:tr>
      <w:tr>
        <w:tc>
          <w:tcPr/>
          <w:p>
            <w:pPr>
              <w:pStyle w:val="Compact"/>
            </w:pPr>
            <w:r>
              <w:t xml:space="preserve">2017</w:t>
            </w:r>
          </w:p>
        </w:tc>
        <w:tc>
          <w:tcPr/>
          <w:p>
            <w:pPr>
              <w:pStyle w:val="Compact"/>
            </w:pPr>
            <w:r>
              <w:t xml:space="preserve">URPS (OB/GYN)</w:t>
            </w:r>
          </w:p>
        </w:tc>
        <w:tc>
          <w:tcPr/>
          <w:p>
            <w:pPr>
              <w:pStyle w:val="Compact"/>
            </w:pPr>
            <w:r>
              <w:t xml:space="preserve">341</w:t>
            </w:r>
          </w:p>
        </w:tc>
        <w:tc>
          <w:tcPr/>
          <w:p>
            <w:pPr>
              <w:pStyle w:val="Compact"/>
            </w:pPr>
            <w:r>
              <w:t xml:space="preserve">8217</w:t>
            </w:r>
          </w:p>
        </w:tc>
        <w:tc>
          <w:tcPr/>
          <w:p>
            <w:pPr>
              <w:pStyle w:val="Compact"/>
            </w:pPr>
            <w:r>
              <w:t xml:space="preserve">20 (14–30)</w:t>
            </w:r>
          </w:p>
        </w:tc>
        <w:tc>
          <w:tcPr/>
          <w:p>
            <w:pPr>
              <w:pStyle w:val="Compact"/>
            </w:pPr>
            <w:r>
              <w:t xml:space="preserve">0.285</w:t>
            </w:r>
          </w:p>
        </w:tc>
        <w:tc>
          <w:tcPr/>
          <w:p>
            <w:pPr>
              <w:pStyle w:val="Compact"/>
            </w:pPr>
            <w:r>
              <w:t xml:space="preserve">38.4</w:t>
            </w:r>
          </w:p>
        </w:tc>
        <w:tc>
          <w:tcPr/>
          <w:p>
            <w:pPr>
              <w:pStyle w:val="Compact"/>
            </w:pPr>
            <w:r>
              <w:t xml:space="preserve">23.0%</w:t>
            </w:r>
          </w:p>
        </w:tc>
        <w:tc>
          <w:tcPr/>
          <w:p>
            <w:pPr>
              <w:pStyle w:val="Compact"/>
            </w:pPr>
            <w:r>
              <w:t xml:space="preserve">38.7%</w:t>
            </w:r>
          </w:p>
        </w:tc>
        <w:tc>
          <w:tcPr/>
          <w:p>
            <w:pPr>
              <w:pStyle w:val="Compact"/>
            </w:pPr>
            <w:r>
              <w:t xml:space="preserve">30.0%</w:t>
            </w:r>
          </w:p>
        </w:tc>
      </w:tr>
      <w:tr>
        <w:tc>
          <w:tcPr/>
          <w:p>
            <w:pPr>
              <w:pStyle w:val="Compact"/>
            </w:pPr>
            <w:r>
              <w:t xml:space="preserve">2017</w:t>
            </w:r>
          </w:p>
        </w:tc>
        <w:tc>
          <w:tcPr/>
          <w:p>
            <w:pPr>
              <w:pStyle w:val="Compact"/>
            </w:pPr>
            <w:r>
              <w:t xml:space="preserve">URPS (urology)</w:t>
            </w:r>
          </w:p>
        </w:tc>
        <w:tc>
          <w:tcPr/>
          <w:p>
            <w:pPr>
              <w:pStyle w:val="Compact"/>
            </w:pPr>
            <w:r>
              <w:t xml:space="preserve">74</w:t>
            </w:r>
          </w:p>
        </w:tc>
        <w:tc>
          <w:tcPr/>
          <w:p>
            <w:pPr>
              <w:pStyle w:val="Compact"/>
            </w:pPr>
            <w:r>
              <w:t xml:space="preserve">1523</w:t>
            </w:r>
          </w:p>
        </w:tc>
        <w:tc>
          <w:tcPr/>
          <w:p>
            <w:pPr>
              <w:pStyle w:val="Compact"/>
            </w:pPr>
            <w:r>
              <w:t xml:space="preserve">17 (14–24)</w:t>
            </w:r>
          </w:p>
        </w:tc>
        <w:tc>
          <w:tcPr/>
          <w:p>
            <w:pPr>
              <w:pStyle w:val="Compact"/>
            </w:pPr>
            <w:r>
              <w:t xml:space="preserve">0.246</w:t>
            </w:r>
          </w:p>
        </w:tc>
        <w:tc>
          <w:tcPr/>
          <w:p>
            <w:pPr>
              <w:pStyle w:val="Compact"/>
            </w:pPr>
            <w:r>
              <w:t xml:space="preserve">169.4</w:t>
            </w:r>
          </w:p>
        </w:tc>
        <w:tc>
          <w:tcPr/>
          <w:p>
            <w:pPr>
              <w:pStyle w:val="Compact"/>
            </w:pPr>
            <w:r>
              <w:t xml:space="preserve">22.9%</w:t>
            </w:r>
          </w:p>
        </w:tc>
        <w:tc>
          <w:tcPr/>
          <w:p>
            <w:pPr>
              <w:pStyle w:val="Compact"/>
            </w:pPr>
            <w:r>
              <w:t xml:space="preserve">36.0%</w:t>
            </w:r>
          </w:p>
        </w:tc>
        <w:tc>
          <w:tcPr/>
          <w:p>
            <w:pPr>
              <w:pStyle w:val="Compact"/>
            </w:pPr>
            <w:r>
              <w:t xml:space="preserve">32.9%</w:t>
            </w:r>
          </w:p>
        </w:tc>
      </w:tr>
      <w:tr>
        <w:tc>
          <w:tcPr/>
          <w:p>
            <w:pPr>
              <w:pStyle w:val="Compact"/>
            </w:pPr>
            <w:r>
              <w:t xml:space="preserve">2018</w:t>
            </w:r>
          </w:p>
        </w:tc>
        <w:tc>
          <w:tcPr/>
          <w:p>
            <w:pPr>
              <w:pStyle w:val="Compact"/>
            </w:pPr>
            <w:r>
              <w:t xml:space="preserve">All</w:t>
            </w:r>
          </w:p>
        </w:tc>
        <w:tc>
          <w:tcPr/>
          <w:p>
            <w:pPr>
              <w:pStyle w:val="Compact"/>
            </w:pPr>
            <w:r>
              <w:t xml:space="preserve">640</w:t>
            </w:r>
          </w:p>
        </w:tc>
        <w:tc>
          <w:tcPr/>
          <w:p>
            <w:pPr>
              <w:pStyle w:val="Compact"/>
            </w:pPr>
            <w:r>
              <w:t xml:space="preserve">14455</w:t>
            </w:r>
          </w:p>
        </w:tc>
        <w:tc>
          <w:tcPr/>
          <w:p>
            <w:pPr>
              <w:pStyle w:val="Compact"/>
            </w:pPr>
            <w:r>
              <w:t xml:space="preserve">19 (14–27)</w:t>
            </w:r>
          </w:p>
        </w:tc>
        <w:tc>
          <w:tcPr/>
          <w:p>
            <w:pPr>
              <w:pStyle w:val="Compact"/>
            </w:pPr>
            <w:r>
              <w:t xml:space="preserve">0.275</w:t>
            </w:r>
          </w:p>
        </w:tc>
        <w:tc>
          <w:tcPr/>
          <w:p>
            <w:pPr>
              <w:pStyle w:val="Compact"/>
            </w:pPr>
            <w:r>
              <w:t xml:space="preserve">20.4</w:t>
            </w:r>
          </w:p>
        </w:tc>
        <w:tc>
          <w:tcPr/>
          <w:p>
            <w:pPr>
              <w:pStyle w:val="Compact"/>
            </w:pPr>
            <w:r>
              <w:t xml:space="preserve">22.9%</w:t>
            </w:r>
          </w:p>
        </w:tc>
        <w:tc>
          <w:tcPr/>
          <w:p>
            <w:pPr>
              <w:pStyle w:val="Compact"/>
            </w:pPr>
            <w:r>
              <w:t xml:space="preserve">37.9%</w:t>
            </w:r>
          </w:p>
        </w:tc>
        <w:tc>
          <w:tcPr/>
          <w:p>
            <w:pPr>
              <w:pStyle w:val="Compact"/>
            </w:pPr>
            <w:r>
              <w:t xml:space="preserve">31.0%</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112</w:t>
            </w:r>
          </w:p>
        </w:tc>
        <w:tc>
          <w:tcPr/>
          <w:p>
            <w:pPr>
              <w:pStyle w:val="Compact"/>
            </w:pPr>
            <w:r>
              <w:t xml:space="preserve">2195</w:t>
            </w:r>
          </w:p>
        </w:tc>
        <w:tc>
          <w:tcPr/>
          <w:p>
            <w:pPr>
              <w:pStyle w:val="Compact"/>
            </w:pPr>
            <w:r>
              <w:t xml:space="preserve">16 (13–24)</w:t>
            </w:r>
          </w:p>
        </w:tc>
        <w:tc>
          <w:tcPr/>
          <w:p>
            <w:pPr>
              <w:pStyle w:val="Compact"/>
            </w:pPr>
            <w:r>
              <w:t xml:space="preserve">0.257</w:t>
            </w:r>
          </w:p>
        </w:tc>
        <w:tc>
          <w:tcPr/>
          <w:p>
            <w:pPr>
              <w:pStyle w:val="Compact"/>
            </w:pPr>
            <w:r>
              <w:t xml:space="preserve">117.5</w:t>
            </w:r>
          </w:p>
        </w:tc>
        <w:tc>
          <w:tcPr/>
          <w:p>
            <w:pPr>
              <w:pStyle w:val="Compact"/>
            </w:pPr>
            <w:r>
              <w:t xml:space="preserve">23.6%</w:t>
            </w:r>
          </w:p>
        </w:tc>
        <w:tc>
          <w:tcPr/>
          <w:p>
            <w:pPr>
              <w:pStyle w:val="Compact"/>
            </w:pPr>
            <w:r>
              <w:t xml:space="preserve">37.7%</w:t>
            </w:r>
          </w:p>
        </w:tc>
        <w:tc>
          <w:tcPr/>
          <w:p>
            <w:pPr>
              <w:pStyle w:val="Compact"/>
            </w:pPr>
            <w:r>
              <w:t xml:space="preserve">32.3%</w:t>
            </w:r>
          </w:p>
        </w:tc>
      </w:tr>
      <w:tr>
        <w:tc>
          <w:tcPr/>
          <w:p>
            <w:pPr>
              <w:pStyle w:val="Compact"/>
            </w:pPr>
            <w:r>
              <w:t xml:space="preserve">2018</w:t>
            </w:r>
          </w:p>
        </w:tc>
        <w:tc>
          <w:tcPr/>
          <w:p>
            <w:pPr>
              <w:pStyle w:val="Compact"/>
            </w:pPr>
            <w:r>
              <w:t xml:space="preserve">Other/uncertain</w:t>
            </w:r>
          </w:p>
        </w:tc>
        <w:tc>
          <w:tcPr/>
          <w:p>
            <w:pPr>
              <w:pStyle w:val="Compact"/>
            </w:pPr>
            <w:r>
              <w:t xml:space="preserve">55</w:t>
            </w:r>
          </w:p>
        </w:tc>
        <w:tc>
          <w:tcPr/>
          <w:p>
            <w:pPr>
              <w:pStyle w:val="Compact"/>
            </w:pPr>
            <w:r>
              <w:t xml:space="preserve">1284</w:t>
            </w:r>
          </w:p>
        </w:tc>
        <w:tc>
          <w:tcPr/>
          <w:p>
            <w:pPr>
              <w:pStyle w:val="Compact"/>
            </w:pPr>
            <w:r>
              <w:t xml:space="preserve">19 (14–26)</w:t>
            </w:r>
          </w:p>
        </w:tc>
        <w:tc>
          <w:tcPr/>
          <w:p>
            <w:pPr>
              <w:pStyle w:val="Compact"/>
            </w:pPr>
            <w:r>
              <w:t xml:space="preserve">0.275</w:t>
            </w:r>
          </w:p>
        </w:tc>
        <w:tc>
          <w:tcPr/>
          <w:p>
            <w:pPr>
              <w:pStyle w:val="Compact"/>
            </w:pPr>
            <w:r>
              <w:t xml:space="preserve">234.2</w:t>
            </w:r>
          </w:p>
        </w:tc>
        <w:tc>
          <w:tcPr/>
          <w:p>
            <w:pPr>
              <w:pStyle w:val="Compact"/>
            </w:pPr>
            <w:r>
              <w:t xml:space="preserve">24.0%</w:t>
            </w:r>
          </w:p>
        </w:tc>
        <w:tc>
          <w:tcPr/>
          <w:p>
            <w:pPr>
              <w:pStyle w:val="Compact"/>
            </w:pPr>
            <w:r>
              <w:t xml:space="preserve">39.2%</w:t>
            </w:r>
          </w:p>
        </w:tc>
        <w:tc>
          <w:tcPr/>
          <w:p>
            <w:pPr>
              <w:pStyle w:val="Compact"/>
            </w:pPr>
            <w:r>
              <w:t xml:space="preserve">30.5%</w:t>
            </w:r>
          </w:p>
        </w:tc>
      </w:tr>
      <w:tr>
        <w:tc>
          <w:tcPr/>
          <w:p>
            <w:pPr>
              <w:pStyle w:val="Compact"/>
            </w:pPr>
            <w:r>
              <w:t xml:space="preserve">2018</w:t>
            </w:r>
          </w:p>
        </w:tc>
        <w:tc>
          <w:tcPr/>
          <w:p>
            <w:pPr>
              <w:pStyle w:val="Compact"/>
            </w:pPr>
            <w:r>
              <w:t xml:space="preserve">URPS (OB/GYN)</w:t>
            </w:r>
          </w:p>
        </w:tc>
        <w:tc>
          <w:tcPr/>
          <w:p>
            <w:pPr>
              <w:pStyle w:val="Compact"/>
            </w:pPr>
            <w:r>
              <w:t xml:space="preserve">327</w:t>
            </w:r>
          </w:p>
        </w:tc>
        <w:tc>
          <w:tcPr/>
          <w:p>
            <w:pPr>
              <w:pStyle w:val="Compact"/>
            </w:pPr>
            <w:r>
              <w:t xml:space="preserve">8069</w:t>
            </w:r>
          </w:p>
        </w:tc>
        <w:tc>
          <w:tcPr/>
          <w:p>
            <w:pPr>
              <w:pStyle w:val="Compact"/>
            </w:pPr>
            <w:r>
              <w:t xml:space="preserve">21 (15–32)</w:t>
            </w:r>
          </w:p>
        </w:tc>
        <w:tc>
          <w:tcPr/>
          <w:p>
            <w:pPr>
              <w:pStyle w:val="Compact"/>
            </w:pPr>
            <w:r>
              <w:t xml:space="preserve">0.280</w:t>
            </w:r>
          </w:p>
        </w:tc>
        <w:tc>
          <w:tcPr/>
          <w:p>
            <w:pPr>
              <w:pStyle w:val="Compact"/>
            </w:pPr>
            <w:r>
              <w:t xml:space="preserve">39.6</w:t>
            </w:r>
          </w:p>
        </w:tc>
        <w:tc>
          <w:tcPr/>
          <w:p>
            <w:pPr>
              <w:pStyle w:val="Compact"/>
            </w:pPr>
            <w:r>
              <w:t xml:space="preserve">22.3%</w:t>
            </w:r>
          </w:p>
        </w:tc>
        <w:tc>
          <w:tcPr/>
          <w:p>
            <w:pPr>
              <w:pStyle w:val="Compact"/>
            </w:pPr>
            <w:r>
              <w:t xml:space="preserve">37.6%</w:t>
            </w:r>
          </w:p>
        </w:tc>
        <w:tc>
          <w:tcPr/>
          <w:p>
            <w:pPr>
              <w:pStyle w:val="Compact"/>
            </w:pPr>
            <w:r>
              <w:t xml:space="preserve">30.1%</w:t>
            </w:r>
          </w:p>
        </w:tc>
      </w:tr>
      <w:tr>
        <w:tc>
          <w:tcPr/>
          <w:p>
            <w:pPr>
              <w:pStyle w:val="Compact"/>
            </w:pPr>
            <w:r>
              <w:t xml:space="preserve">2018</w:t>
            </w:r>
          </w:p>
        </w:tc>
        <w:tc>
          <w:tcPr/>
          <w:p>
            <w:pPr>
              <w:pStyle w:val="Compact"/>
            </w:pPr>
            <w:r>
              <w:t xml:space="preserve">URPS (urology)</w:t>
            </w:r>
          </w:p>
        </w:tc>
        <w:tc>
          <w:tcPr/>
          <w:p>
            <w:pPr>
              <w:pStyle w:val="Compact"/>
            </w:pPr>
            <w:r>
              <w:t xml:space="preserve">60</w:t>
            </w:r>
          </w:p>
        </w:tc>
        <w:tc>
          <w:tcPr/>
          <w:p>
            <w:pPr>
              <w:pStyle w:val="Compact"/>
            </w:pPr>
            <w:r>
              <w:t xml:space="preserve">1170</w:t>
            </w:r>
          </w:p>
        </w:tc>
        <w:tc>
          <w:tcPr/>
          <w:p>
            <w:pPr>
              <w:pStyle w:val="Compact"/>
            </w:pPr>
            <w:r>
              <w:t xml:space="preserve">16 (14–24)</w:t>
            </w:r>
          </w:p>
        </w:tc>
        <w:tc>
          <w:tcPr/>
          <w:p>
            <w:pPr>
              <w:pStyle w:val="Compact"/>
            </w:pPr>
            <w:r>
              <w:t xml:space="preserve">0.224</w:t>
            </w:r>
          </w:p>
        </w:tc>
        <w:tc>
          <w:tcPr/>
          <w:p>
            <w:pPr>
              <w:pStyle w:val="Compact"/>
            </w:pPr>
            <w:r>
              <w:t xml:space="preserve">202.3</w:t>
            </w:r>
          </w:p>
        </w:tc>
        <w:tc>
          <w:tcPr/>
          <w:p>
            <w:pPr>
              <w:pStyle w:val="Compact"/>
            </w:pPr>
            <w:r>
              <w:t xml:space="preserve">20.1%</w:t>
            </w:r>
          </w:p>
        </w:tc>
        <w:tc>
          <w:tcPr/>
          <w:p>
            <w:pPr>
              <w:pStyle w:val="Compact"/>
            </w:pPr>
            <w:r>
              <w:t xml:space="preserve">34.1%</w:t>
            </w:r>
          </w:p>
        </w:tc>
        <w:tc>
          <w:tcPr/>
          <w:p>
            <w:pPr>
              <w:pStyle w:val="Compact"/>
            </w:pPr>
            <w:r>
              <w:t xml:space="preserve">34.4%</w:t>
            </w:r>
          </w:p>
        </w:tc>
      </w:tr>
      <w:tr>
        <w:tc>
          <w:tcPr/>
          <w:p>
            <w:pPr>
              <w:pStyle w:val="Compact"/>
            </w:pPr>
            <w:r>
              <w:t xml:space="preserve">2019</w:t>
            </w:r>
          </w:p>
        </w:tc>
        <w:tc>
          <w:tcPr/>
          <w:p>
            <w:pPr>
              <w:pStyle w:val="Compact"/>
            </w:pPr>
            <w:r>
              <w:t xml:space="preserve">All</w:t>
            </w:r>
          </w:p>
        </w:tc>
        <w:tc>
          <w:tcPr/>
          <w:p>
            <w:pPr>
              <w:pStyle w:val="Compact"/>
            </w:pPr>
            <w:r>
              <w:t xml:space="preserve">610</w:t>
            </w:r>
          </w:p>
        </w:tc>
        <w:tc>
          <w:tcPr/>
          <w:p>
            <w:pPr>
              <w:pStyle w:val="Compact"/>
            </w:pPr>
            <w:r>
              <w:t xml:space="preserve">13875</w:t>
            </w:r>
          </w:p>
        </w:tc>
        <w:tc>
          <w:tcPr/>
          <w:p>
            <w:pPr>
              <w:pStyle w:val="Compact"/>
            </w:pPr>
            <w:r>
              <w:t xml:space="preserve">19 (14–27)</w:t>
            </w:r>
          </w:p>
        </w:tc>
        <w:tc>
          <w:tcPr/>
          <w:p>
            <w:pPr>
              <w:pStyle w:val="Compact"/>
            </w:pPr>
            <w:r>
              <w:t xml:space="preserve">0.275</w:t>
            </w:r>
          </w:p>
        </w:tc>
        <w:tc>
          <w:tcPr/>
          <w:p>
            <w:pPr>
              <w:pStyle w:val="Compact"/>
            </w:pPr>
            <w:r>
              <w:t xml:space="preserve">21.4</w:t>
            </w:r>
          </w:p>
        </w:tc>
        <w:tc>
          <w:tcPr/>
          <w:p>
            <w:pPr>
              <w:pStyle w:val="Compact"/>
            </w:pPr>
            <w:r>
              <w:t xml:space="preserve">23.4%</w:t>
            </w:r>
          </w:p>
        </w:tc>
        <w:tc>
          <w:tcPr/>
          <w:p>
            <w:pPr>
              <w:pStyle w:val="Compact"/>
            </w:pPr>
            <w:r>
              <w:t xml:space="preserve">38.0%</w:t>
            </w:r>
          </w:p>
        </w:tc>
        <w:tc>
          <w:tcPr/>
          <w:p>
            <w:pPr>
              <w:pStyle w:val="Compact"/>
            </w:pPr>
            <w:r>
              <w:t xml:space="preserve">31.1%</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82</w:t>
            </w:r>
          </w:p>
        </w:tc>
        <w:tc>
          <w:tcPr/>
          <w:p>
            <w:pPr>
              <w:pStyle w:val="Compact"/>
            </w:pPr>
            <w:r>
              <w:t xml:space="preserve">1621</w:t>
            </w:r>
          </w:p>
        </w:tc>
        <w:tc>
          <w:tcPr/>
          <w:p>
            <w:pPr>
              <w:pStyle w:val="Compact"/>
            </w:pPr>
            <w:r>
              <w:t xml:space="preserve">16 (13–24)</w:t>
            </w:r>
          </w:p>
        </w:tc>
        <w:tc>
          <w:tcPr/>
          <w:p>
            <w:pPr>
              <w:pStyle w:val="Compact"/>
            </w:pPr>
            <w:r>
              <w:t xml:space="preserve">0.239</w:t>
            </w:r>
          </w:p>
        </w:tc>
        <w:tc>
          <w:tcPr/>
          <w:p>
            <w:pPr>
              <w:pStyle w:val="Compact"/>
            </w:pPr>
            <w:r>
              <w:t xml:space="preserve">152.7</w:t>
            </w:r>
          </w:p>
        </w:tc>
        <w:tc>
          <w:tcPr/>
          <w:p>
            <w:pPr>
              <w:pStyle w:val="Compact"/>
            </w:pPr>
            <w:r>
              <w:t xml:space="preserve">22.9%</w:t>
            </w:r>
          </w:p>
        </w:tc>
        <w:tc>
          <w:tcPr/>
          <w:p>
            <w:pPr>
              <w:pStyle w:val="Compact"/>
            </w:pPr>
            <w:r>
              <w:t xml:space="preserve">36.4%</w:t>
            </w:r>
          </w:p>
        </w:tc>
        <w:tc>
          <w:tcPr/>
          <w:p>
            <w:pPr>
              <w:pStyle w:val="Compact"/>
            </w:pPr>
            <w:r>
              <w:t xml:space="preserve">33.5%</w:t>
            </w:r>
          </w:p>
        </w:tc>
      </w:tr>
      <w:tr>
        <w:tc>
          <w:tcPr/>
          <w:p>
            <w:pPr>
              <w:pStyle w:val="Compact"/>
            </w:pPr>
            <w:r>
              <w:t xml:space="preserve">2019</w:t>
            </w:r>
          </w:p>
        </w:tc>
        <w:tc>
          <w:tcPr/>
          <w:p>
            <w:pPr>
              <w:pStyle w:val="Compact"/>
            </w:pPr>
            <w:r>
              <w:t xml:space="preserve">Other/uncertain</w:t>
            </w:r>
          </w:p>
        </w:tc>
        <w:tc>
          <w:tcPr/>
          <w:p>
            <w:pPr>
              <w:pStyle w:val="Compact"/>
            </w:pPr>
            <w:r>
              <w:t xml:space="preserve">52</w:t>
            </w:r>
          </w:p>
        </w:tc>
        <w:tc>
          <w:tcPr/>
          <w:p>
            <w:pPr>
              <w:pStyle w:val="Compact"/>
            </w:pPr>
            <w:r>
              <w:t xml:space="preserve">1155</w:t>
            </w:r>
          </w:p>
        </w:tc>
        <w:tc>
          <w:tcPr/>
          <w:p>
            <w:pPr>
              <w:pStyle w:val="Compact"/>
            </w:pPr>
            <w:r>
              <w:t xml:space="preserve">18 (14–27)</w:t>
            </w:r>
          </w:p>
        </w:tc>
        <w:tc>
          <w:tcPr/>
          <w:p>
            <w:pPr>
              <w:pStyle w:val="Compact"/>
            </w:pPr>
            <w:r>
              <w:t xml:space="preserve">0.271</w:t>
            </w:r>
          </w:p>
        </w:tc>
        <w:tc>
          <w:tcPr/>
          <w:p>
            <w:pPr>
              <w:pStyle w:val="Compact"/>
            </w:pPr>
            <w:r>
              <w:t xml:space="preserve">249.7</w:t>
            </w:r>
          </w:p>
        </w:tc>
        <w:tc>
          <w:tcPr/>
          <w:p>
            <w:pPr>
              <w:pStyle w:val="Compact"/>
            </w:pPr>
            <w:r>
              <w:t xml:space="preserve">25.7%</w:t>
            </w:r>
          </w:p>
        </w:tc>
        <w:tc>
          <w:tcPr/>
          <w:p>
            <w:pPr>
              <w:pStyle w:val="Compact"/>
            </w:pPr>
            <w:r>
              <w:t xml:space="preserve">39.0%</w:t>
            </w:r>
          </w:p>
        </w:tc>
        <w:tc>
          <w:tcPr/>
          <w:p>
            <w:pPr>
              <w:pStyle w:val="Compact"/>
            </w:pPr>
            <w:r>
              <w:t xml:space="preserve">31.2%</w:t>
            </w:r>
          </w:p>
        </w:tc>
      </w:tr>
      <w:tr>
        <w:tc>
          <w:tcPr/>
          <w:p>
            <w:pPr>
              <w:pStyle w:val="Compact"/>
            </w:pPr>
            <w:r>
              <w:t xml:space="preserve">2019</w:t>
            </w:r>
          </w:p>
        </w:tc>
        <w:tc>
          <w:tcPr/>
          <w:p>
            <w:pPr>
              <w:pStyle w:val="Compact"/>
            </w:pPr>
            <w:r>
              <w:t xml:space="preserve">URPS (OB/GYN)</w:t>
            </w:r>
          </w:p>
        </w:tc>
        <w:tc>
          <w:tcPr/>
          <w:p>
            <w:pPr>
              <w:pStyle w:val="Compact"/>
            </w:pPr>
            <w:r>
              <w:t xml:space="preserve">328</w:t>
            </w:r>
          </w:p>
        </w:tc>
        <w:tc>
          <w:tcPr/>
          <w:p>
            <w:pPr>
              <w:pStyle w:val="Compact"/>
            </w:pPr>
            <w:r>
              <w:t xml:space="preserve">8059</w:t>
            </w:r>
          </w:p>
        </w:tc>
        <w:tc>
          <w:tcPr/>
          <w:p>
            <w:pPr>
              <w:pStyle w:val="Compact"/>
            </w:pPr>
            <w:r>
              <w:t xml:space="preserve">20 (15–29)</w:t>
            </w:r>
          </w:p>
        </w:tc>
        <w:tc>
          <w:tcPr/>
          <w:p>
            <w:pPr>
              <w:pStyle w:val="Compact"/>
            </w:pPr>
            <w:r>
              <w:t xml:space="preserve">0.277</w:t>
            </w:r>
          </w:p>
        </w:tc>
        <w:tc>
          <w:tcPr/>
          <w:p>
            <w:pPr>
              <w:pStyle w:val="Compact"/>
            </w:pPr>
            <w:r>
              <w:t xml:space="preserve">39.4</w:t>
            </w:r>
          </w:p>
        </w:tc>
        <w:tc>
          <w:tcPr/>
          <w:p>
            <w:pPr>
              <w:pStyle w:val="Compact"/>
            </w:pPr>
            <w:r>
              <w:t xml:space="preserve">22.7%</w:t>
            </w:r>
          </w:p>
        </w:tc>
        <w:tc>
          <w:tcPr/>
          <w:p>
            <w:pPr>
              <w:pStyle w:val="Compact"/>
            </w:pPr>
            <w:r>
              <w:t xml:space="preserve">38.2%</w:t>
            </w:r>
          </w:p>
        </w:tc>
        <w:tc>
          <w:tcPr/>
          <w:p>
            <w:pPr>
              <w:pStyle w:val="Compact"/>
            </w:pPr>
            <w:r>
              <w:t xml:space="preserve">31.0%</w:t>
            </w:r>
          </w:p>
        </w:tc>
      </w:tr>
      <w:tr>
        <w:tc>
          <w:tcPr/>
          <w:p>
            <w:pPr>
              <w:pStyle w:val="Compact"/>
            </w:pPr>
            <w:r>
              <w:t xml:space="preserve">2019</w:t>
            </w:r>
          </w:p>
        </w:tc>
        <w:tc>
          <w:tcPr/>
          <w:p>
            <w:pPr>
              <w:pStyle w:val="Compact"/>
            </w:pPr>
            <w:r>
              <w:t xml:space="preserve">URPS (urology)</w:t>
            </w:r>
          </w:p>
        </w:tc>
        <w:tc>
          <w:tcPr/>
          <w:p>
            <w:pPr>
              <w:pStyle w:val="Compact"/>
            </w:pPr>
            <w:r>
              <w:t xml:space="preserve">58</w:t>
            </w:r>
          </w:p>
        </w:tc>
        <w:tc>
          <w:tcPr/>
          <w:p>
            <w:pPr>
              <w:pStyle w:val="Compact"/>
            </w:pPr>
            <w:r>
              <w:t xml:space="preserve">1115</w:t>
            </w:r>
          </w:p>
        </w:tc>
        <w:tc>
          <w:tcPr/>
          <w:p>
            <w:pPr>
              <w:pStyle w:val="Compact"/>
            </w:pPr>
            <w:r>
              <w:t xml:space="preserve">16 (13–24)</w:t>
            </w:r>
          </w:p>
        </w:tc>
        <w:tc>
          <w:tcPr/>
          <w:p>
            <w:pPr>
              <w:pStyle w:val="Compact"/>
            </w:pPr>
            <w:r>
              <w:t xml:space="preserve">0.225</w:t>
            </w:r>
          </w:p>
        </w:tc>
        <w:tc>
          <w:tcPr/>
          <w:p>
            <w:pPr>
              <w:pStyle w:val="Compact"/>
            </w:pPr>
            <w:r>
              <w:t xml:space="preserve">215.0</w:t>
            </w:r>
          </w:p>
        </w:tc>
        <w:tc>
          <w:tcPr/>
          <w:p>
            <w:pPr>
              <w:pStyle w:val="Compact"/>
            </w:pPr>
            <w:r>
              <w:t xml:space="preserve">21.3%</w:t>
            </w:r>
          </w:p>
        </w:tc>
        <w:tc>
          <w:tcPr/>
          <w:p>
            <w:pPr>
              <w:pStyle w:val="Compact"/>
            </w:pPr>
            <w:r>
              <w:t xml:space="preserve">35.3%</w:t>
            </w:r>
          </w:p>
        </w:tc>
        <w:tc>
          <w:tcPr/>
          <w:p>
            <w:pPr>
              <w:pStyle w:val="Compact"/>
            </w:pPr>
            <w:r>
              <w:t xml:space="preserve">34.6%</w:t>
            </w:r>
          </w:p>
        </w:tc>
      </w:tr>
      <w:tr>
        <w:tc>
          <w:tcPr/>
          <w:p>
            <w:pPr>
              <w:pStyle w:val="Compact"/>
            </w:pPr>
            <w:r>
              <w:t xml:space="preserve">2020</w:t>
            </w:r>
          </w:p>
        </w:tc>
        <w:tc>
          <w:tcPr/>
          <w:p>
            <w:pPr>
              <w:pStyle w:val="Compact"/>
            </w:pPr>
            <w:r>
              <w:t xml:space="preserve">All</w:t>
            </w:r>
          </w:p>
        </w:tc>
        <w:tc>
          <w:tcPr/>
          <w:p>
            <w:pPr>
              <w:pStyle w:val="Compact"/>
            </w:pPr>
            <w:r>
              <w:t xml:space="preserve">423</w:t>
            </w:r>
          </w:p>
        </w:tc>
        <w:tc>
          <w:tcPr/>
          <w:p>
            <w:pPr>
              <w:pStyle w:val="Compact"/>
            </w:pPr>
            <w:r>
              <w:t xml:space="preserve">8783</w:t>
            </w:r>
          </w:p>
        </w:tc>
        <w:tc>
          <w:tcPr/>
          <w:p>
            <w:pPr>
              <w:pStyle w:val="Compact"/>
            </w:pPr>
            <w:r>
              <w:t xml:space="preserve">17 (13–24)</w:t>
            </w:r>
          </w:p>
        </w:tc>
        <w:tc>
          <w:tcPr/>
          <w:p>
            <w:pPr>
              <w:pStyle w:val="Compact"/>
            </w:pPr>
            <w:r>
              <w:t xml:space="preserve">0.257</w:t>
            </w:r>
          </w:p>
        </w:tc>
        <w:tc>
          <w:tcPr/>
          <w:p>
            <w:pPr>
              <w:pStyle w:val="Compact"/>
            </w:pPr>
            <w:r>
              <w:t xml:space="preserve">30.1</w:t>
            </w:r>
          </w:p>
        </w:tc>
        <w:tc>
          <w:tcPr/>
          <w:p>
            <w:pPr>
              <w:pStyle w:val="Compact"/>
            </w:pPr>
            <w:r>
              <w:t xml:space="preserve">22.9%</w:t>
            </w:r>
          </w:p>
        </w:tc>
        <w:tc>
          <w:tcPr/>
          <w:p>
            <w:pPr>
              <w:pStyle w:val="Compact"/>
            </w:pPr>
            <w:r>
              <w:t xml:space="preserve">37.1%</w:t>
            </w:r>
          </w:p>
        </w:tc>
        <w:tc>
          <w:tcPr/>
          <w:p>
            <w:pPr>
              <w:pStyle w:val="Compact"/>
            </w:pPr>
            <w:r>
              <w:t xml:space="preserve">32.4%</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57</w:t>
            </w:r>
          </w:p>
        </w:tc>
        <w:tc>
          <w:tcPr/>
          <w:p>
            <w:pPr>
              <w:pStyle w:val="Compact"/>
            </w:pPr>
            <w:r>
              <w:t xml:space="preserve">940</w:t>
            </w:r>
          </w:p>
        </w:tc>
        <w:tc>
          <w:tcPr/>
          <w:p>
            <w:pPr>
              <w:pStyle w:val="Compact"/>
            </w:pPr>
            <w:r>
              <w:t xml:space="preserve">14 (12–19)</w:t>
            </w:r>
          </w:p>
        </w:tc>
        <w:tc>
          <w:tcPr/>
          <w:p>
            <w:pPr>
              <w:pStyle w:val="Compact"/>
            </w:pPr>
            <w:r>
              <w:t xml:space="preserve">0.192</w:t>
            </w:r>
          </w:p>
        </w:tc>
        <w:tc>
          <w:tcPr/>
          <w:p>
            <w:pPr>
              <w:pStyle w:val="Compact"/>
            </w:pPr>
            <w:r>
              <w:t xml:space="preserve">204.4</w:t>
            </w:r>
          </w:p>
        </w:tc>
        <w:tc>
          <w:tcPr/>
          <w:p>
            <w:pPr>
              <w:pStyle w:val="Compact"/>
            </w:pPr>
            <w:r>
              <w:t xml:space="preserve">20.2%</w:t>
            </w:r>
          </w:p>
        </w:tc>
        <w:tc>
          <w:tcPr/>
          <w:p>
            <w:pPr>
              <w:pStyle w:val="Compact"/>
            </w:pPr>
            <w:r>
              <w:t xml:space="preserve">34.0%</w:t>
            </w:r>
          </w:p>
        </w:tc>
        <w:tc>
          <w:tcPr/>
          <w:p>
            <w:pPr>
              <w:pStyle w:val="Compact"/>
            </w:pPr>
            <w:r>
              <w:t xml:space="preserve">36.3%</w:t>
            </w:r>
          </w:p>
        </w:tc>
      </w:tr>
      <w:tr>
        <w:tc>
          <w:tcPr/>
          <w:p>
            <w:pPr>
              <w:pStyle w:val="Compact"/>
            </w:pPr>
            <w:r>
              <w:t xml:space="preserve">2020</w:t>
            </w:r>
          </w:p>
        </w:tc>
        <w:tc>
          <w:tcPr/>
          <w:p>
            <w:pPr>
              <w:pStyle w:val="Compact"/>
            </w:pPr>
            <w:r>
              <w:t xml:space="preserve">Other/uncertain</w:t>
            </w:r>
          </w:p>
        </w:tc>
        <w:tc>
          <w:tcPr/>
          <w:p>
            <w:pPr>
              <w:pStyle w:val="Compact"/>
            </w:pPr>
            <w:r>
              <w:t xml:space="preserve">38</w:t>
            </w:r>
          </w:p>
        </w:tc>
        <w:tc>
          <w:tcPr/>
          <w:p>
            <w:pPr>
              <w:pStyle w:val="Compact"/>
            </w:pPr>
            <w:r>
              <w:t xml:space="preserve">770</w:t>
            </w:r>
          </w:p>
        </w:tc>
        <w:tc>
          <w:tcPr/>
          <w:p>
            <w:pPr>
              <w:pStyle w:val="Compact"/>
            </w:pPr>
            <w:r>
              <w:t xml:space="preserve">16 (13–25)</w:t>
            </w:r>
          </w:p>
        </w:tc>
        <w:tc>
          <w:tcPr/>
          <w:p>
            <w:pPr>
              <w:pStyle w:val="Compact"/>
            </w:pPr>
            <w:r>
              <w:t xml:space="preserve">0.234</w:t>
            </w:r>
          </w:p>
        </w:tc>
        <w:tc>
          <w:tcPr/>
          <w:p>
            <w:pPr>
              <w:pStyle w:val="Compact"/>
            </w:pPr>
            <w:r>
              <w:t xml:space="preserve">325.5</w:t>
            </w:r>
          </w:p>
        </w:tc>
        <w:tc>
          <w:tcPr/>
          <w:p>
            <w:pPr>
              <w:pStyle w:val="Compact"/>
            </w:pPr>
            <w:r>
              <w:t xml:space="preserve">21.3%</w:t>
            </w:r>
          </w:p>
        </w:tc>
        <w:tc>
          <w:tcPr/>
          <w:p>
            <w:pPr>
              <w:pStyle w:val="Compact"/>
            </w:pPr>
            <w:r>
              <w:t xml:space="preserve">35.8%</w:t>
            </w:r>
          </w:p>
        </w:tc>
        <w:tc>
          <w:tcPr/>
          <w:p>
            <w:pPr>
              <w:pStyle w:val="Compact"/>
            </w:pPr>
            <w:r>
              <w:t xml:space="preserve">33.5%</w:t>
            </w:r>
          </w:p>
        </w:tc>
      </w:tr>
      <w:tr>
        <w:tc>
          <w:tcPr/>
          <w:p>
            <w:pPr>
              <w:pStyle w:val="Compact"/>
            </w:pPr>
            <w:r>
              <w:t xml:space="preserve">2020</w:t>
            </w:r>
          </w:p>
        </w:tc>
        <w:tc>
          <w:tcPr/>
          <w:p>
            <w:pPr>
              <w:pStyle w:val="Compact"/>
            </w:pPr>
            <w:r>
              <w:t xml:space="preserve">URPS (OB/GYN)</w:t>
            </w:r>
          </w:p>
        </w:tc>
        <w:tc>
          <w:tcPr/>
          <w:p>
            <w:pPr>
              <w:pStyle w:val="Compact"/>
            </w:pPr>
            <w:r>
              <w:t xml:space="preserve">243</w:t>
            </w:r>
          </w:p>
        </w:tc>
        <w:tc>
          <w:tcPr/>
          <w:p>
            <w:pPr>
              <w:pStyle w:val="Compact"/>
            </w:pPr>
            <w:r>
              <w:t xml:space="preserve">5379</w:t>
            </w:r>
          </w:p>
        </w:tc>
        <w:tc>
          <w:tcPr/>
          <w:p>
            <w:pPr>
              <w:pStyle w:val="Compact"/>
            </w:pPr>
            <w:r>
              <w:t xml:space="preserve">19 (14–26)</w:t>
            </w:r>
          </w:p>
        </w:tc>
        <w:tc>
          <w:tcPr/>
          <w:p>
            <w:pPr>
              <w:pStyle w:val="Compact"/>
            </w:pPr>
            <w:r>
              <w:t xml:space="preserve">0.265</w:t>
            </w:r>
          </w:p>
        </w:tc>
        <w:tc>
          <w:tcPr/>
          <w:p>
            <w:pPr>
              <w:pStyle w:val="Compact"/>
            </w:pPr>
            <w:r>
              <w:t xml:space="preserve">52.6</w:t>
            </w:r>
          </w:p>
        </w:tc>
        <w:tc>
          <w:tcPr/>
          <w:p>
            <w:pPr>
              <w:pStyle w:val="Compact"/>
            </w:pPr>
            <w:r>
              <w:t xml:space="preserve">23.1%</w:t>
            </w:r>
          </w:p>
        </w:tc>
        <w:tc>
          <w:tcPr/>
          <w:p>
            <w:pPr>
              <w:pStyle w:val="Compact"/>
            </w:pPr>
            <w:r>
              <w:t xml:space="preserve">37.7%</w:t>
            </w:r>
          </w:p>
        </w:tc>
        <w:tc>
          <w:tcPr/>
          <w:p>
            <w:pPr>
              <w:pStyle w:val="Compact"/>
            </w:pPr>
            <w:r>
              <w:t xml:space="preserve">31.6%</w:t>
            </w:r>
          </w:p>
        </w:tc>
      </w:tr>
      <w:tr>
        <w:tc>
          <w:tcPr/>
          <w:p>
            <w:pPr>
              <w:pStyle w:val="Compact"/>
            </w:pPr>
            <w:r>
              <w:t xml:space="preserve">2020</w:t>
            </w:r>
          </w:p>
        </w:tc>
        <w:tc>
          <w:tcPr/>
          <w:p>
            <w:pPr>
              <w:pStyle w:val="Compact"/>
            </w:pPr>
            <w:r>
              <w:t xml:space="preserve">URPS (urology)</w:t>
            </w:r>
          </w:p>
        </w:tc>
        <w:tc>
          <w:tcPr/>
          <w:p>
            <w:pPr>
              <w:pStyle w:val="Compact"/>
            </w:pPr>
            <w:r>
              <w:t xml:space="preserve">37</w:t>
            </w:r>
          </w:p>
        </w:tc>
        <w:tc>
          <w:tcPr/>
          <w:p>
            <w:pPr>
              <w:pStyle w:val="Compact"/>
            </w:pPr>
            <w:r>
              <w:t xml:space="preserve">672</w:t>
            </w:r>
          </w:p>
        </w:tc>
        <w:tc>
          <w:tcPr/>
          <w:p>
            <w:pPr>
              <w:pStyle w:val="Compact"/>
            </w:pPr>
            <w:r>
              <w:t xml:space="preserve">17 (12–19)</w:t>
            </w:r>
          </w:p>
        </w:tc>
        <w:tc>
          <w:tcPr/>
          <w:p>
            <w:pPr>
              <w:pStyle w:val="Compact"/>
            </w:pPr>
            <w:r>
              <w:t xml:space="preserve">0.216</w:t>
            </w:r>
          </w:p>
        </w:tc>
        <w:tc>
          <w:tcPr/>
          <w:p>
            <w:pPr>
              <w:pStyle w:val="Compact"/>
            </w:pPr>
            <w:r>
              <w:t xml:space="preserve">331.5</w:t>
            </w:r>
          </w:p>
        </w:tc>
        <w:tc>
          <w:tcPr/>
          <w:p>
            <w:pPr>
              <w:pStyle w:val="Compact"/>
            </w:pPr>
            <w:r>
              <w:t xml:space="preserve">22.6%</w:t>
            </w:r>
          </w:p>
        </w:tc>
        <w:tc>
          <w:tcPr/>
          <w:p>
            <w:pPr>
              <w:pStyle w:val="Compact"/>
            </w:pPr>
            <w:r>
              <w:t xml:space="preserve">36.2%</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429</w:t>
            </w:r>
          </w:p>
        </w:tc>
        <w:tc>
          <w:tcPr/>
          <w:p>
            <w:pPr>
              <w:pStyle w:val="Compact"/>
            </w:pPr>
            <w:r>
              <w:t xml:space="preserve">9020</w:t>
            </w:r>
          </w:p>
        </w:tc>
        <w:tc>
          <w:tcPr/>
          <w:p>
            <w:pPr>
              <w:pStyle w:val="Compact"/>
            </w:pPr>
            <w:r>
              <w:t xml:space="preserve">17 (13–24)</w:t>
            </w:r>
          </w:p>
        </w:tc>
        <w:tc>
          <w:tcPr/>
          <w:p>
            <w:pPr>
              <w:pStyle w:val="Compact"/>
            </w:pPr>
            <w:r>
              <w:t xml:space="preserve">0.266</w:t>
            </w:r>
          </w:p>
        </w:tc>
        <w:tc>
          <w:tcPr/>
          <w:p>
            <w:pPr>
              <w:pStyle w:val="Compact"/>
            </w:pPr>
            <w:r>
              <w:t xml:space="preserve">30.0</w:t>
            </w:r>
          </w:p>
        </w:tc>
        <w:tc>
          <w:tcPr/>
          <w:p>
            <w:pPr>
              <w:pStyle w:val="Compact"/>
            </w:pPr>
            <w:r>
              <w:t xml:space="preserve">22.8%</w:t>
            </w:r>
          </w:p>
        </w:tc>
        <w:tc>
          <w:tcPr/>
          <w:p>
            <w:pPr>
              <w:pStyle w:val="Compact"/>
            </w:pPr>
            <w:r>
              <w:t xml:space="preserve">37.9%</w:t>
            </w:r>
          </w:p>
        </w:tc>
        <w:tc>
          <w:tcPr/>
          <w:p>
            <w:pPr>
              <w:pStyle w:val="Compact"/>
            </w:pPr>
            <w:r>
              <w:t xml:space="preserve">31.6%</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42</w:t>
            </w:r>
          </w:p>
        </w:tc>
        <w:tc>
          <w:tcPr/>
          <w:p>
            <w:pPr>
              <w:pStyle w:val="Compact"/>
            </w:pPr>
            <w:r>
              <w:t xml:space="preserve">764</w:t>
            </w:r>
          </w:p>
        </w:tc>
        <w:tc>
          <w:tcPr/>
          <w:p>
            <w:pPr>
              <w:pStyle w:val="Compact"/>
            </w:pPr>
            <w:r>
              <w:t xml:space="preserve">16 (13–23)</w:t>
            </w:r>
          </w:p>
        </w:tc>
        <w:tc>
          <w:tcPr/>
          <w:p>
            <w:pPr>
              <w:pStyle w:val="Compact"/>
            </w:pPr>
            <w:r>
              <w:t xml:space="preserve">0.207</w:t>
            </w:r>
          </w:p>
        </w:tc>
        <w:tc>
          <w:tcPr/>
          <w:p>
            <w:pPr>
              <w:pStyle w:val="Compact"/>
            </w:pPr>
            <w:r>
              <w:t xml:space="preserve">274.6</w:t>
            </w:r>
          </w:p>
        </w:tc>
        <w:tc>
          <w:tcPr/>
          <w:p>
            <w:pPr>
              <w:pStyle w:val="Compact"/>
            </w:pPr>
            <w:r>
              <w:t xml:space="preserve">21.9%</w:t>
            </w:r>
          </w:p>
        </w:tc>
        <w:tc>
          <w:tcPr/>
          <w:p>
            <w:pPr>
              <w:pStyle w:val="Compact"/>
            </w:pPr>
            <w:r>
              <w:t xml:space="preserve">34.8%</w:t>
            </w:r>
          </w:p>
        </w:tc>
        <w:tc>
          <w:tcPr/>
          <w:p>
            <w:pPr>
              <w:pStyle w:val="Compact"/>
            </w:pPr>
            <w:r>
              <w:t xml:space="preserve">35.5%</w:t>
            </w:r>
          </w:p>
        </w:tc>
      </w:tr>
      <w:tr>
        <w:tc>
          <w:tcPr/>
          <w:p>
            <w:pPr>
              <w:pStyle w:val="Compact"/>
            </w:pPr>
            <w:r>
              <w:t xml:space="preserve">2021</w:t>
            </w:r>
          </w:p>
        </w:tc>
        <w:tc>
          <w:tcPr/>
          <w:p>
            <w:pPr>
              <w:pStyle w:val="Compact"/>
            </w:pPr>
            <w:r>
              <w:t xml:space="preserve">Other/uncertain</w:t>
            </w:r>
          </w:p>
        </w:tc>
        <w:tc>
          <w:tcPr/>
          <w:p>
            <w:pPr>
              <w:pStyle w:val="Compact"/>
            </w:pPr>
            <w:r>
              <w:t xml:space="preserve">44</w:t>
            </w:r>
          </w:p>
        </w:tc>
        <w:tc>
          <w:tcPr/>
          <w:p>
            <w:pPr>
              <w:pStyle w:val="Compact"/>
            </w:pPr>
            <w:r>
              <w:t xml:space="preserve">969</w:t>
            </w:r>
          </w:p>
        </w:tc>
        <w:tc>
          <w:tcPr/>
          <w:p>
            <w:pPr>
              <w:pStyle w:val="Compact"/>
            </w:pPr>
            <w:r>
              <w:t xml:space="preserve">18 (14–28)</w:t>
            </w:r>
          </w:p>
        </w:tc>
        <w:tc>
          <w:tcPr/>
          <w:p>
            <w:pPr>
              <w:pStyle w:val="Compact"/>
            </w:pPr>
            <w:r>
              <w:t xml:space="preserve">0.237</w:t>
            </w:r>
          </w:p>
        </w:tc>
        <w:tc>
          <w:tcPr/>
          <w:p>
            <w:pPr>
              <w:pStyle w:val="Compact"/>
            </w:pPr>
            <w:r>
              <w:t xml:space="preserve">269.5</w:t>
            </w:r>
          </w:p>
        </w:tc>
        <w:tc>
          <w:tcPr/>
          <w:p>
            <w:pPr>
              <w:pStyle w:val="Compact"/>
            </w:pPr>
            <w:r>
              <w:t xml:space="preserve">20.9%</w:t>
            </w:r>
          </w:p>
        </w:tc>
        <w:tc>
          <w:tcPr/>
          <w:p>
            <w:pPr>
              <w:pStyle w:val="Compact"/>
            </w:pPr>
            <w:r>
              <w:t xml:space="preserve">35.2%</w:t>
            </w:r>
          </w:p>
        </w:tc>
        <w:tc>
          <w:tcPr/>
          <w:p>
            <w:pPr>
              <w:pStyle w:val="Compact"/>
            </w:pPr>
            <w:r>
              <w:t xml:space="preserve">32.9%</w:t>
            </w:r>
          </w:p>
        </w:tc>
      </w:tr>
      <w:tr>
        <w:tc>
          <w:tcPr/>
          <w:p>
            <w:pPr>
              <w:pStyle w:val="Compact"/>
            </w:pPr>
            <w:r>
              <w:t xml:space="preserve">2021</w:t>
            </w:r>
          </w:p>
        </w:tc>
        <w:tc>
          <w:tcPr/>
          <w:p>
            <w:pPr>
              <w:pStyle w:val="Compact"/>
            </w:pPr>
            <w:r>
              <w:t xml:space="preserve">URPS (OB/GYN)</w:t>
            </w:r>
          </w:p>
        </w:tc>
        <w:tc>
          <w:tcPr/>
          <w:p>
            <w:pPr>
              <w:pStyle w:val="Compact"/>
            </w:pPr>
            <w:r>
              <w:t xml:space="preserve">250</w:t>
            </w:r>
          </w:p>
        </w:tc>
        <w:tc>
          <w:tcPr/>
          <w:p>
            <w:pPr>
              <w:pStyle w:val="Compact"/>
            </w:pPr>
            <w:r>
              <w:t xml:space="preserve">5523</w:t>
            </w:r>
          </w:p>
        </w:tc>
        <w:tc>
          <w:tcPr/>
          <w:p>
            <w:pPr>
              <w:pStyle w:val="Compact"/>
            </w:pPr>
            <w:r>
              <w:t xml:space="preserve">18 (14–27)</w:t>
            </w:r>
          </w:p>
        </w:tc>
        <w:tc>
          <w:tcPr/>
          <w:p>
            <w:pPr>
              <w:pStyle w:val="Compact"/>
            </w:pPr>
            <w:r>
              <w:t xml:space="preserve">0.271</w:t>
            </w:r>
          </w:p>
        </w:tc>
        <w:tc>
          <w:tcPr/>
          <w:p>
            <w:pPr>
              <w:pStyle w:val="Compact"/>
            </w:pPr>
            <w:r>
              <w:t xml:space="preserve">51.3</w:t>
            </w:r>
          </w:p>
        </w:tc>
        <w:tc>
          <w:tcPr/>
          <w:p>
            <w:pPr>
              <w:pStyle w:val="Compact"/>
            </w:pPr>
            <w:r>
              <w:t xml:space="preserve">22.6%</w:t>
            </w:r>
          </w:p>
        </w:tc>
        <w:tc>
          <w:tcPr/>
          <w:p>
            <w:pPr>
              <w:pStyle w:val="Compact"/>
            </w:pPr>
            <w:r>
              <w:t xml:space="preserve">38.0%</w:t>
            </w:r>
          </w:p>
        </w:tc>
        <w:tc>
          <w:tcPr/>
          <w:p>
            <w:pPr>
              <w:pStyle w:val="Compact"/>
            </w:pPr>
            <w:r>
              <w:t xml:space="preserve">31.3%</w:t>
            </w:r>
          </w:p>
        </w:tc>
      </w:tr>
      <w:tr>
        <w:tc>
          <w:tcPr/>
          <w:p>
            <w:pPr>
              <w:pStyle w:val="Compact"/>
            </w:pPr>
            <w:r>
              <w:t xml:space="preserve">2021</w:t>
            </w:r>
          </w:p>
        </w:tc>
        <w:tc>
          <w:tcPr/>
          <w:p>
            <w:pPr>
              <w:pStyle w:val="Compact"/>
            </w:pPr>
            <w:r>
              <w:t xml:space="preserve">URPS (urology)</w:t>
            </w:r>
          </w:p>
        </w:tc>
        <w:tc>
          <w:tcPr/>
          <w:p>
            <w:pPr>
              <w:pStyle w:val="Compact"/>
            </w:pPr>
            <w:r>
              <w:t xml:space="preserve">32</w:t>
            </w:r>
          </w:p>
        </w:tc>
        <w:tc>
          <w:tcPr/>
          <w:p>
            <w:pPr>
              <w:pStyle w:val="Compact"/>
            </w:pPr>
            <w:r>
              <w:t xml:space="preserve">591</w:t>
            </w:r>
          </w:p>
        </w:tc>
        <w:tc>
          <w:tcPr/>
          <w:p>
            <w:pPr>
              <w:pStyle w:val="Compact"/>
            </w:pPr>
            <w:r>
              <w:t xml:space="preserve">16 (12–20)</w:t>
            </w:r>
          </w:p>
        </w:tc>
        <w:tc>
          <w:tcPr/>
          <w:p>
            <w:pPr>
              <w:pStyle w:val="Compact"/>
            </w:pPr>
            <w:r>
              <w:t xml:space="preserve">0.234</w:t>
            </w:r>
          </w:p>
        </w:tc>
        <w:tc>
          <w:tcPr/>
          <w:p>
            <w:pPr>
              <w:pStyle w:val="Compact"/>
            </w:pPr>
            <w:r>
              <w:t xml:space="preserve">397.4</w:t>
            </w:r>
          </w:p>
        </w:tc>
        <w:tc>
          <w:tcPr/>
          <w:p>
            <w:pPr>
              <w:pStyle w:val="Compact"/>
            </w:pPr>
            <w:r>
              <w:t xml:space="preserve">26.1%</w:t>
            </w:r>
          </w:p>
        </w:tc>
        <w:tc>
          <w:tcPr/>
          <w:p>
            <w:pPr>
              <w:pStyle w:val="Compact"/>
            </w:pPr>
            <w:r>
              <w:t xml:space="preserve">38.1%</w:t>
            </w:r>
          </w:p>
        </w:tc>
        <w:tc>
          <w:tcPr/>
          <w:p>
            <w:pPr>
              <w:pStyle w:val="Compact"/>
            </w:pPr>
            <w:r>
              <w:t xml:space="preserve">33.8%</w:t>
            </w:r>
          </w:p>
        </w:tc>
      </w:tr>
      <w:tr>
        <w:tc>
          <w:tcPr/>
          <w:p>
            <w:pPr>
              <w:pStyle w:val="Compact"/>
            </w:pPr>
            <w:r>
              <w:t xml:space="preserve">2022</w:t>
            </w:r>
          </w:p>
        </w:tc>
        <w:tc>
          <w:tcPr/>
          <w:p>
            <w:pPr>
              <w:pStyle w:val="Compact"/>
            </w:pPr>
            <w:r>
              <w:t xml:space="preserve">All</w:t>
            </w:r>
          </w:p>
        </w:tc>
        <w:tc>
          <w:tcPr/>
          <w:p>
            <w:pPr>
              <w:pStyle w:val="Compact"/>
            </w:pPr>
            <w:r>
              <w:t xml:space="preserve">524</w:t>
            </w:r>
          </w:p>
        </w:tc>
        <w:tc>
          <w:tcPr/>
          <w:p>
            <w:pPr>
              <w:pStyle w:val="Compact"/>
            </w:pPr>
            <w:r>
              <w:t xml:space="preserve">11367</w:t>
            </w:r>
          </w:p>
        </w:tc>
        <w:tc>
          <w:tcPr/>
          <w:p>
            <w:pPr>
              <w:pStyle w:val="Compact"/>
            </w:pPr>
            <w:r>
              <w:t xml:space="preserve">17 (14–26)</w:t>
            </w:r>
          </w:p>
        </w:tc>
        <w:tc>
          <w:tcPr/>
          <w:p>
            <w:pPr>
              <w:pStyle w:val="Compact"/>
            </w:pPr>
            <w:r>
              <w:t xml:space="preserve">0.275</w:t>
            </w:r>
          </w:p>
        </w:tc>
        <w:tc>
          <w:tcPr/>
          <w:p>
            <w:pPr>
              <w:pStyle w:val="Compact"/>
            </w:pPr>
            <w:r>
              <w:t xml:space="preserve">25.2</w:t>
            </w:r>
          </w:p>
        </w:tc>
        <w:tc>
          <w:tcPr/>
          <w:p>
            <w:pPr>
              <w:pStyle w:val="Compact"/>
            </w:pPr>
            <w:r>
              <w:t xml:space="preserve">24.0%</w:t>
            </w:r>
          </w:p>
        </w:tc>
        <w:tc>
          <w:tcPr/>
          <w:p>
            <w:pPr>
              <w:pStyle w:val="Compact"/>
            </w:pPr>
            <w:r>
              <w:t xml:space="preserve">38.9%</w:t>
            </w:r>
          </w:p>
        </w:tc>
        <w:tc>
          <w:tcPr/>
          <w:p>
            <w:pPr>
              <w:pStyle w:val="Compact"/>
            </w:pPr>
            <w:r>
              <w:t xml:space="preserve">31.3%</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62</w:t>
            </w:r>
          </w:p>
        </w:tc>
        <w:tc>
          <w:tcPr/>
          <w:p>
            <w:pPr>
              <w:pStyle w:val="Compact"/>
            </w:pPr>
            <w:r>
              <w:t xml:space="preserve">1192</w:t>
            </w:r>
          </w:p>
        </w:tc>
        <w:tc>
          <w:tcPr/>
          <w:p>
            <w:pPr>
              <w:pStyle w:val="Compact"/>
            </w:pPr>
            <w:r>
              <w:t xml:space="preserve">17 (13–22)</w:t>
            </w:r>
          </w:p>
        </w:tc>
        <w:tc>
          <w:tcPr/>
          <w:p>
            <w:pPr>
              <w:pStyle w:val="Compact"/>
            </w:pPr>
            <w:r>
              <w:t xml:space="preserve">0.223</w:t>
            </w:r>
          </w:p>
        </w:tc>
        <w:tc>
          <w:tcPr/>
          <w:p>
            <w:pPr>
              <w:pStyle w:val="Compact"/>
            </w:pPr>
            <w:r>
              <w:t xml:space="preserve">195.4</w:t>
            </w:r>
          </w:p>
        </w:tc>
        <w:tc>
          <w:tcPr/>
          <w:p>
            <w:pPr>
              <w:pStyle w:val="Compact"/>
            </w:pPr>
            <w:r>
              <w:t xml:space="preserve">22.1%</w:t>
            </w:r>
          </w:p>
        </w:tc>
        <w:tc>
          <w:tcPr/>
          <w:p>
            <w:pPr>
              <w:pStyle w:val="Compact"/>
            </w:pPr>
            <w:r>
              <w:t xml:space="preserve">35.8%</w:t>
            </w:r>
          </w:p>
        </w:tc>
        <w:tc>
          <w:tcPr/>
          <w:p>
            <w:pPr>
              <w:pStyle w:val="Compact"/>
            </w:pPr>
            <w:r>
              <w:t xml:space="preserve">34.9%</w:t>
            </w:r>
          </w:p>
        </w:tc>
      </w:tr>
      <w:tr>
        <w:tc>
          <w:tcPr/>
          <w:p>
            <w:pPr>
              <w:pStyle w:val="Compact"/>
            </w:pPr>
            <w:r>
              <w:t xml:space="preserve">2022</w:t>
            </w:r>
          </w:p>
        </w:tc>
        <w:tc>
          <w:tcPr/>
          <w:p>
            <w:pPr>
              <w:pStyle w:val="Compact"/>
            </w:pPr>
            <w:r>
              <w:t xml:space="preserve">Other/uncertain</w:t>
            </w:r>
          </w:p>
        </w:tc>
        <w:tc>
          <w:tcPr/>
          <w:p>
            <w:pPr>
              <w:pStyle w:val="Compact"/>
            </w:pPr>
            <w:r>
              <w:t xml:space="preserve">55</w:t>
            </w:r>
          </w:p>
        </w:tc>
        <w:tc>
          <w:tcPr/>
          <w:p>
            <w:pPr>
              <w:pStyle w:val="Compact"/>
            </w:pPr>
            <w:r>
              <w:t xml:space="preserve">1258</w:t>
            </w:r>
          </w:p>
        </w:tc>
        <w:tc>
          <w:tcPr/>
          <w:p>
            <w:pPr>
              <w:pStyle w:val="Compact"/>
            </w:pPr>
            <w:r>
              <w:t xml:space="preserve">17 (14–32)</w:t>
            </w:r>
          </w:p>
        </w:tc>
        <w:tc>
          <w:tcPr/>
          <w:p>
            <w:pPr>
              <w:pStyle w:val="Compact"/>
            </w:pPr>
            <w:r>
              <w:t xml:space="preserve">0.282</w:t>
            </w:r>
          </w:p>
        </w:tc>
        <w:tc>
          <w:tcPr/>
          <w:p>
            <w:pPr>
              <w:pStyle w:val="Compact"/>
            </w:pPr>
            <w:r>
              <w:t xml:space="preserve">235.3</w:t>
            </w:r>
          </w:p>
        </w:tc>
        <w:tc>
          <w:tcPr/>
          <w:p>
            <w:pPr>
              <w:pStyle w:val="Compact"/>
            </w:pPr>
            <w:r>
              <w:t xml:space="preserve">23.9%</w:t>
            </w:r>
          </w:p>
        </w:tc>
        <w:tc>
          <w:tcPr/>
          <w:p>
            <w:pPr>
              <w:pStyle w:val="Compact"/>
            </w:pPr>
            <w:r>
              <w:t xml:space="preserve">38.3%</w:t>
            </w:r>
          </w:p>
        </w:tc>
        <w:tc>
          <w:tcPr/>
          <w:p>
            <w:pPr>
              <w:pStyle w:val="Compact"/>
            </w:pPr>
            <w:r>
              <w:t xml:space="preserve">29.3%</w:t>
            </w:r>
          </w:p>
        </w:tc>
      </w:tr>
      <w:tr>
        <w:tc>
          <w:tcPr/>
          <w:p>
            <w:pPr>
              <w:pStyle w:val="Compact"/>
            </w:pPr>
            <w:r>
              <w:t xml:space="preserve">2022</w:t>
            </w:r>
          </w:p>
        </w:tc>
        <w:tc>
          <w:tcPr/>
          <w:p>
            <w:pPr>
              <w:pStyle w:val="Compact"/>
            </w:pPr>
            <w:r>
              <w:t xml:space="preserve">URPS (OB/GYN)</w:t>
            </w:r>
          </w:p>
        </w:tc>
        <w:tc>
          <w:tcPr/>
          <w:p>
            <w:pPr>
              <w:pStyle w:val="Compact"/>
            </w:pPr>
            <w:r>
              <w:t xml:space="preserve">292</w:t>
            </w:r>
          </w:p>
        </w:tc>
        <w:tc>
          <w:tcPr/>
          <w:p>
            <w:pPr>
              <w:pStyle w:val="Compact"/>
            </w:pPr>
            <w:r>
              <w:t xml:space="preserve">6734</w:t>
            </w:r>
          </w:p>
        </w:tc>
        <w:tc>
          <w:tcPr/>
          <w:p>
            <w:pPr>
              <w:pStyle w:val="Compact"/>
            </w:pPr>
            <w:r>
              <w:t xml:space="preserve">19 (14–27)</w:t>
            </w:r>
          </w:p>
        </w:tc>
        <w:tc>
          <w:tcPr/>
          <w:p>
            <w:pPr>
              <w:pStyle w:val="Compact"/>
            </w:pPr>
            <w:r>
              <w:t xml:space="preserve">0.287</w:t>
            </w:r>
          </w:p>
        </w:tc>
        <w:tc>
          <w:tcPr/>
          <w:p>
            <w:pPr>
              <w:pStyle w:val="Compact"/>
            </w:pPr>
            <w:r>
              <w:t xml:space="preserve">45.7</w:t>
            </w:r>
          </w:p>
        </w:tc>
        <w:tc>
          <w:tcPr/>
          <w:p>
            <w:pPr>
              <w:pStyle w:val="Compact"/>
            </w:pPr>
            <w:r>
              <w:t xml:space="preserve">24.2%</w:t>
            </w:r>
          </w:p>
        </w:tc>
        <w:tc>
          <w:tcPr/>
          <w:p>
            <w:pPr>
              <w:pStyle w:val="Compact"/>
            </w:pPr>
            <w:r>
              <w:t xml:space="preserve">39.7%</w:t>
            </w:r>
          </w:p>
        </w:tc>
        <w:tc>
          <w:tcPr/>
          <w:p>
            <w:pPr>
              <w:pStyle w:val="Compact"/>
            </w:pPr>
            <w:r>
              <w:t xml:space="preserve">30.4%</w:t>
            </w:r>
          </w:p>
        </w:tc>
      </w:tr>
      <w:tr>
        <w:tc>
          <w:tcPr/>
          <w:p>
            <w:pPr>
              <w:pStyle w:val="Compact"/>
            </w:pPr>
            <w:r>
              <w:t xml:space="preserve">2022</w:t>
            </w:r>
          </w:p>
        </w:tc>
        <w:tc>
          <w:tcPr/>
          <w:p>
            <w:pPr>
              <w:pStyle w:val="Compact"/>
            </w:pPr>
            <w:r>
              <w:t xml:space="preserve">URPS (urology)</w:t>
            </w:r>
          </w:p>
        </w:tc>
        <w:tc>
          <w:tcPr/>
          <w:p>
            <w:pPr>
              <w:pStyle w:val="Compact"/>
            </w:pPr>
            <w:r>
              <w:t xml:space="preserve">49</w:t>
            </w:r>
          </w:p>
        </w:tc>
        <w:tc>
          <w:tcPr/>
          <w:p>
            <w:pPr>
              <w:pStyle w:val="Compact"/>
            </w:pPr>
            <w:r>
              <w:t xml:space="preserve">878</w:t>
            </w:r>
          </w:p>
        </w:tc>
        <w:tc>
          <w:tcPr/>
          <w:p>
            <w:pPr>
              <w:pStyle w:val="Compact"/>
            </w:pPr>
            <w:r>
              <w:t xml:space="preserve">16 (13–20)</w:t>
            </w:r>
          </w:p>
        </w:tc>
        <w:tc>
          <w:tcPr/>
          <w:p>
            <w:pPr>
              <w:pStyle w:val="Compact"/>
            </w:pPr>
            <w:r>
              <w:t xml:space="preserve">0.194</w:t>
            </w:r>
          </w:p>
        </w:tc>
        <w:tc>
          <w:tcPr/>
          <w:p>
            <w:pPr>
              <w:pStyle w:val="Compact"/>
            </w:pPr>
            <w:r>
              <w:t xml:space="preserve">239.3</w:t>
            </w:r>
          </w:p>
        </w:tc>
        <w:tc>
          <w:tcPr/>
          <w:p>
            <w:pPr>
              <w:pStyle w:val="Compact"/>
            </w:pPr>
            <w:r>
              <w:t xml:space="preserve">20.0%</w:t>
            </w:r>
          </w:p>
        </w:tc>
        <w:tc>
          <w:tcPr/>
          <w:p>
            <w:pPr>
              <w:pStyle w:val="Compact"/>
            </w:pPr>
            <w:r>
              <w:t xml:space="preserve">33.1%</w:t>
            </w:r>
          </w:p>
        </w:tc>
        <w:tc>
          <w:tcPr/>
          <w:p>
            <w:pPr>
              <w:pStyle w:val="Compact"/>
            </w:pPr>
            <w:r>
              <w:t xml:space="preserve">36.3%</w:t>
            </w:r>
          </w:p>
        </w:tc>
      </w:tr>
      <w:tr>
        <w:tc>
          <w:tcPr/>
          <w:p>
            <w:pPr>
              <w:pStyle w:val="Compact"/>
            </w:pPr>
            <w:r>
              <w:t xml:space="preserve">2023</w:t>
            </w:r>
          </w:p>
        </w:tc>
        <w:tc>
          <w:tcPr/>
          <w:p>
            <w:pPr>
              <w:pStyle w:val="Compact"/>
            </w:pPr>
            <w:r>
              <w:t xml:space="preserve">All</w:t>
            </w:r>
          </w:p>
        </w:tc>
        <w:tc>
          <w:tcPr/>
          <w:p>
            <w:pPr>
              <w:pStyle w:val="Compact"/>
            </w:pPr>
            <w:r>
              <w:t xml:space="preserve">522</w:t>
            </w:r>
          </w:p>
        </w:tc>
        <w:tc>
          <w:tcPr/>
          <w:p>
            <w:pPr>
              <w:pStyle w:val="Compact"/>
            </w:pPr>
            <w:r>
              <w:t xml:space="preserve">11470</w:t>
            </w:r>
          </w:p>
        </w:tc>
        <w:tc>
          <w:tcPr/>
          <w:p>
            <w:pPr>
              <w:pStyle w:val="Compact"/>
            </w:pPr>
            <w:r>
              <w:t xml:space="preserve">18 (14–26)</w:t>
            </w:r>
          </w:p>
        </w:tc>
        <w:tc>
          <w:tcPr/>
          <w:p>
            <w:pPr>
              <w:pStyle w:val="Compact"/>
            </w:pPr>
            <w:r>
              <w:t xml:space="preserve">0.267</w:t>
            </w:r>
          </w:p>
        </w:tc>
        <w:tc>
          <w:tcPr/>
          <w:p>
            <w:pPr>
              <w:pStyle w:val="Compact"/>
            </w:pPr>
            <w:r>
              <w:t xml:space="preserve">24.6</w:t>
            </w:r>
          </w:p>
        </w:tc>
        <w:tc>
          <w:tcPr/>
          <w:p>
            <w:pPr>
              <w:pStyle w:val="Compact"/>
            </w:pPr>
            <w:r>
              <w:t xml:space="preserve">22.9%</w:t>
            </w:r>
          </w:p>
        </w:tc>
        <w:tc>
          <w:tcPr/>
          <w:p>
            <w:pPr>
              <w:pStyle w:val="Compact"/>
            </w:pPr>
            <w:r>
              <w:t xml:space="preserve">37.8%</w:t>
            </w:r>
          </w:p>
        </w:tc>
        <w:tc>
          <w:tcPr/>
          <w:p>
            <w:pPr>
              <w:pStyle w:val="Compact"/>
            </w:pPr>
            <w:r>
              <w:t xml:space="preserve">31.6%</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48</w:t>
            </w:r>
          </w:p>
        </w:tc>
        <w:tc>
          <w:tcPr/>
          <w:p>
            <w:pPr>
              <w:pStyle w:val="Compact"/>
            </w:pPr>
            <w:r>
              <w:t xml:space="preserve">948</w:t>
            </w:r>
          </w:p>
        </w:tc>
        <w:tc>
          <w:tcPr/>
          <w:p>
            <w:pPr>
              <w:pStyle w:val="Compact"/>
            </w:pPr>
            <w:r>
              <w:t xml:space="preserve">17 (13–23)</w:t>
            </w:r>
          </w:p>
        </w:tc>
        <w:tc>
          <w:tcPr/>
          <w:p>
            <w:pPr>
              <w:pStyle w:val="Compact"/>
            </w:pPr>
            <w:r>
              <w:t xml:space="preserve">0.236</w:t>
            </w:r>
          </w:p>
        </w:tc>
        <w:tc>
          <w:tcPr/>
          <w:p>
            <w:pPr>
              <w:pStyle w:val="Compact"/>
            </w:pPr>
            <w:r>
              <w:t xml:space="preserve">253.9</w:t>
            </w:r>
          </w:p>
        </w:tc>
        <w:tc>
          <w:tcPr/>
          <w:p>
            <w:pPr>
              <w:pStyle w:val="Compact"/>
            </w:pPr>
            <w:r>
              <w:t xml:space="preserve">20.9%</w:t>
            </w:r>
          </w:p>
        </w:tc>
        <w:tc>
          <w:tcPr/>
          <w:p>
            <w:pPr>
              <w:pStyle w:val="Compact"/>
            </w:pPr>
            <w:r>
              <w:t xml:space="preserve">35.9%</w:t>
            </w:r>
          </w:p>
        </w:tc>
        <w:tc>
          <w:tcPr/>
          <w:p>
            <w:pPr>
              <w:pStyle w:val="Compact"/>
            </w:pPr>
            <w:r>
              <w:t xml:space="preserve">33.3%</w:t>
            </w:r>
          </w:p>
        </w:tc>
      </w:tr>
      <w:tr>
        <w:tc>
          <w:tcPr/>
          <w:p>
            <w:pPr>
              <w:pStyle w:val="Compact"/>
            </w:pPr>
            <w:r>
              <w:t xml:space="preserve">2023</w:t>
            </w:r>
          </w:p>
        </w:tc>
        <w:tc>
          <w:tcPr/>
          <w:p>
            <w:pPr>
              <w:pStyle w:val="Compact"/>
            </w:pPr>
            <w:r>
              <w:t xml:space="preserve">Other/uncertain</w:t>
            </w:r>
          </w:p>
        </w:tc>
        <w:tc>
          <w:tcPr/>
          <w:p>
            <w:pPr>
              <w:pStyle w:val="Compact"/>
            </w:pPr>
            <w:r>
              <w:t xml:space="preserve">56</w:t>
            </w:r>
          </w:p>
        </w:tc>
        <w:tc>
          <w:tcPr/>
          <w:p>
            <w:pPr>
              <w:pStyle w:val="Compact"/>
            </w:pPr>
            <w:r>
              <w:t xml:space="preserve">1121</w:t>
            </w:r>
          </w:p>
        </w:tc>
        <w:tc>
          <w:tcPr/>
          <w:p>
            <w:pPr>
              <w:pStyle w:val="Compact"/>
            </w:pPr>
            <w:r>
              <w:t xml:space="preserve">16 (13–25)</w:t>
            </w:r>
          </w:p>
        </w:tc>
        <w:tc>
          <w:tcPr/>
          <w:p>
            <w:pPr>
              <w:pStyle w:val="Compact"/>
            </w:pPr>
            <w:r>
              <w:t xml:space="preserve">0.242</w:t>
            </w:r>
          </w:p>
        </w:tc>
        <w:tc>
          <w:tcPr/>
          <w:p>
            <w:pPr>
              <w:pStyle w:val="Compact"/>
            </w:pPr>
            <w:r>
              <w:t xml:space="preserve">218.0</w:t>
            </w:r>
          </w:p>
        </w:tc>
        <w:tc>
          <w:tcPr/>
          <w:p>
            <w:pPr>
              <w:pStyle w:val="Compact"/>
            </w:pPr>
            <w:r>
              <w:t xml:space="preserve">21.6%</w:t>
            </w:r>
          </w:p>
        </w:tc>
        <w:tc>
          <w:tcPr/>
          <w:p>
            <w:pPr>
              <w:pStyle w:val="Compact"/>
            </w:pPr>
            <w:r>
              <w:t xml:space="preserve">36.6%</w:t>
            </w:r>
          </w:p>
        </w:tc>
        <w:tc>
          <w:tcPr/>
          <w:p>
            <w:pPr>
              <w:pStyle w:val="Compact"/>
            </w:pPr>
            <w:r>
              <w:t xml:space="preserve">32.3%</w:t>
            </w:r>
          </w:p>
        </w:tc>
      </w:tr>
      <w:tr>
        <w:tc>
          <w:tcPr/>
          <w:p>
            <w:pPr>
              <w:pStyle w:val="Compact"/>
            </w:pPr>
            <w:r>
              <w:t xml:space="preserve">2023</w:t>
            </w:r>
          </w:p>
        </w:tc>
        <w:tc>
          <w:tcPr/>
          <w:p>
            <w:pPr>
              <w:pStyle w:val="Compact"/>
            </w:pPr>
            <w:r>
              <w:t xml:space="preserve">URPS (OB/GYN)</w:t>
            </w:r>
          </w:p>
        </w:tc>
        <w:tc>
          <w:tcPr/>
          <w:p>
            <w:pPr>
              <w:pStyle w:val="Compact"/>
            </w:pPr>
            <w:r>
              <w:t xml:space="preserve">293</w:t>
            </w:r>
          </w:p>
        </w:tc>
        <w:tc>
          <w:tcPr/>
          <w:p>
            <w:pPr>
              <w:pStyle w:val="Compact"/>
            </w:pPr>
            <w:r>
              <w:t xml:space="preserve">6949</w:t>
            </w:r>
          </w:p>
        </w:tc>
        <w:tc>
          <w:tcPr/>
          <w:p>
            <w:pPr>
              <w:pStyle w:val="Compact"/>
            </w:pPr>
            <w:r>
              <w:t xml:space="preserve">20 (15–28)</w:t>
            </w:r>
          </w:p>
        </w:tc>
        <w:tc>
          <w:tcPr/>
          <w:p>
            <w:pPr>
              <w:pStyle w:val="Compact"/>
            </w:pPr>
            <w:r>
              <w:t xml:space="preserve">0.275</w:t>
            </w:r>
          </w:p>
        </w:tc>
        <w:tc>
          <w:tcPr/>
          <w:p>
            <w:pPr>
              <w:pStyle w:val="Compact"/>
            </w:pPr>
            <w:r>
              <w:t xml:space="preserve">44.2</w:t>
            </w:r>
          </w:p>
        </w:tc>
        <w:tc>
          <w:tcPr/>
          <w:p>
            <w:pPr>
              <w:pStyle w:val="Compact"/>
            </w:pPr>
            <w:r>
              <w:t xml:space="preserve">23.1%</w:t>
            </w:r>
          </w:p>
        </w:tc>
        <w:tc>
          <w:tcPr/>
          <w:p>
            <w:pPr>
              <w:pStyle w:val="Compact"/>
            </w:pPr>
            <w:r>
              <w:t xml:space="preserve">38.4%</w:t>
            </w:r>
          </w:p>
        </w:tc>
        <w:tc>
          <w:tcPr/>
          <w:p>
            <w:pPr>
              <w:pStyle w:val="Compact"/>
            </w:pPr>
            <w:r>
              <w:t xml:space="preserve">31.0%</w:t>
            </w:r>
          </w:p>
        </w:tc>
      </w:tr>
      <w:tr>
        <w:tc>
          <w:tcPr/>
          <w:p>
            <w:pPr>
              <w:pStyle w:val="Compact"/>
            </w:pPr>
            <w:r>
              <w:t xml:space="preserve">2023</w:t>
            </w:r>
          </w:p>
        </w:tc>
        <w:tc>
          <w:tcPr/>
          <w:p>
            <w:pPr>
              <w:pStyle w:val="Compact"/>
            </w:pPr>
            <w:r>
              <w:t xml:space="preserve">URPS (urology)</w:t>
            </w:r>
          </w:p>
        </w:tc>
        <w:tc>
          <w:tcPr/>
          <w:p>
            <w:pPr>
              <w:pStyle w:val="Compact"/>
            </w:pPr>
            <w:r>
              <w:t xml:space="preserve">45</w:t>
            </w:r>
          </w:p>
        </w:tc>
        <w:tc>
          <w:tcPr/>
          <w:p>
            <w:pPr>
              <w:pStyle w:val="Compact"/>
            </w:pPr>
            <w:r>
              <w:t xml:space="preserve">853</w:t>
            </w:r>
          </w:p>
        </w:tc>
        <w:tc>
          <w:tcPr/>
          <w:p>
            <w:pPr>
              <w:pStyle w:val="Compact"/>
            </w:pPr>
            <w:r>
              <w:t xml:space="preserve">16 (12–23)</w:t>
            </w:r>
          </w:p>
        </w:tc>
        <w:tc>
          <w:tcPr/>
          <w:p>
            <w:pPr>
              <w:pStyle w:val="Compact"/>
            </w:pPr>
            <w:r>
              <w:t xml:space="preserve">0.227</w:t>
            </w:r>
          </w:p>
        </w:tc>
        <w:tc>
          <w:tcPr/>
          <w:p>
            <w:pPr>
              <w:pStyle w:val="Compact"/>
            </w:pPr>
            <w:r>
              <w:t xml:space="preserve">264.9</w:t>
            </w:r>
          </w:p>
        </w:tc>
        <w:tc>
          <w:tcPr/>
          <w:p>
            <w:pPr>
              <w:pStyle w:val="Compact"/>
            </w:pPr>
            <w:r>
              <w:t xml:space="preserve">21.7%</w:t>
            </w:r>
          </w:p>
        </w:tc>
        <w:tc>
          <w:tcPr/>
          <w:p>
            <w:pPr>
              <w:pStyle w:val="Compact"/>
            </w:pPr>
            <w:r>
              <w:t xml:space="preserve">34.2%</w:t>
            </w:r>
          </w:p>
        </w:tc>
        <w:tc>
          <w:tcPr/>
          <w:p>
            <w:pPr>
              <w:pStyle w:val="Compact"/>
            </w:pPr>
            <w:r>
              <w:t xml:space="preserve">33.1%</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20"/>
        <w:gridCol w:w="1373"/>
        <w:gridCol w:w="888"/>
        <w:gridCol w:w="888"/>
        <w:gridCol w:w="1131"/>
        <w:gridCol w:w="888"/>
        <w:gridCol w:w="727"/>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15872.000</w:t>
            </w:r>
          </w:p>
        </w:tc>
        <w:tc>
          <w:tcPr/>
          <w:p>
            <w:pPr>
              <w:pStyle w:val="Compact"/>
            </w:pPr>
            <w:r>
              <w:t xml:space="preserve">11470.000</w:t>
            </w:r>
          </w:p>
        </w:tc>
        <w:tc>
          <w:tcPr/>
          <w:p>
            <w:pPr>
              <w:pStyle w:val="Compact"/>
            </w:pPr>
            <w:r>
              <w:t xml:space="preserve">-503.609</w:t>
            </w:r>
          </w:p>
        </w:tc>
        <w:tc>
          <w:tcPr/>
          <w:p>
            <w:pPr>
              <w:pStyle w:val="Compact"/>
            </w:pPr>
            <w:r>
              <w:t xml:space="preserve">0.491</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Other/uncertain</w:t>
            </w:r>
          </w:p>
        </w:tc>
        <w:tc>
          <w:tcPr/>
          <w:p>
            <w:pPr>
              <w:pStyle w:val="Compact"/>
            </w:pPr>
            <w:r>
              <w:t xml:space="preserve">945.000</w:t>
            </w:r>
          </w:p>
        </w:tc>
        <w:tc>
          <w:tcPr/>
          <w:p>
            <w:pPr>
              <w:pStyle w:val="Compact"/>
            </w:pPr>
            <w:r>
              <w:t xml:space="preserve">1121.000</w:t>
            </w:r>
          </w:p>
        </w:tc>
        <w:tc>
          <w:tcPr/>
          <w:p>
            <w:pPr>
              <w:pStyle w:val="Compact"/>
            </w:pPr>
            <w:r>
              <w:t xml:space="preserve">19.964</w:t>
            </w:r>
          </w:p>
        </w:tc>
        <w:tc>
          <w:tcPr/>
          <w:p>
            <w:pPr>
              <w:pStyle w:val="Compact"/>
            </w:pPr>
            <w:r>
              <w:t xml:space="preserve">0.138</w:t>
            </w:r>
          </w:p>
        </w:tc>
        <w:tc>
          <w:tcPr/>
          <w:p>
            <w:pPr>
              <w:pStyle w:val="Compact"/>
            </w:pPr>
            <w:r>
              <w:t xml:space="preserve">0.260</w:t>
            </w:r>
          </w:p>
        </w:tc>
      </w:tr>
      <w:tr>
        <w:tc>
          <w:tcPr/>
          <w:p>
            <w:pPr>
              <w:pStyle w:val="Compact"/>
            </w:pPr>
            <w:r>
              <w:t xml:space="preserve">Total procedures</w:t>
            </w:r>
          </w:p>
        </w:tc>
        <w:tc>
          <w:tcPr/>
          <w:p>
            <w:pPr>
              <w:pStyle w:val="Compact"/>
            </w:pPr>
            <w:r>
              <w:t xml:space="preserve">URPS (OB/GYN)</w:t>
            </w:r>
          </w:p>
        </w:tc>
        <w:tc>
          <w:tcPr/>
          <w:p>
            <w:pPr>
              <w:pStyle w:val="Compact"/>
            </w:pPr>
            <w:r>
              <w:t xml:space="preserve">7266.000</w:t>
            </w:r>
          </w:p>
        </w:tc>
        <w:tc>
          <w:tcPr/>
          <w:p>
            <w:pPr>
              <w:pStyle w:val="Compact"/>
            </w:pPr>
            <w:r>
              <w:t xml:space="preserve">6949.000</w:t>
            </w:r>
          </w:p>
        </w:tc>
        <w:tc>
          <w:tcPr/>
          <w:p>
            <w:pPr>
              <w:pStyle w:val="Compact"/>
            </w:pPr>
            <w:r>
              <w:t xml:space="preserve">-97.018</w:t>
            </w:r>
          </w:p>
        </w:tc>
        <w:tc>
          <w:tcPr/>
          <w:p>
            <w:pPr>
              <w:pStyle w:val="Compact"/>
            </w:pPr>
            <w:r>
              <w:t xml:space="preserve">0.112</w:t>
            </w:r>
          </w:p>
        </w:tc>
        <w:tc>
          <w:tcPr/>
          <w:p>
            <w:pPr>
              <w:pStyle w:val="Compact"/>
            </w:pPr>
            <w:r>
              <w:t xml:space="preserve">0.310</w:t>
            </w:r>
          </w:p>
        </w:tc>
      </w:tr>
      <w:tr>
        <w:tc>
          <w:tcPr/>
          <w:p>
            <w:pPr>
              <w:pStyle w:val="Compact"/>
            </w:pPr>
            <w:r>
              <w:t xml:space="preserve">Total procedures</w:t>
            </w:r>
          </w:p>
        </w:tc>
        <w:tc>
          <w:tcPr/>
          <w:p>
            <w:pPr>
              <w:pStyle w:val="Compact"/>
            </w:pPr>
            <w:r>
              <w:t xml:space="preserve">URPS (urology)</w:t>
            </w:r>
          </w:p>
        </w:tc>
        <w:tc>
          <w:tcPr/>
          <w:p>
            <w:pPr>
              <w:pStyle w:val="Compact"/>
            </w:pPr>
            <w:r>
              <w:t xml:space="preserve">1483.000</w:t>
            </w:r>
          </w:p>
        </w:tc>
        <w:tc>
          <w:tcPr/>
          <w:p>
            <w:pPr>
              <w:pStyle w:val="Compact"/>
            </w:pPr>
            <w:r>
              <w:t xml:space="preserve">853.000</w:t>
            </w:r>
          </w:p>
        </w:tc>
        <w:tc>
          <w:tcPr/>
          <w:p>
            <w:pPr>
              <w:pStyle w:val="Compact"/>
            </w:pPr>
            <w:r>
              <w:t xml:space="preserve">-79.791</w:t>
            </w:r>
          </w:p>
        </w:tc>
        <w:tc>
          <w:tcPr/>
          <w:p>
            <w:pPr>
              <w:pStyle w:val="Compact"/>
            </w:pPr>
            <w:r>
              <w:t xml:space="preserve">0.663</w:t>
            </w:r>
          </w:p>
        </w:tc>
        <w:tc>
          <w:tcPr/>
          <w:p>
            <w:pPr>
              <w:pStyle w:val="Compact"/>
            </w:pPr>
            <w:r>
              <w:t xml:space="preserve">0.002</w:t>
            </w:r>
          </w:p>
        </w:tc>
      </w:tr>
      <w:tr>
        <w:tc>
          <w:tcPr/>
          <w:p>
            <w:pPr>
              <w:pStyle w:val="Compact"/>
            </w:pPr>
            <w:r>
              <w:t xml:space="preserve">Total procedures</w:t>
            </w:r>
          </w:p>
        </w:tc>
        <w:tc>
          <w:tcPr/>
          <w:p>
            <w:pPr>
              <w:pStyle w:val="Compact"/>
            </w:pPr>
            <w:r>
              <w:t xml:space="preserve">Urology</w:t>
            </w:r>
          </w:p>
        </w:tc>
        <w:tc>
          <w:tcPr/>
          <w:p>
            <w:pPr>
              <w:pStyle w:val="Compact"/>
            </w:pPr>
            <w:r>
              <w:t xml:space="preserve">3563.000</w:t>
            </w:r>
          </w:p>
        </w:tc>
        <w:tc>
          <w:tcPr/>
          <w:p>
            <w:pPr>
              <w:pStyle w:val="Compact"/>
            </w:pPr>
            <w:r>
              <w:t xml:space="preserve">948.000</w:t>
            </w:r>
          </w:p>
        </w:tc>
        <w:tc>
          <w:tcPr/>
          <w:p>
            <w:pPr>
              <w:pStyle w:val="Compact"/>
            </w:pPr>
            <w:r>
              <w:t xml:space="preserve">-235.818</w:t>
            </w:r>
          </w:p>
        </w:tc>
        <w:tc>
          <w:tcPr/>
          <w:p>
            <w:pPr>
              <w:pStyle w:val="Compact"/>
            </w:pPr>
            <w:r>
              <w:t xml:space="preserve">0.834</w:t>
            </w:r>
          </w:p>
        </w:tc>
        <w:tc>
          <w:tcPr/>
          <w:p>
            <w:pPr>
              <w:pStyle w:val="Compact"/>
            </w:pPr>
            <w:r>
              <w:t xml:space="preserve">n/a</w:t>
            </w:r>
          </w:p>
        </w:tc>
      </w:tr>
      <w:tr>
        <w:tc>
          <w:tcPr/>
          <w:p>
            <w:pPr>
              <w:pStyle w:val="Compact"/>
            </w:pPr>
            <w:r>
              <w:t xml:space="preserve">Observable surgeons</w:t>
            </w:r>
          </w:p>
        </w:tc>
        <w:tc>
          <w:tcPr/>
          <w:p>
            <w:pPr>
              <w:pStyle w:val="Compact"/>
            </w:pPr>
            <w:r>
              <w:t xml:space="preserve">All</w:t>
            </w:r>
          </w:p>
        </w:tc>
        <w:tc>
          <w:tcPr/>
          <w:p>
            <w:pPr>
              <w:pStyle w:val="Compact"/>
            </w:pPr>
            <w:r>
              <w:t xml:space="preserve">779.000</w:t>
            </w:r>
          </w:p>
        </w:tc>
        <w:tc>
          <w:tcPr/>
          <w:p>
            <w:pPr>
              <w:pStyle w:val="Compact"/>
            </w:pPr>
            <w:r>
              <w:t xml:space="preserve">522.000</w:t>
            </w:r>
          </w:p>
        </w:tc>
        <w:tc>
          <w:tcPr/>
          <w:p>
            <w:pPr>
              <w:pStyle w:val="Compact"/>
            </w:pPr>
            <w:r>
              <w:t xml:space="preserve">-27.045</w:t>
            </w:r>
          </w:p>
        </w:tc>
        <w:tc>
          <w:tcPr/>
          <w:p>
            <w:pPr>
              <w:pStyle w:val="Compact"/>
            </w:pPr>
            <w:r>
              <w:t xml:space="preserve">0.654</w:t>
            </w:r>
          </w:p>
        </w:tc>
        <w:tc>
          <w:tcPr/>
          <w:p>
            <w:pPr>
              <w:pStyle w:val="Compact"/>
            </w:pPr>
            <w:r>
              <w:t xml:space="preserve">0.003</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Other/uncertain</w:t>
            </w:r>
          </w:p>
        </w:tc>
        <w:tc>
          <w:tcPr/>
          <w:p>
            <w:pPr>
              <w:pStyle w:val="Compact"/>
            </w:pPr>
            <w:r>
              <w:t xml:space="preserve">38.000</w:t>
            </w:r>
          </w:p>
        </w:tc>
        <w:tc>
          <w:tcPr/>
          <w:p>
            <w:pPr>
              <w:pStyle w:val="Compact"/>
            </w:pPr>
            <w:r>
              <w:t xml:space="preserve">56.000</w:t>
            </w:r>
          </w:p>
        </w:tc>
        <w:tc>
          <w:tcPr/>
          <w:p>
            <w:pPr>
              <w:pStyle w:val="Compact"/>
            </w:pPr>
            <w:r>
              <w:t xml:space="preserve">1.545</w:t>
            </w:r>
          </w:p>
        </w:tc>
        <w:tc>
          <w:tcPr/>
          <w:p>
            <w:pPr>
              <w:pStyle w:val="Compact"/>
            </w:pPr>
            <w:r>
              <w:t xml:space="preserve">0.344</w:t>
            </w:r>
          </w:p>
        </w:tc>
        <w:tc>
          <w:tcPr/>
          <w:p>
            <w:pPr>
              <w:pStyle w:val="Compact"/>
            </w:pPr>
            <w:r>
              <w:t xml:space="preserve">0.060</w:t>
            </w:r>
          </w:p>
        </w:tc>
      </w:tr>
      <w:tr>
        <w:tc>
          <w:tcPr/>
          <w:p>
            <w:pPr>
              <w:pStyle w:val="Compact"/>
            </w:pPr>
            <w:r>
              <w:t xml:space="preserve">Observable surgeons</w:t>
            </w:r>
          </w:p>
        </w:tc>
        <w:tc>
          <w:tcPr/>
          <w:p>
            <w:pPr>
              <w:pStyle w:val="Compact"/>
            </w:pPr>
            <w:r>
              <w:t xml:space="preserve">URPS (OB/GYN)</w:t>
            </w:r>
          </w:p>
        </w:tc>
        <w:tc>
          <w:tcPr/>
          <w:p>
            <w:pPr>
              <w:pStyle w:val="Compact"/>
            </w:pPr>
            <w:r>
              <w:t xml:space="preserve">304.000</w:t>
            </w:r>
          </w:p>
        </w:tc>
        <w:tc>
          <w:tcPr/>
          <w:p>
            <w:pPr>
              <w:pStyle w:val="Compact"/>
            </w:pPr>
            <w:r>
              <w:t xml:space="preserve">293.000</w:t>
            </w:r>
          </w:p>
        </w:tc>
        <w:tc>
          <w:tcPr/>
          <w:p>
            <w:pPr>
              <w:pStyle w:val="Compact"/>
            </w:pPr>
            <w:r>
              <w:t xml:space="preserve">-2.927</w:t>
            </w:r>
          </w:p>
        </w:tc>
        <w:tc>
          <w:tcPr/>
          <w:p>
            <w:pPr>
              <w:pStyle w:val="Compact"/>
            </w:pPr>
            <w:r>
              <w:t xml:space="preserve">0.100</w:t>
            </w:r>
          </w:p>
        </w:tc>
        <w:tc>
          <w:tcPr/>
          <w:p>
            <w:pPr>
              <w:pStyle w:val="Compact"/>
            </w:pPr>
            <w:r>
              <w:t xml:space="preserve">0.340</w:t>
            </w:r>
          </w:p>
        </w:tc>
      </w:tr>
      <w:tr>
        <w:tc>
          <w:tcPr/>
          <w:p>
            <w:pPr>
              <w:pStyle w:val="Compact"/>
            </w:pPr>
            <w:r>
              <w:t xml:space="preserve">Observable surgeons</w:t>
            </w:r>
          </w:p>
        </w:tc>
        <w:tc>
          <w:tcPr/>
          <w:p>
            <w:pPr>
              <w:pStyle w:val="Compact"/>
            </w:pPr>
            <w:r>
              <w:t xml:space="preserve">URPS (urology)</w:t>
            </w:r>
          </w:p>
        </w:tc>
        <w:tc>
          <w:tcPr/>
          <w:p>
            <w:pPr>
              <w:pStyle w:val="Compact"/>
            </w:pPr>
            <w:r>
              <w:t xml:space="preserve">81.000</w:t>
            </w:r>
          </w:p>
        </w:tc>
        <w:tc>
          <w:tcPr/>
          <w:p>
            <w:pPr>
              <w:pStyle w:val="Compact"/>
            </w:pPr>
            <w:r>
              <w:t xml:space="preserve">45.000</w:t>
            </w:r>
          </w:p>
        </w:tc>
        <w:tc>
          <w:tcPr/>
          <w:p>
            <w:pPr>
              <w:pStyle w:val="Compact"/>
            </w:pPr>
            <w:r>
              <w:t xml:space="preserve">-3.991</w:t>
            </w:r>
          </w:p>
        </w:tc>
        <w:tc>
          <w:tcPr/>
          <w:p>
            <w:pPr>
              <w:pStyle w:val="Compact"/>
            </w:pPr>
            <w:r>
              <w:t xml:space="preserve">0.702</w:t>
            </w:r>
          </w:p>
        </w:tc>
        <w:tc>
          <w:tcPr/>
          <w:p>
            <w:pPr>
              <w:pStyle w:val="Compact"/>
            </w:pPr>
            <w:r>
              <w:t xml:space="preserve">0.001</w:t>
            </w:r>
          </w:p>
        </w:tc>
      </w:tr>
      <w:tr>
        <w:tc>
          <w:tcPr/>
          <w:p>
            <w:pPr>
              <w:pStyle w:val="Compact"/>
            </w:pPr>
            <w:r>
              <w:t xml:space="preserve">Observable surgeons</w:t>
            </w:r>
          </w:p>
        </w:tc>
        <w:tc>
          <w:tcPr/>
          <w:p>
            <w:pPr>
              <w:pStyle w:val="Compact"/>
            </w:pPr>
            <w:r>
              <w:t xml:space="preserve">Urology</w:t>
            </w:r>
          </w:p>
        </w:tc>
        <w:tc>
          <w:tcPr/>
          <w:p>
            <w:pPr>
              <w:pStyle w:val="Compact"/>
            </w:pPr>
            <w:r>
              <w:t xml:space="preserve">211.000</w:t>
            </w:r>
          </w:p>
        </w:tc>
        <w:tc>
          <w:tcPr/>
          <w:p>
            <w:pPr>
              <w:pStyle w:val="Compact"/>
            </w:pPr>
            <w:r>
              <w:t xml:space="preserve">48.000</w:t>
            </w:r>
          </w:p>
        </w:tc>
        <w:tc>
          <w:tcPr/>
          <w:p>
            <w:pPr>
              <w:pStyle w:val="Compact"/>
            </w:pPr>
            <w:r>
              <w:t xml:space="preserve">-14.764</w:t>
            </w:r>
          </w:p>
        </w:tc>
        <w:tc>
          <w:tcPr/>
          <w:p>
            <w:pPr>
              <w:pStyle w:val="Compact"/>
            </w:pPr>
            <w:r>
              <w:t xml:space="preserve">0.889</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0.109</w:t>
            </w:r>
          </w:p>
        </w:tc>
        <w:tc>
          <w:tcPr/>
          <w:p>
            <w:pPr>
              <w:pStyle w:val="Compact"/>
            </w:pPr>
            <w:r>
              <w:t xml:space="preserve">0.122</w:t>
            </w:r>
          </w:p>
        </w:tc>
        <w:tc>
          <w:tcPr/>
          <w:p>
            <w:pPr>
              <w:pStyle w:val="Compact"/>
            </w:pPr>
            <w:r>
              <w:t xml:space="preserve">0.290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Other/uncertain</w:t>
            </w:r>
          </w:p>
        </w:tc>
        <w:tc>
          <w:tcPr/>
          <w:p>
            <w:pPr>
              <w:pStyle w:val="Compact"/>
            </w:pPr>
            <w:r>
              <w:t xml:space="preserve">15.000</w:t>
            </w:r>
          </w:p>
        </w:tc>
        <w:tc>
          <w:tcPr/>
          <w:p>
            <w:pPr>
              <w:pStyle w:val="Compact"/>
            </w:pPr>
            <w:r>
              <w:t xml:space="preserve">16.000</w:t>
            </w:r>
          </w:p>
        </w:tc>
        <w:tc>
          <w:tcPr/>
          <w:p>
            <w:pPr>
              <w:pStyle w:val="Compact"/>
            </w:pPr>
            <w:r>
              <w:t xml:space="preserve">-0.064</w:t>
            </w:r>
          </w:p>
        </w:tc>
        <w:tc>
          <w:tcPr/>
          <w:p>
            <w:pPr>
              <w:pStyle w:val="Compact"/>
            </w:pPr>
            <w:r>
              <w:t xml:space="preserve">0.019</w:t>
            </w:r>
          </w:p>
        </w:tc>
        <w:tc>
          <w:tcPr/>
          <w:p>
            <w:pPr>
              <w:pStyle w:val="Compact"/>
            </w:pPr>
            <w:r>
              <w:t xml:space="preserve">0.680</w:t>
            </w:r>
          </w:p>
        </w:tc>
      </w:tr>
      <w:tr>
        <w:tc>
          <w:tcPr/>
          <w:p>
            <w:pPr>
              <w:pStyle w:val="Compact"/>
            </w:pPr>
            <w:r>
              <w:t xml:space="preserve">Median annual volume</w:t>
            </w:r>
          </w:p>
        </w:tc>
        <w:tc>
          <w:tcPr/>
          <w:p>
            <w:pPr>
              <w:pStyle w:val="Compact"/>
            </w:pPr>
            <w:r>
              <w:t xml:space="preserve">URPS (OB/GYN)</w:t>
            </w:r>
          </w:p>
        </w:tc>
        <w:tc>
          <w:tcPr/>
          <w:p>
            <w:pPr>
              <w:pStyle w:val="Compact"/>
            </w:pPr>
            <w:r>
              <w:t xml:space="preserve">19.000</w:t>
            </w:r>
          </w:p>
        </w:tc>
        <w:tc>
          <w:tcPr/>
          <w:p>
            <w:pPr>
              <w:pStyle w:val="Compact"/>
            </w:pPr>
            <w:r>
              <w:t xml:space="preserve">20.000</w:t>
            </w:r>
          </w:p>
        </w:tc>
        <w:tc>
          <w:tcPr/>
          <w:p>
            <w:pPr>
              <w:pStyle w:val="Compact"/>
            </w:pPr>
            <w:r>
              <w:t xml:space="preserve">-0.036</w:t>
            </w:r>
          </w:p>
        </w:tc>
        <w:tc>
          <w:tcPr/>
          <w:p>
            <w:pPr>
              <w:pStyle w:val="Compact"/>
            </w:pPr>
            <w:r>
              <w:t xml:space="preserve">0.022</w:t>
            </w:r>
          </w:p>
        </w:tc>
        <w:tc>
          <w:tcPr/>
          <w:p>
            <w:pPr>
              <w:pStyle w:val="Compact"/>
            </w:pPr>
            <w:r>
              <w:t xml:space="preserve">0.670</w:t>
            </w:r>
          </w:p>
        </w:tc>
      </w:tr>
      <w:tr>
        <w:tc>
          <w:tcPr/>
          <w:p>
            <w:pPr>
              <w:pStyle w:val="Compact"/>
            </w:pPr>
            <w:r>
              <w:t xml:space="preserve">Median annual volume</w:t>
            </w:r>
          </w:p>
        </w:tc>
        <w:tc>
          <w:tcPr/>
          <w:p>
            <w:pPr>
              <w:pStyle w:val="Compact"/>
            </w:pPr>
            <w:r>
              <w:t xml:space="preserve">URPS (urology)</w:t>
            </w:r>
          </w:p>
        </w:tc>
        <w:tc>
          <w:tcPr/>
          <w:p>
            <w:pPr>
              <w:pStyle w:val="Compact"/>
            </w:pPr>
            <w:r>
              <w:t xml:space="preserve">16.000</w:t>
            </w:r>
          </w:p>
        </w:tc>
        <w:tc>
          <w:tcPr/>
          <w:p>
            <w:pPr>
              <w:pStyle w:val="Compact"/>
            </w:pPr>
            <w:r>
              <w:t xml:space="preserve">16.000</w:t>
            </w:r>
          </w:p>
        </w:tc>
        <w:tc>
          <w:tcPr/>
          <w:p>
            <w:pPr>
              <w:pStyle w:val="Compact"/>
            </w:pPr>
            <w:r>
              <w:t xml:space="preserve">0.036</w:t>
            </w:r>
          </w:p>
        </w:tc>
        <w:tc>
          <w:tcPr/>
          <w:p>
            <w:pPr>
              <w:pStyle w:val="Compact"/>
            </w:pPr>
            <w:r>
              <w:t xml:space="preserve">0.036</w:t>
            </w:r>
          </w:p>
        </w:tc>
        <w:tc>
          <w:tcPr/>
          <w:p>
            <w:pPr>
              <w:pStyle w:val="Compact"/>
            </w:pPr>
            <w:r>
              <w:t xml:space="preserve">0.580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17.000</w:t>
            </w:r>
          </w:p>
        </w:tc>
        <w:tc>
          <w:tcPr/>
          <w:p>
            <w:pPr>
              <w:pStyle w:val="Compact"/>
            </w:pPr>
            <w:r>
              <w:t xml:space="preserve">0.209</w:t>
            </w:r>
          </w:p>
        </w:tc>
        <w:tc>
          <w:tcPr/>
          <w:p>
            <w:pPr>
              <w:pStyle w:val="Compact"/>
            </w:pPr>
            <w:r>
              <w:t xml:space="preserve">0.462</w:t>
            </w:r>
          </w:p>
        </w:tc>
        <w:tc>
          <w:tcPr/>
          <w:p>
            <w:pPr>
              <w:pStyle w:val="Compact"/>
            </w:pPr>
            <w:r>
              <w:t xml:space="preserve">0.020</w:t>
            </w:r>
          </w:p>
        </w:tc>
      </w:tr>
      <w:tr>
        <w:tc>
          <w:tcPr/>
          <w:p>
            <w:pPr>
              <w:pStyle w:val="Compact"/>
            </w:pPr>
            <w:r>
              <w:t xml:space="preserve">Gini coefficient</w:t>
            </w:r>
          </w:p>
        </w:tc>
        <w:tc>
          <w:tcPr/>
          <w:p>
            <w:pPr>
              <w:pStyle w:val="Compact"/>
            </w:pPr>
            <w:r>
              <w:t xml:space="preserve">All</w:t>
            </w:r>
          </w:p>
        </w:tc>
        <w:tc>
          <w:tcPr/>
          <w:p>
            <w:pPr>
              <w:pStyle w:val="Compact"/>
            </w:pPr>
            <w:r>
              <w:t xml:space="preserve">0.275</w:t>
            </w:r>
          </w:p>
        </w:tc>
        <w:tc>
          <w:tcPr/>
          <w:p>
            <w:pPr>
              <w:pStyle w:val="Compact"/>
            </w:pPr>
            <w:r>
              <w:t xml:space="preserve">0.267</w:t>
            </w:r>
          </w:p>
        </w:tc>
        <w:tc>
          <w:tcPr/>
          <w:p>
            <w:pPr>
              <w:pStyle w:val="Compact"/>
            </w:pPr>
            <w:r>
              <w:t xml:space="preserve">0.000</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Other/uncertain</w:t>
            </w:r>
          </w:p>
        </w:tc>
        <w:tc>
          <w:tcPr/>
          <w:p>
            <w:pPr>
              <w:pStyle w:val="Compact"/>
            </w:pPr>
            <w:r>
              <w:t xml:space="preserve">0.363</w:t>
            </w:r>
          </w:p>
        </w:tc>
        <w:tc>
          <w:tcPr/>
          <w:p>
            <w:pPr>
              <w:pStyle w:val="Compact"/>
            </w:pPr>
            <w:r>
              <w:t xml:space="preserve">0.242</w:t>
            </w:r>
          </w:p>
        </w:tc>
        <w:tc>
          <w:tcPr/>
          <w:p>
            <w:pPr>
              <w:pStyle w:val="Compact"/>
            </w:pPr>
            <w:r>
              <w:t xml:space="preserve">-0.010</w:t>
            </w:r>
          </w:p>
        </w:tc>
        <w:tc>
          <w:tcPr/>
          <w:p>
            <w:pPr>
              <w:pStyle w:val="Compact"/>
            </w:pPr>
            <w:r>
              <w:t xml:space="preserve">0.700</w:t>
            </w:r>
          </w:p>
        </w:tc>
        <w:tc>
          <w:tcPr/>
          <w:p>
            <w:pPr>
              <w:pStyle w:val="Compact"/>
            </w:pPr>
            <w:r>
              <w:t xml:space="preserve">0.001</w:t>
            </w:r>
          </w:p>
        </w:tc>
      </w:tr>
      <w:tr>
        <w:tc>
          <w:tcPr/>
          <w:p>
            <w:pPr>
              <w:pStyle w:val="Compact"/>
            </w:pPr>
            <w:r>
              <w:t xml:space="preserve">Gini coefficient</w:t>
            </w:r>
          </w:p>
        </w:tc>
        <w:tc>
          <w:tcPr/>
          <w:p>
            <w:pPr>
              <w:pStyle w:val="Compact"/>
            </w:pPr>
            <w:r>
              <w:t xml:space="preserve">URPS (OB/GYN)</w:t>
            </w:r>
          </w:p>
        </w:tc>
        <w:tc>
          <w:tcPr/>
          <w:p>
            <w:pPr>
              <w:pStyle w:val="Compact"/>
            </w:pPr>
            <w:r>
              <w:t xml:space="preserve">0.294</w:t>
            </w:r>
          </w:p>
        </w:tc>
        <w:tc>
          <w:tcPr/>
          <w:p>
            <w:pPr>
              <w:pStyle w:val="Compact"/>
            </w:pPr>
            <w:r>
              <w:t xml:space="preserve">0.275</w:t>
            </w:r>
          </w:p>
        </w:tc>
        <w:tc>
          <w:tcPr/>
          <w:p>
            <w:pPr>
              <w:pStyle w:val="Compact"/>
            </w:pPr>
            <w:r>
              <w:t xml:space="preserve">-0.001</w:t>
            </w:r>
          </w:p>
        </w:tc>
        <w:tc>
          <w:tcPr/>
          <w:p>
            <w:pPr>
              <w:pStyle w:val="Compact"/>
            </w:pPr>
            <w:r>
              <w:t xml:space="preserve">0.177</w:t>
            </w:r>
          </w:p>
        </w:tc>
        <w:tc>
          <w:tcPr/>
          <w:p>
            <w:pPr>
              <w:pStyle w:val="Compact"/>
            </w:pPr>
            <w:r>
              <w:t xml:space="preserve">0.200</w:t>
            </w:r>
          </w:p>
        </w:tc>
      </w:tr>
      <w:tr>
        <w:tc>
          <w:tcPr/>
          <w:p>
            <w:pPr>
              <w:pStyle w:val="Compact"/>
            </w:pPr>
            <w:r>
              <w:t xml:space="preserve">Gini coefficient</w:t>
            </w:r>
          </w:p>
        </w:tc>
        <w:tc>
          <w:tcPr/>
          <w:p>
            <w:pPr>
              <w:pStyle w:val="Compact"/>
            </w:pPr>
            <w:r>
              <w:t xml:space="preserve">URPS (urology)</w:t>
            </w:r>
          </w:p>
        </w:tc>
        <w:tc>
          <w:tcPr/>
          <w:p>
            <w:pPr>
              <w:pStyle w:val="Compact"/>
            </w:pPr>
            <w:r>
              <w:t xml:space="preserve">0.199</w:t>
            </w:r>
          </w:p>
        </w:tc>
        <w:tc>
          <w:tcPr/>
          <w:p>
            <w:pPr>
              <w:pStyle w:val="Compact"/>
            </w:pPr>
            <w:r>
              <w:t xml:space="preserve">0.227</w:t>
            </w:r>
          </w:p>
        </w:tc>
        <w:tc>
          <w:tcPr/>
          <w:p>
            <w:pPr>
              <w:pStyle w:val="Compact"/>
            </w:pPr>
            <w:r>
              <w:t xml:space="preserve">-0.001</w:t>
            </w:r>
          </w:p>
        </w:tc>
        <w:tc>
          <w:tcPr/>
          <w:p>
            <w:pPr>
              <w:pStyle w:val="Compact"/>
            </w:pPr>
            <w:r>
              <w:t xml:space="preserve">0.070</w:t>
            </w:r>
          </w:p>
        </w:tc>
        <w:tc>
          <w:tcPr/>
          <w:p>
            <w:pPr>
              <w:pStyle w:val="Compact"/>
            </w:pPr>
            <w:r>
              <w:t xml:space="preserve">0.430</w:t>
            </w:r>
          </w:p>
        </w:tc>
      </w:tr>
      <w:tr>
        <w:tc>
          <w:tcPr/>
          <w:p>
            <w:pPr>
              <w:pStyle w:val="Compact"/>
            </w:pPr>
            <w:r>
              <w:t xml:space="preserve">Gini coefficient</w:t>
            </w:r>
          </w:p>
        </w:tc>
        <w:tc>
          <w:tcPr/>
          <w:p>
            <w:pPr>
              <w:pStyle w:val="Compact"/>
            </w:pPr>
            <w:r>
              <w:t xml:space="preserve">Urology</w:t>
            </w:r>
          </w:p>
        </w:tc>
        <w:tc>
          <w:tcPr/>
          <w:p>
            <w:pPr>
              <w:pStyle w:val="Compact"/>
            </w:pPr>
            <w:r>
              <w:t xml:space="preserve">0.198</w:t>
            </w:r>
          </w:p>
        </w:tc>
        <w:tc>
          <w:tcPr/>
          <w:p>
            <w:pPr>
              <w:pStyle w:val="Compact"/>
            </w:pPr>
            <w:r>
              <w:t xml:space="preserve">0.236</w:t>
            </w:r>
          </w:p>
        </w:tc>
        <w:tc>
          <w:tcPr/>
          <w:p>
            <w:pPr>
              <w:pStyle w:val="Compact"/>
            </w:pPr>
            <w:r>
              <w:t xml:space="preserve">0.003</w:t>
            </w:r>
          </w:p>
        </w:tc>
        <w:tc>
          <w:tcPr/>
          <w:p>
            <w:pPr>
              <w:pStyle w:val="Compact"/>
            </w:pPr>
            <w:r>
              <w:t xml:space="preserve">0.139</w:t>
            </w:r>
          </w:p>
        </w:tc>
        <w:tc>
          <w:tcPr/>
          <w:p>
            <w:pPr>
              <w:pStyle w:val="Compact"/>
            </w:pPr>
            <w:r>
              <w:t xml:space="preserve">0.260</w:t>
            </w:r>
          </w:p>
        </w:tc>
      </w:tr>
      <w:tr>
        <w:tc>
          <w:tcPr/>
          <w:p>
            <w:pPr>
              <w:pStyle w:val="Compact"/>
            </w:pPr>
            <w:r>
              <w:t xml:space="preserve">HHI (0–10,000)</w:t>
            </w:r>
          </w:p>
        </w:tc>
        <w:tc>
          <w:tcPr/>
          <w:p>
            <w:pPr>
              <w:pStyle w:val="Compact"/>
            </w:pPr>
            <w:r>
              <w:t xml:space="preserve">All</w:t>
            </w:r>
          </w:p>
        </w:tc>
        <w:tc>
          <w:tcPr/>
          <w:p>
            <w:pPr>
              <w:pStyle w:val="Compact"/>
            </w:pPr>
            <w:r>
              <w:t xml:space="preserve">17.307</w:t>
            </w:r>
          </w:p>
        </w:tc>
        <w:tc>
          <w:tcPr/>
          <w:p>
            <w:pPr>
              <w:pStyle w:val="Compact"/>
            </w:pPr>
            <w:r>
              <w:t xml:space="preserve">24.632</w:t>
            </w:r>
          </w:p>
        </w:tc>
        <w:tc>
          <w:tcPr/>
          <w:p>
            <w:pPr>
              <w:pStyle w:val="Compact"/>
            </w:pPr>
            <w:r>
              <w:t xml:space="preserve">0.973</w:t>
            </w:r>
          </w:p>
        </w:tc>
        <w:tc>
          <w:tcPr/>
          <w:p>
            <w:pPr>
              <w:pStyle w:val="Compact"/>
            </w:pPr>
            <w:r>
              <w:t xml:space="preserve">0.564</w:t>
            </w:r>
          </w:p>
        </w:tc>
        <w:tc>
          <w:tcPr/>
          <w:p>
            <w:pPr>
              <w:pStyle w:val="Compact"/>
            </w:pPr>
            <w:r>
              <w:t xml:space="preserve">0.008</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Other/uncertain</w:t>
            </w:r>
          </w:p>
        </w:tc>
        <w:tc>
          <w:tcPr/>
          <w:p>
            <w:pPr>
              <w:pStyle w:val="Compact"/>
            </w:pPr>
            <w:r>
              <w:t xml:space="preserve">408.846</w:t>
            </w:r>
          </w:p>
        </w:tc>
        <w:tc>
          <w:tcPr/>
          <w:p>
            <w:pPr>
              <w:pStyle w:val="Compact"/>
            </w:pPr>
            <w:r>
              <w:t xml:space="preserve">217.954</w:t>
            </w:r>
          </w:p>
        </w:tc>
        <w:tc>
          <w:tcPr/>
          <w:p>
            <w:pPr>
              <w:pStyle w:val="Compact"/>
            </w:pPr>
            <w:r>
              <w:t xml:space="preserve">-18.475</w:t>
            </w:r>
          </w:p>
        </w:tc>
        <w:tc>
          <w:tcPr/>
          <w:p>
            <w:pPr>
              <w:pStyle w:val="Compact"/>
            </w:pPr>
            <w:r>
              <w:t xml:space="preserve">0.542</w:t>
            </w:r>
          </w:p>
        </w:tc>
        <w:tc>
          <w:tcPr/>
          <w:p>
            <w:pPr>
              <w:pStyle w:val="Compact"/>
            </w:pPr>
            <w:r>
              <w:t xml:space="preserve">0.010</w:t>
            </w:r>
          </w:p>
        </w:tc>
      </w:tr>
      <w:tr>
        <w:tc>
          <w:tcPr/>
          <w:p>
            <w:pPr>
              <w:pStyle w:val="Compact"/>
            </w:pPr>
            <w:r>
              <w:t xml:space="preserve">HHI (0–10,000)</w:t>
            </w:r>
          </w:p>
        </w:tc>
        <w:tc>
          <w:tcPr/>
          <w:p>
            <w:pPr>
              <w:pStyle w:val="Compact"/>
            </w:pPr>
            <w:r>
              <w:t xml:space="preserve">URPS (OB/GYN)</w:t>
            </w:r>
          </w:p>
        </w:tc>
        <w:tc>
          <w:tcPr/>
          <w:p>
            <w:pPr>
              <w:pStyle w:val="Compact"/>
            </w:pPr>
            <w:r>
              <w:t xml:space="preserve">44.322</w:t>
            </w:r>
          </w:p>
        </w:tc>
        <w:tc>
          <w:tcPr/>
          <w:p>
            <w:pPr>
              <w:pStyle w:val="Compact"/>
            </w:pPr>
            <w:r>
              <w:t xml:space="preserve">44.229</w:t>
            </w:r>
          </w:p>
        </w:tc>
        <w:tc>
          <w:tcPr/>
          <w:p>
            <w:pPr>
              <w:pStyle w:val="Compact"/>
            </w:pPr>
            <w:r>
              <w:t xml:space="preserve">0.404</w:t>
            </w:r>
          </w:p>
        </w:tc>
        <w:tc>
          <w:tcPr/>
          <w:p>
            <w:pPr>
              <w:pStyle w:val="Compact"/>
            </w:pPr>
            <w:r>
              <w:t xml:space="preserve">0.085</w:t>
            </w:r>
          </w:p>
        </w:tc>
        <w:tc>
          <w:tcPr/>
          <w:p>
            <w:pPr>
              <w:pStyle w:val="Compact"/>
            </w:pPr>
            <w:r>
              <w:t xml:space="preserve">0.380</w:t>
            </w:r>
          </w:p>
        </w:tc>
      </w:tr>
      <w:tr>
        <w:tc>
          <w:tcPr/>
          <w:p>
            <w:pPr>
              <w:pStyle w:val="Compact"/>
            </w:pPr>
            <w:r>
              <w:t xml:space="preserve">HHI (0–10,000)</w:t>
            </w:r>
          </w:p>
        </w:tc>
        <w:tc>
          <w:tcPr/>
          <w:p>
            <w:pPr>
              <w:pStyle w:val="Compact"/>
            </w:pPr>
            <w:r>
              <w:t xml:space="preserve">URPS (urology)</w:t>
            </w:r>
          </w:p>
        </w:tc>
        <w:tc>
          <w:tcPr/>
          <w:p>
            <w:pPr>
              <w:pStyle w:val="Compact"/>
            </w:pPr>
            <w:r>
              <w:t xml:space="preserve">146.115</w:t>
            </w:r>
          </w:p>
        </w:tc>
        <w:tc>
          <w:tcPr/>
          <w:p>
            <w:pPr>
              <w:pStyle w:val="Compact"/>
            </w:pPr>
            <w:r>
              <w:t xml:space="preserve">264.909</w:t>
            </w:r>
          </w:p>
        </w:tc>
        <w:tc>
          <w:tcPr/>
          <w:p>
            <w:pPr>
              <w:pStyle w:val="Compact"/>
            </w:pPr>
            <w:r>
              <w:t xml:space="preserve">16.159</w:t>
            </w:r>
          </w:p>
        </w:tc>
        <w:tc>
          <w:tcPr/>
          <w:p>
            <w:pPr>
              <w:pStyle w:val="Compact"/>
            </w:pPr>
            <w:r>
              <w:t xml:space="preserve">0.501</w:t>
            </w:r>
          </w:p>
        </w:tc>
        <w:tc>
          <w:tcPr/>
          <w:p>
            <w:pPr>
              <w:pStyle w:val="Compact"/>
            </w:pPr>
            <w:r>
              <w:t xml:space="preserve">0.010</w:t>
            </w:r>
          </w:p>
        </w:tc>
      </w:tr>
      <w:tr>
        <w:tc>
          <w:tcPr/>
          <w:p>
            <w:pPr>
              <w:pStyle w:val="Compact"/>
            </w:pPr>
            <w:r>
              <w:t xml:space="preserve">HHI (0–10,000)</w:t>
            </w:r>
          </w:p>
        </w:tc>
        <w:tc>
          <w:tcPr/>
          <w:p>
            <w:pPr>
              <w:pStyle w:val="Compact"/>
            </w:pPr>
            <w:r>
              <w:t xml:space="preserve">Urology</w:t>
            </w:r>
          </w:p>
        </w:tc>
        <w:tc>
          <w:tcPr/>
          <w:p>
            <w:pPr>
              <w:pStyle w:val="Compact"/>
            </w:pPr>
            <w:r>
              <w:t xml:space="preserve">55.876</w:t>
            </w:r>
          </w:p>
        </w:tc>
        <w:tc>
          <w:tcPr/>
          <w:p>
            <w:pPr>
              <w:pStyle w:val="Compact"/>
            </w:pPr>
            <w:r>
              <w:t xml:space="preserve">253.877</w:t>
            </w:r>
          </w:p>
        </w:tc>
        <w:tc>
          <w:tcPr/>
          <w:p>
            <w:pPr>
              <w:pStyle w:val="Compact"/>
            </w:pPr>
            <w:r>
              <w:t xml:space="preserve">20.658</w:t>
            </w:r>
          </w:p>
        </w:tc>
        <w:tc>
          <w:tcPr/>
          <w:p>
            <w:pPr>
              <w:pStyle w:val="Compact"/>
            </w:pPr>
            <w:r>
              <w:t xml:space="preserve">0.861</w:t>
            </w:r>
          </w:p>
        </w:tc>
        <w:tc>
          <w:tcPr/>
          <w:p>
            <w:pPr>
              <w:pStyle w:val="Compact"/>
            </w:pPr>
            <w:r>
              <w:t xml:space="preserve">n/a</w:t>
            </w:r>
          </w:p>
        </w:tc>
      </w:tr>
      <w:tr>
        <w:tc>
          <w:tcPr/>
          <w:p>
            <w:pPr>
              <w:pStyle w:val="Compact"/>
            </w:pPr>
            <w:r>
              <w:t xml:space="preserve">Share by top 10% (%)</w:t>
            </w:r>
          </w:p>
        </w:tc>
        <w:tc>
          <w:tcPr/>
          <w:p>
            <w:pPr>
              <w:pStyle w:val="Compact"/>
            </w:pPr>
            <w:r>
              <w:t xml:space="preserve">All</w:t>
            </w:r>
          </w:p>
        </w:tc>
        <w:tc>
          <w:tcPr/>
          <w:p>
            <w:pPr>
              <w:pStyle w:val="Compact"/>
            </w:pPr>
            <w:r>
              <w:t xml:space="preserve">24.427</w:t>
            </w:r>
          </w:p>
        </w:tc>
        <w:tc>
          <w:tcPr/>
          <w:p>
            <w:pPr>
              <w:pStyle w:val="Compact"/>
            </w:pPr>
            <w:r>
              <w:t xml:space="preserve">22.903</w:t>
            </w:r>
          </w:p>
        </w:tc>
        <w:tc>
          <w:tcPr/>
          <w:p>
            <w:pPr>
              <w:pStyle w:val="Compact"/>
            </w:pPr>
            <w:r>
              <w:t xml:space="preserve">-0.080</w:t>
            </w:r>
          </w:p>
        </w:tc>
        <w:tc>
          <w:tcPr/>
          <w:p>
            <w:pPr>
              <w:pStyle w:val="Compact"/>
            </w:pPr>
            <w:r>
              <w:t xml:space="preserve">0.247</w:t>
            </w:r>
          </w:p>
        </w:tc>
        <w:tc>
          <w:tcPr/>
          <w:p>
            <w:pPr>
              <w:pStyle w:val="Compact"/>
            </w:pPr>
            <w:r>
              <w:t xml:space="preserve">0.120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Other/uncertain</w:t>
            </w:r>
          </w:p>
        </w:tc>
        <w:tc>
          <w:tcPr/>
          <w:p>
            <w:pPr>
              <w:pStyle w:val="Compact"/>
            </w:pPr>
            <w:r>
              <w:t xml:space="preserve">28.466</w:t>
            </w:r>
          </w:p>
        </w:tc>
        <w:tc>
          <w:tcPr/>
          <w:p>
            <w:pPr>
              <w:pStyle w:val="Compact"/>
            </w:pPr>
            <w:r>
              <w:t xml:space="preserve">21.588</w:t>
            </w:r>
          </w:p>
        </w:tc>
        <w:tc>
          <w:tcPr/>
          <w:p>
            <w:pPr>
              <w:pStyle w:val="Compact"/>
            </w:pPr>
            <w:r>
              <w:t xml:space="preserve">-0.773</w:t>
            </w:r>
          </w:p>
        </w:tc>
        <w:tc>
          <w:tcPr/>
          <w:p>
            <w:pPr>
              <w:pStyle w:val="Compact"/>
            </w:pPr>
            <w:r>
              <w:t xml:space="preserve">0.643</w:t>
            </w:r>
          </w:p>
        </w:tc>
        <w:tc>
          <w:tcPr/>
          <w:p>
            <w:pPr>
              <w:pStyle w:val="Compact"/>
            </w:pPr>
            <w:r>
              <w:t xml:space="preserve">0.003</w:t>
            </w:r>
          </w:p>
        </w:tc>
      </w:tr>
      <w:tr>
        <w:tc>
          <w:tcPr/>
          <w:p>
            <w:pPr>
              <w:pStyle w:val="Compact"/>
            </w:pPr>
            <w:r>
              <w:t xml:space="preserve">Share by top 10% (%)</w:t>
            </w:r>
          </w:p>
        </w:tc>
        <w:tc>
          <w:tcPr/>
          <w:p>
            <w:pPr>
              <w:pStyle w:val="Compact"/>
            </w:pPr>
            <w:r>
              <w:t xml:space="preserve">URPS (OB/GYN)</w:t>
            </w:r>
          </w:p>
        </w:tc>
        <w:tc>
          <w:tcPr/>
          <w:p>
            <w:pPr>
              <w:pStyle w:val="Compact"/>
            </w:pPr>
            <w:r>
              <w:t xml:space="preserve">24.250</w:t>
            </w:r>
          </w:p>
        </w:tc>
        <w:tc>
          <w:tcPr/>
          <w:p>
            <w:pPr>
              <w:pStyle w:val="Compact"/>
            </w:pPr>
            <w:r>
              <w:t xml:space="preserve">23.097</w:t>
            </w:r>
          </w:p>
        </w:tc>
        <w:tc>
          <w:tcPr/>
          <w:p>
            <w:pPr>
              <w:pStyle w:val="Compact"/>
            </w:pPr>
            <w:r>
              <w:t xml:space="preserve">-0.016</w:t>
            </w:r>
          </w:p>
        </w:tc>
        <w:tc>
          <w:tcPr/>
          <w:p>
            <w:pPr>
              <w:pStyle w:val="Compact"/>
            </w:pPr>
            <w:r>
              <w:t xml:space="preserve">0.007</w:t>
            </w:r>
          </w:p>
        </w:tc>
        <w:tc>
          <w:tcPr/>
          <w:p>
            <w:pPr>
              <w:pStyle w:val="Compact"/>
            </w:pPr>
            <w:r>
              <w:t xml:space="preserve">0.800</w:t>
            </w:r>
          </w:p>
        </w:tc>
      </w:tr>
      <w:tr>
        <w:tc>
          <w:tcPr/>
          <w:p>
            <w:pPr>
              <w:pStyle w:val="Compact"/>
            </w:pPr>
            <w:r>
              <w:t xml:space="preserve">Share by top 10% (%)</w:t>
            </w:r>
          </w:p>
        </w:tc>
        <w:tc>
          <w:tcPr/>
          <w:p>
            <w:pPr>
              <w:pStyle w:val="Compact"/>
            </w:pPr>
            <w:r>
              <w:t xml:space="preserve">URPS (urology)</w:t>
            </w:r>
          </w:p>
        </w:tc>
        <w:tc>
          <w:tcPr/>
          <w:p>
            <w:pPr>
              <w:pStyle w:val="Compact"/>
            </w:pPr>
            <w:r>
              <w:t xml:space="preserve">21.982</w:t>
            </w:r>
          </w:p>
        </w:tc>
        <w:tc>
          <w:tcPr/>
          <w:p>
            <w:pPr>
              <w:pStyle w:val="Compact"/>
            </w:pPr>
            <w:r>
              <w:t xml:space="preserve">21.688</w:t>
            </w:r>
          </w:p>
        </w:tc>
        <w:tc>
          <w:tcPr/>
          <w:p>
            <w:pPr>
              <w:pStyle w:val="Compact"/>
            </w:pPr>
            <w:r>
              <w:t xml:space="preserve">-0.036</w:t>
            </w:r>
          </w:p>
        </w:tc>
        <w:tc>
          <w:tcPr/>
          <w:p>
            <w:pPr>
              <w:pStyle w:val="Compact"/>
            </w:pPr>
            <w:r>
              <w:t xml:space="preserve">0.005</w:t>
            </w:r>
          </w:p>
        </w:tc>
        <w:tc>
          <w:tcPr/>
          <w:p>
            <w:pPr>
              <w:pStyle w:val="Compact"/>
            </w:pPr>
            <w:r>
              <w:t xml:space="preserve">0.840</w:t>
            </w:r>
          </w:p>
        </w:tc>
      </w:tr>
      <w:tr>
        <w:tc>
          <w:tcPr/>
          <w:p>
            <w:pPr>
              <w:pStyle w:val="Compact"/>
            </w:pPr>
            <w:r>
              <w:t xml:space="preserve">Share by top 10% (%)</w:t>
            </w:r>
          </w:p>
        </w:tc>
        <w:tc>
          <w:tcPr/>
          <w:p>
            <w:pPr>
              <w:pStyle w:val="Compact"/>
            </w:pPr>
            <w:r>
              <w:t xml:space="preserve">Urology</w:t>
            </w:r>
          </w:p>
        </w:tc>
        <w:tc>
          <w:tcPr/>
          <w:p>
            <w:pPr>
              <w:pStyle w:val="Compact"/>
            </w:pPr>
            <w:r>
              <w:t xml:space="preserve">20.797</w:t>
            </w:r>
          </w:p>
        </w:tc>
        <w:tc>
          <w:tcPr/>
          <w:p>
            <w:pPr>
              <w:pStyle w:val="Compact"/>
            </w:pPr>
            <w:r>
              <w:t xml:space="preserve">20.886</w:t>
            </w:r>
          </w:p>
        </w:tc>
        <w:tc>
          <w:tcPr/>
          <w:p>
            <w:pPr>
              <w:pStyle w:val="Compact"/>
            </w:pPr>
            <w:r>
              <w:t xml:space="preserve">0.082</w:t>
            </w:r>
          </w:p>
        </w:tc>
        <w:tc>
          <w:tcPr/>
          <w:p>
            <w:pPr>
              <w:pStyle w:val="Compact"/>
            </w:pPr>
            <w:r>
              <w:t xml:space="preserve">0.039</w:t>
            </w:r>
          </w:p>
        </w:tc>
        <w:tc>
          <w:tcPr/>
          <w:p>
            <w:pPr>
              <w:pStyle w:val="Compact"/>
            </w:pPr>
            <w:r>
              <w:t xml:space="preserve">0.560</w:t>
            </w:r>
          </w:p>
        </w:tc>
      </w:tr>
      <w:tr>
        <w:tc>
          <w:tcPr/>
          <w:p>
            <w:pPr>
              <w:pStyle w:val="Compact"/>
            </w:pPr>
            <w:r>
              <w:t xml:space="preserve">Share by top 20% (%)</w:t>
            </w:r>
          </w:p>
        </w:tc>
        <w:tc>
          <w:tcPr/>
          <w:p>
            <w:pPr>
              <w:pStyle w:val="Compact"/>
            </w:pPr>
            <w:r>
              <w:t xml:space="preserve">All</w:t>
            </w:r>
          </w:p>
        </w:tc>
        <w:tc>
          <w:tcPr/>
          <w:p>
            <w:pPr>
              <w:pStyle w:val="Compact"/>
            </w:pPr>
            <w:r>
              <w:t xml:space="preserve">39.308</w:t>
            </w:r>
          </w:p>
        </w:tc>
        <w:tc>
          <w:tcPr/>
          <w:p>
            <w:pPr>
              <w:pStyle w:val="Compact"/>
            </w:pPr>
            <w:r>
              <w:t xml:space="preserve">37.751</w:t>
            </w:r>
          </w:p>
        </w:tc>
        <w:tc>
          <w:tcPr/>
          <w:p>
            <w:pPr>
              <w:pStyle w:val="Compact"/>
            </w:pPr>
            <w:r>
              <w:t xml:space="preserve">-0.092</w:t>
            </w:r>
          </w:p>
        </w:tc>
        <w:tc>
          <w:tcPr/>
          <w:p>
            <w:pPr>
              <w:pStyle w:val="Compact"/>
            </w:pPr>
            <w:r>
              <w:t xml:space="preserve">0.246</w:t>
            </w:r>
          </w:p>
        </w:tc>
        <w:tc>
          <w:tcPr/>
          <w:p>
            <w:pPr>
              <w:pStyle w:val="Compact"/>
            </w:pPr>
            <w:r>
              <w:t xml:space="preserve">0.120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Other/uncertain</w:t>
            </w:r>
          </w:p>
        </w:tc>
        <w:tc>
          <w:tcPr/>
          <w:p>
            <w:pPr>
              <w:pStyle w:val="Compact"/>
            </w:pPr>
            <w:r>
              <w:t xml:space="preserve">47.407</w:t>
            </w:r>
          </w:p>
        </w:tc>
        <w:tc>
          <w:tcPr/>
          <w:p>
            <w:pPr>
              <w:pStyle w:val="Compact"/>
            </w:pPr>
            <w:r>
              <w:t xml:space="preserve">36.574</w:t>
            </w:r>
          </w:p>
        </w:tc>
        <w:tc>
          <w:tcPr/>
          <w:p>
            <w:pPr>
              <w:pStyle w:val="Compact"/>
            </w:pPr>
            <w:r>
              <w:t xml:space="preserve">-1.012</w:t>
            </w:r>
          </w:p>
        </w:tc>
        <w:tc>
          <w:tcPr/>
          <w:p>
            <w:pPr>
              <w:pStyle w:val="Compact"/>
            </w:pPr>
            <w:r>
              <w:t xml:space="preserve">0.710</w:t>
            </w:r>
          </w:p>
        </w:tc>
        <w:tc>
          <w:tcPr/>
          <w:p>
            <w:pPr>
              <w:pStyle w:val="Compact"/>
            </w:pPr>
            <w:r>
              <w:t xml:space="preserve">0.001</w:t>
            </w:r>
          </w:p>
        </w:tc>
      </w:tr>
      <w:tr>
        <w:tc>
          <w:tcPr/>
          <w:p>
            <w:pPr>
              <w:pStyle w:val="Compact"/>
            </w:pPr>
            <w:r>
              <w:t xml:space="preserve">Share by top 20% (%)</w:t>
            </w:r>
          </w:p>
        </w:tc>
        <w:tc>
          <w:tcPr/>
          <w:p>
            <w:pPr>
              <w:pStyle w:val="Compact"/>
            </w:pPr>
            <w:r>
              <w:t xml:space="preserve">URPS (OB/GYN)</w:t>
            </w:r>
          </w:p>
        </w:tc>
        <w:tc>
          <w:tcPr/>
          <w:p>
            <w:pPr>
              <w:pStyle w:val="Compact"/>
            </w:pPr>
            <w:r>
              <w:t xml:space="preserve">39.403</w:t>
            </w:r>
          </w:p>
        </w:tc>
        <w:tc>
          <w:tcPr/>
          <w:p>
            <w:pPr>
              <w:pStyle w:val="Compact"/>
            </w:pPr>
            <w:r>
              <w:t xml:space="preserve">38.365</w:t>
            </w:r>
          </w:p>
        </w:tc>
        <w:tc>
          <w:tcPr/>
          <w:p>
            <w:pPr>
              <w:pStyle w:val="Compact"/>
            </w:pPr>
            <w:r>
              <w:t xml:space="preserve">-0.004</w:t>
            </w:r>
          </w:p>
        </w:tc>
        <w:tc>
          <w:tcPr/>
          <w:p>
            <w:pPr>
              <w:pStyle w:val="Compact"/>
            </w:pPr>
            <w:r>
              <w:t xml:space="preserve">0.000</w:t>
            </w:r>
          </w:p>
        </w:tc>
        <w:tc>
          <w:tcPr/>
          <w:p>
            <w:pPr>
              <w:pStyle w:val="Compact"/>
            </w:pPr>
            <w:r>
              <w:t xml:space="preserve">0.950</w:t>
            </w:r>
          </w:p>
        </w:tc>
      </w:tr>
      <w:tr>
        <w:tc>
          <w:tcPr/>
          <w:p>
            <w:pPr>
              <w:pStyle w:val="Compact"/>
            </w:pPr>
            <w:r>
              <w:t xml:space="preserve">Share by top 20% (%)</w:t>
            </w:r>
          </w:p>
        </w:tc>
        <w:tc>
          <w:tcPr/>
          <w:p>
            <w:pPr>
              <w:pStyle w:val="Compact"/>
            </w:pPr>
            <w:r>
              <w:t xml:space="preserve">URPS (urology)</w:t>
            </w:r>
          </w:p>
        </w:tc>
        <w:tc>
          <w:tcPr/>
          <w:p>
            <w:pPr>
              <w:pStyle w:val="Compact"/>
            </w:pPr>
            <w:r>
              <w:t xml:space="preserve">34.322</w:t>
            </w:r>
          </w:p>
        </w:tc>
        <w:tc>
          <w:tcPr/>
          <w:p>
            <w:pPr>
              <w:pStyle w:val="Compact"/>
            </w:pPr>
            <w:r>
              <w:t xml:space="preserve">34.232</w:t>
            </w:r>
          </w:p>
        </w:tc>
        <w:tc>
          <w:tcPr/>
          <w:p>
            <w:pPr>
              <w:pStyle w:val="Compact"/>
            </w:pPr>
            <w:r>
              <w:t xml:space="preserve">-0.185</w:t>
            </w:r>
          </w:p>
        </w:tc>
        <w:tc>
          <w:tcPr/>
          <w:p>
            <w:pPr>
              <w:pStyle w:val="Compact"/>
            </w:pPr>
            <w:r>
              <w:t xml:space="preserve">0.123</w:t>
            </w:r>
          </w:p>
        </w:tc>
        <w:tc>
          <w:tcPr/>
          <w:p>
            <w:pPr>
              <w:pStyle w:val="Compact"/>
            </w:pPr>
            <w:r>
              <w:t xml:space="preserve">0.290</w:t>
            </w:r>
          </w:p>
        </w:tc>
      </w:tr>
      <w:tr>
        <w:tc>
          <w:tcPr/>
          <w:p>
            <w:pPr>
              <w:pStyle w:val="Compact"/>
            </w:pPr>
            <w:r>
              <w:t xml:space="preserve">Share by top 20% (%)</w:t>
            </w:r>
          </w:p>
        </w:tc>
        <w:tc>
          <w:tcPr/>
          <w:p>
            <w:pPr>
              <w:pStyle w:val="Compact"/>
            </w:pPr>
            <w:r>
              <w:t xml:space="preserve">Urology</w:t>
            </w:r>
          </w:p>
        </w:tc>
        <w:tc>
          <w:tcPr/>
          <w:p>
            <w:pPr>
              <w:pStyle w:val="Compact"/>
            </w:pPr>
            <w:r>
              <w:t xml:space="preserve">33.679</w:t>
            </w:r>
          </w:p>
        </w:tc>
        <w:tc>
          <w:tcPr/>
          <w:p>
            <w:pPr>
              <w:pStyle w:val="Compact"/>
            </w:pPr>
            <w:r>
              <w:t xml:space="preserve">35.865</w:t>
            </w:r>
          </w:p>
        </w:tc>
        <w:tc>
          <w:tcPr/>
          <w:p>
            <w:pPr>
              <w:pStyle w:val="Compact"/>
            </w:pPr>
            <w:r>
              <w:t xml:space="preserve">0.215</w:t>
            </w:r>
          </w:p>
        </w:tc>
        <w:tc>
          <w:tcPr/>
          <w:p>
            <w:pPr>
              <w:pStyle w:val="Compact"/>
            </w:pPr>
            <w:r>
              <w:t xml:space="preserve">0.189</w:t>
            </w:r>
          </w:p>
        </w:tc>
        <w:tc>
          <w:tcPr/>
          <w:p>
            <w:pPr>
              <w:pStyle w:val="Compact"/>
            </w:pPr>
            <w:r>
              <w:t xml:space="preserve">0.180</w:t>
            </w:r>
          </w:p>
        </w:tc>
      </w:tr>
      <w:tr>
        <w:tc>
          <w:tcPr/>
          <w:p>
            <w:pPr>
              <w:pStyle w:val="Compact"/>
            </w:pPr>
            <w:r>
              <w:t xml:space="preserve">Share by bottom 50% (%)</w:t>
            </w:r>
          </w:p>
        </w:tc>
        <w:tc>
          <w:tcPr/>
          <w:p>
            <w:pPr>
              <w:pStyle w:val="Compact"/>
            </w:pPr>
            <w:r>
              <w:t xml:space="preserve">All</w:t>
            </w:r>
          </w:p>
        </w:tc>
        <w:tc>
          <w:tcPr/>
          <w:p>
            <w:pPr>
              <w:pStyle w:val="Compact"/>
            </w:pPr>
            <w:r>
              <w:t xml:space="preserve">31.496</w:t>
            </w:r>
          </w:p>
        </w:tc>
        <w:tc>
          <w:tcPr/>
          <w:p>
            <w:pPr>
              <w:pStyle w:val="Compact"/>
            </w:pPr>
            <w:r>
              <w:t xml:space="preserve">31.569</w:t>
            </w:r>
          </w:p>
        </w:tc>
        <w:tc>
          <w:tcPr/>
          <w:p>
            <w:pPr>
              <w:pStyle w:val="Compact"/>
            </w:pPr>
            <w:r>
              <w:t xml:space="preserve">0.015</w:t>
            </w:r>
          </w:p>
        </w:tc>
        <w:tc>
          <w:tcPr/>
          <w:p>
            <w:pPr>
              <w:pStyle w:val="Compact"/>
            </w:pPr>
            <w:r>
              <w:t xml:space="preserve">0.013</w:t>
            </w:r>
          </w:p>
        </w:tc>
        <w:tc>
          <w:tcPr/>
          <w:p>
            <w:pPr>
              <w:pStyle w:val="Compact"/>
            </w:pPr>
            <w:r>
              <w:t xml:space="preserve">0.740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Other/uncertain</w:t>
            </w:r>
          </w:p>
        </w:tc>
        <w:tc>
          <w:tcPr/>
          <w:p>
            <w:pPr>
              <w:pStyle w:val="Compact"/>
            </w:pPr>
            <w:r>
              <w:t xml:space="preserve">25.397</w:t>
            </w:r>
          </w:p>
        </w:tc>
        <w:tc>
          <w:tcPr/>
          <w:p>
            <w:pPr>
              <w:pStyle w:val="Compact"/>
            </w:pPr>
            <w:r>
              <w:t xml:space="preserve">32.293</w:t>
            </w:r>
          </w:p>
        </w:tc>
        <w:tc>
          <w:tcPr/>
          <w:p>
            <w:pPr>
              <w:pStyle w:val="Compact"/>
            </w:pPr>
            <w:r>
              <w:t xml:space="preserve">0.710</w:t>
            </w:r>
          </w:p>
        </w:tc>
        <w:tc>
          <w:tcPr/>
          <w:p>
            <w:pPr>
              <w:pStyle w:val="Compact"/>
            </w:pPr>
            <w:r>
              <w:t xml:space="preserve">0.644</w:t>
            </w:r>
          </w:p>
        </w:tc>
        <w:tc>
          <w:tcPr/>
          <w:p>
            <w:pPr>
              <w:pStyle w:val="Compact"/>
            </w:pPr>
            <w:r>
              <w:t xml:space="preserve">0.003</w:t>
            </w:r>
          </w:p>
        </w:tc>
      </w:tr>
      <w:tr>
        <w:tc>
          <w:tcPr/>
          <w:p>
            <w:pPr>
              <w:pStyle w:val="Compact"/>
            </w:pPr>
            <w:r>
              <w:t xml:space="preserve">Share by bottom 50% (%)</w:t>
            </w:r>
          </w:p>
        </w:tc>
        <w:tc>
          <w:tcPr/>
          <w:p>
            <w:pPr>
              <w:pStyle w:val="Compact"/>
            </w:pPr>
            <w:r>
              <w:t xml:space="preserve">URPS (OB/GYN)</w:t>
            </w:r>
          </w:p>
        </w:tc>
        <w:tc>
          <w:tcPr/>
          <w:p>
            <w:pPr>
              <w:pStyle w:val="Compact"/>
            </w:pPr>
            <w:r>
              <w:t xml:space="preserve">29.769</w:t>
            </w:r>
          </w:p>
        </w:tc>
        <w:tc>
          <w:tcPr/>
          <w:p>
            <w:pPr>
              <w:pStyle w:val="Compact"/>
            </w:pPr>
            <w:r>
              <w:t xml:space="preserve">31.026</w:t>
            </w:r>
          </w:p>
        </w:tc>
        <w:tc>
          <w:tcPr/>
          <w:p>
            <w:pPr>
              <w:pStyle w:val="Compact"/>
            </w:pPr>
            <w:r>
              <w:t xml:space="preserve">0.084</w:t>
            </w:r>
          </w:p>
        </w:tc>
        <w:tc>
          <w:tcPr/>
          <w:p>
            <w:pPr>
              <w:pStyle w:val="Compact"/>
            </w:pPr>
            <w:r>
              <w:t xml:space="preserve">0.233</w:t>
            </w:r>
          </w:p>
        </w:tc>
        <w:tc>
          <w:tcPr/>
          <w:p>
            <w:pPr>
              <w:pStyle w:val="Compact"/>
            </w:pPr>
            <w:r>
              <w:t xml:space="preserve">0.130</w:t>
            </w:r>
          </w:p>
        </w:tc>
      </w:tr>
      <w:tr>
        <w:tc>
          <w:tcPr/>
          <w:p>
            <w:pPr>
              <w:pStyle w:val="Compact"/>
            </w:pPr>
            <w:r>
              <w:t xml:space="preserve">Share by bottom 50% (%)</w:t>
            </w:r>
          </w:p>
        </w:tc>
        <w:tc>
          <w:tcPr/>
          <w:p>
            <w:pPr>
              <w:pStyle w:val="Compact"/>
            </w:pPr>
            <w:r>
              <w:t xml:space="preserve">URPS (urology)</w:t>
            </w:r>
          </w:p>
        </w:tc>
        <w:tc>
          <w:tcPr/>
          <w:p>
            <w:pPr>
              <w:pStyle w:val="Compact"/>
            </w:pPr>
            <w:r>
              <w:t xml:space="preserve">36.210</w:t>
            </w:r>
          </w:p>
        </w:tc>
        <w:tc>
          <w:tcPr/>
          <w:p>
            <w:pPr>
              <w:pStyle w:val="Compact"/>
            </w:pPr>
            <w:r>
              <w:t xml:space="preserve">33.060</w:t>
            </w:r>
          </w:p>
        </w:tc>
        <w:tc>
          <w:tcPr/>
          <w:p>
            <w:pPr>
              <w:pStyle w:val="Compact"/>
            </w:pPr>
            <w:r>
              <w:t xml:space="preserve">0.043</w:t>
            </w:r>
          </w:p>
        </w:tc>
        <w:tc>
          <w:tcPr/>
          <w:p>
            <w:pPr>
              <w:pStyle w:val="Compact"/>
            </w:pPr>
            <w:r>
              <w:t xml:space="preserve">0.012</w:t>
            </w:r>
          </w:p>
        </w:tc>
        <w:tc>
          <w:tcPr/>
          <w:p>
            <w:pPr>
              <w:pStyle w:val="Compact"/>
            </w:pPr>
            <w:r>
              <w:t xml:space="preserve">0.740</w:t>
            </w:r>
          </w:p>
        </w:tc>
      </w:tr>
      <w:tr>
        <w:tc>
          <w:tcPr/>
          <w:p>
            <w:pPr>
              <w:pStyle w:val="Compact"/>
            </w:pPr>
            <w:r>
              <w:t xml:space="preserve">Share by bottom 50% (%)</w:t>
            </w:r>
          </w:p>
        </w:tc>
        <w:tc>
          <w:tcPr/>
          <w:p>
            <w:pPr>
              <w:pStyle w:val="Compact"/>
            </w:pPr>
            <w:r>
              <w:t xml:space="preserve">Urology</w:t>
            </w:r>
          </w:p>
        </w:tc>
        <w:tc>
          <w:tcPr/>
          <w:p>
            <w:pPr>
              <w:pStyle w:val="Compact"/>
            </w:pPr>
            <w:r>
              <w:t xml:space="preserve">36.290</w:t>
            </w:r>
          </w:p>
        </w:tc>
        <w:tc>
          <w:tcPr/>
          <w:p>
            <w:pPr>
              <w:pStyle w:val="Compact"/>
            </w:pPr>
            <w:r>
              <w:t xml:space="preserve">33.333</w:t>
            </w:r>
          </w:p>
        </w:tc>
        <w:tc>
          <w:tcPr/>
          <w:p>
            <w:pPr>
              <w:pStyle w:val="Compact"/>
            </w:pPr>
            <w:r>
              <w:t xml:space="preserve">-0.220</w:t>
            </w:r>
          </w:p>
        </w:tc>
        <w:tc>
          <w:tcPr/>
          <w:p>
            <w:pPr>
              <w:pStyle w:val="Compact"/>
            </w:pPr>
            <w:r>
              <w:t xml:space="preserve">0.216</w:t>
            </w:r>
          </w:p>
        </w:tc>
        <w:tc>
          <w:tcPr/>
          <w:p>
            <w:pPr>
              <w:pStyle w:val="Compact"/>
            </w:pPr>
            <w:r>
              <w:t xml:space="preserve">0.150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844"/>
        <w:gridCol w:w="1735"/>
        <w:gridCol w:w="1735"/>
        <w:gridCol w:w="1627"/>
        <w:gridCol w:w="976"/>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16.3</w:t>
            </w:r>
          </w:p>
        </w:tc>
        <w:tc>
          <w:tcPr/>
          <w:p>
            <w:pPr>
              <w:pStyle w:val="Compact"/>
            </w:pPr>
            <w:r>
              <w:t xml:space="preserve">13.1</w:t>
            </w:r>
          </w:p>
        </w:tc>
        <w:tc>
          <w:tcPr/>
          <w:p>
            <w:pPr>
              <w:pStyle w:val="Compact"/>
            </w:pPr>
            <w:r>
              <w:t xml:space="preserve">-0.397</w:t>
            </w:r>
          </w:p>
        </w:tc>
        <w:tc>
          <w:tcPr/>
          <w:p>
            <w:pPr>
              <w:pStyle w:val="Compact"/>
            </w:pPr>
            <w:r>
              <w:t xml:space="preserve">0.008</w:t>
            </w:r>
          </w:p>
        </w:tc>
      </w:tr>
      <w:tr>
        <w:tc>
          <w:tcPr/>
          <w:p>
            <w:pPr>
              <w:pStyle w:val="Compact"/>
            </w:pPr>
            <w:r>
              <w:t xml:space="preserve">MIGS</w:t>
            </w:r>
          </w:p>
        </w:tc>
        <w:tc>
          <w:tcPr/>
          <w:p>
            <w:pPr>
              <w:pStyle w:val="Compact"/>
            </w:pPr>
            <w:r>
              <w:t xml:space="preserve">0.2</w:t>
            </w:r>
          </w:p>
        </w:tc>
        <w:tc>
          <w:tcPr/>
          <w:p>
            <w:pPr>
              <w:pStyle w:val="Compact"/>
            </w:pPr>
            <w:r>
              <w:t xml:space="preserve">0.9</w:t>
            </w:r>
          </w:p>
        </w:tc>
        <w:tc>
          <w:tcPr/>
          <w:p>
            <w:pPr>
              <w:pStyle w:val="Compact"/>
            </w:pPr>
            <w:r>
              <w:t xml:space="preserve">0.077</w:t>
            </w:r>
          </w:p>
        </w:tc>
        <w:tc>
          <w:tcPr/>
          <w:p>
            <w:pPr>
              <w:pStyle w:val="Compact"/>
            </w:pPr>
            <w:r>
              <w:t xml:space="preserve">0.004</w:t>
            </w:r>
          </w:p>
        </w:tc>
      </w:tr>
      <w:tr>
        <w:tc>
          <w:tcPr/>
          <w:p>
            <w:pPr>
              <w:pStyle w:val="Compact"/>
            </w:pPr>
            <w:r>
              <w:t xml:space="preserve">Other/uncertain</w:t>
            </w:r>
          </w:p>
        </w:tc>
        <w:tc>
          <w:tcPr/>
          <w:p>
            <w:pPr>
              <w:pStyle w:val="Compact"/>
            </w:pPr>
            <w:r>
              <w:t xml:space="preserve">6.0</w:t>
            </w:r>
          </w:p>
        </w:tc>
        <w:tc>
          <w:tcPr/>
          <w:p>
            <w:pPr>
              <w:pStyle w:val="Compact"/>
            </w:pPr>
            <w:r>
              <w:t xml:space="preserve">9.8</w:t>
            </w:r>
          </w:p>
        </w:tc>
        <w:tc>
          <w:tcPr/>
          <w:p>
            <w:pPr>
              <w:pStyle w:val="Compact"/>
            </w:pPr>
            <w:r>
              <w:t xml:space="preserve">0.488</w:t>
            </w:r>
          </w:p>
        </w:tc>
        <w:tc>
          <w:tcPr/>
          <w:p>
            <w:pPr>
              <w:pStyle w:val="Compact"/>
            </w:pPr>
            <w:r>
              <w:t xml:space="preserve">&lt;0.001</w:t>
            </w:r>
          </w:p>
        </w:tc>
      </w:tr>
      <w:tr>
        <w:tc>
          <w:tcPr/>
          <w:p>
            <w:pPr>
              <w:pStyle w:val="Compact"/>
            </w:pPr>
            <w:r>
              <w:t xml:space="preserve">URPS (OB/GYN)</w:t>
            </w:r>
          </w:p>
        </w:tc>
        <w:tc>
          <w:tcPr/>
          <w:p>
            <w:pPr>
              <w:pStyle w:val="Compact"/>
            </w:pPr>
            <w:r>
              <w:t xml:space="preserve">45.8</w:t>
            </w:r>
          </w:p>
        </w:tc>
        <w:tc>
          <w:tcPr/>
          <w:p>
            <w:pPr>
              <w:pStyle w:val="Compact"/>
            </w:pPr>
            <w:r>
              <w:t xml:space="preserve">60.6</w:t>
            </w:r>
          </w:p>
        </w:tc>
        <w:tc>
          <w:tcPr/>
          <w:p>
            <w:pPr>
              <w:pStyle w:val="Compact"/>
            </w:pPr>
            <w:r>
              <w:t xml:space="preserve">1.416</w:t>
            </w:r>
          </w:p>
        </w:tc>
        <w:tc>
          <w:tcPr/>
          <w:p>
            <w:pPr>
              <w:pStyle w:val="Compact"/>
            </w:pPr>
            <w:r>
              <w:t xml:space="preserve">&lt;0.001</w:t>
            </w:r>
          </w:p>
        </w:tc>
      </w:tr>
      <w:tr>
        <w:tc>
          <w:tcPr/>
          <w:p>
            <w:pPr>
              <w:pStyle w:val="Compact"/>
            </w:pPr>
            <w:r>
              <w:t xml:space="preserve">URPS (urology)</w:t>
            </w:r>
          </w:p>
        </w:tc>
        <w:tc>
          <w:tcPr/>
          <w:p>
            <w:pPr>
              <w:pStyle w:val="Compact"/>
            </w:pPr>
            <w:r>
              <w:t xml:space="preserve">9.3</w:t>
            </w:r>
          </w:p>
        </w:tc>
        <w:tc>
          <w:tcPr/>
          <w:p>
            <w:pPr>
              <w:pStyle w:val="Compact"/>
            </w:pPr>
            <w:r>
              <w:t xml:space="preserve">7.4</w:t>
            </w:r>
          </w:p>
        </w:tc>
        <w:tc>
          <w:tcPr/>
          <w:p>
            <w:pPr>
              <w:pStyle w:val="Compact"/>
            </w:pPr>
            <w:r>
              <w:t xml:space="preserve">-0.299</w:t>
            </w:r>
          </w:p>
        </w:tc>
        <w:tc>
          <w:tcPr/>
          <w:p>
            <w:pPr>
              <w:pStyle w:val="Compact"/>
            </w:pPr>
            <w:r>
              <w:t xml:space="preserve">0.001</w:t>
            </w:r>
          </w:p>
        </w:tc>
      </w:tr>
      <w:tr>
        <w:tc>
          <w:tcPr/>
          <w:p>
            <w:pPr>
              <w:pStyle w:val="Compact"/>
            </w:pPr>
            <w:r>
              <w:t xml:space="preserve">Urology</w:t>
            </w:r>
          </w:p>
        </w:tc>
        <w:tc>
          <w:tcPr/>
          <w:p>
            <w:pPr>
              <w:pStyle w:val="Compact"/>
            </w:pPr>
            <w:r>
              <w:t xml:space="preserve">22.4</w:t>
            </w:r>
          </w:p>
        </w:tc>
        <w:tc>
          <w:tcPr/>
          <w:p>
            <w:pPr>
              <w:pStyle w:val="Compact"/>
            </w:pPr>
            <w:r>
              <w:t xml:space="preserve">8.3</w:t>
            </w:r>
          </w:p>
        </w:tc>
        <w:tc>
          <w:tcPr/>
          <w:p>
            <w:pPr>
              <w:pStyle w:val="Compact"/>
            </w:pPr>
            <w:r>
              <w:t xml:space="preserve">-1.284</w:t>
            </w:r>
          </w:p>
        </w:tc>
        <w:tc>
          <w:tcPr/>
          <w:p>
            <w:pPr>
              <w:pStyle w:val="Compact"/>
            </w:pPr>
            <w:r>
              <w:t xml:space="preserve">&lt;0.001</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21.79 (20.23-23.48)</w:t>
            </w:r>
          </w:p>
        </w:tc>
        <w:tc>
          <w:tcPr/>
          <w:p>
            <w:pPr>
              <w:pStyle w:val="Compact"/>
            </w:pPr>
            <w:r>
              <w:t xml:space="preserve">n/a</w:t>
            </w:r>
          </w:p>
        </w:tc>
      </w:tr>
      <w:tr>
        <w:tc>
          <w:tcPr/>
          <w:p>
            <w:pPr>
              <w:pStyle w:val="Compact"/>
            </w:pPr>
            <w:r>
              <w:t xml:space="preserve">Specialty: General OB/GYN</w:t>
            </w:r>
          </w:p>
        </w:tc>
        <w:tc>
          <w:tcPr/>
          <w:p>
            <w:pPr>
              <w:pStyle w:val="Compact"/>
            </w:pPr>
            <w:r>
              <w:t xml:space="preserve">0.64 (0.46-0.90)</w:t>
            </w:r>
          </w:p>
        </w:tc>
        <w:tc>
          <w:tcPr/>
          <w:p>
            <w:pPr>
              <w:pStyle w:val="Compact"/>
            </w:pPr>
            <w:r>
              <w:t xml:space="preserve">0.010</w:t>
            </w:r>
          </w:p>
        </w:tc>
      </w:tr>
      <w:tr>
        <w:tc>
          <w:tcPr/>
          <w:p>
            <w:pPr>
              <w:pStyle w:val="Compact"/>
            </w:pPr>
            <w:r>
              <w:t xml:space="preserve">Specialty: MIGS</w:t>
            </w:r>
          </w:p>
        </w:tc>
        <w:tc>
          <w:tcPr/>
          <w:p>
            <w:pPr>
              <w:pStyle w:val="Compact"/>
            </w:pPr>
            <w:r>
              <w:t xml:space="preserve">0.88 (0.58-1.34)</w:t>
            </w:r>
          </w:p>
        </w:tc>
        <w:tc>
          <w:tcPr/>
          <w:p>
            <w:pPr>
              <w:pStyle w:val="Compact"/>
            </w:pPr>
            <w:r>
              <w:t xml:space="preserve">0.540</w:t>
            </w:r>
          </w:p>
        </w:tc>
      </w:tr>
      <w:tr>
        <w:tc>
          <w:tcPr/>
          <w:p>
            <w:pPr>
              <w:pStyle w:val="Compact"/>
            </w:pPr>
            <w:r>
              <w:t xml:space="preserve">Specialty: Other/uncertain</w:t>
            </w:r>
          </w:p>
        </w:tc>
        <w:tc>
          <w:tcPr/>
          <w:p>
            <w:pPr>
              <w:pStyle w:val="Compact"/>
            </w:pPr>
            <w:r>
              <w:t xml:space="preserve">0.89 (0.80-0.98)</w:t>
            </w:r>
          </w:p>
        </w:tc>
        <w:tc>
          <w:tcPr/>
          <w:p>
            <w:pPr>
              <w:pStyle w:val="Compact"/>
            </w:pPr>
            <w:r>
              <w:t xml:space="preserve">0.020</w:t>
            </w:r>
          </w:p>
        </w:tc>
      </w:tr>
      <w:tr>
        <w:tc>
          <w:tcPr/>
          <w:p>
            <w:pPr>
              <w:pStyle w:val="Compact"/>
            </w:pPr>
            <w:r>
              <w:t xml:space="preserve">Specialty: Urology</w:t>
            </w:r>
          </w:p>
        </w:tc>
        <w:tc>
          <w:tcPr/>
          <w:p>
            <w:pPr>
              <w:pStyle w:val="Compact"/>
            </w:pPr>
            <w:r>
              <w:t xml:space="preserve">0.69 (0.57-0.83)</w:t>
            </w:r>
          </w:p>
        </w:tc>
        <w:tc>
          <w:tcPr/>
          <w:p>
            <w:pPr>
              <w:pStyle w:val="Compact"/>
            </w:pPr>
            <w:r>
              <w:t xml:space="preserve">n/a</w:t>
            </w:r>
          </w:p>
        </w:tc>
      </w:tr>
      <w:tr>
        <w:tc>
          <w:tcPr/>
          <w:p>
            <w:pPr>
              <w:pStyle w:val="Compact"/>
            </w:pPr>
            <w:r>
              <w:t xml:space="preserve">Specialty: URPS (urology)</w:t>
            </w:r>
          </w:p>
        </w:tc>
        <w:tc>
          <w:tcPr/>
          <w:p>
            <w:pPr>
              <w:pStyle w:val="Compact"/>
            </w:pPr>
            <w:r>
              <w:t xml:space="preserve">0.75 (0.68-0.83)</w:t>
            </w:r>
          </w:p>
        </w:tc>
        <w:tc>
          <w:tcPr/>
          <w:p>
            <w:pPr>
              <w:pStyle w:val="Compact"/>
            </w:pPr>
            <w:r>
              <w:t xml:space="preserve">n/a</w:t>
            </w:r>
          </w:p>
        </w:tc>
      </w:tr>
      <w:tr>
        <w:tc>
          <w:tcPr/>
          <w:p>
            <w:pPr>
              <w:pStyle w:val="Compact"/>
            </w:pPr>
            <w:r>
              <w:t xml:space="preserve">year_c</w:t>
            </w:r>
          </w:p>
        </w:tc>
        <w:tc>
          <w:tcPr/>
          <w:p>
            <w:pPr>
              <w:pStyle w:val="Compact"/>
            </w:pPr>
            <w:r>
              <w:t xml:space="preserve">1.00 (0.99-1.01)</w:t>
            </w:r>
          </w:p>
        </w:tc>
        <w:tc>
          <w:tcPr/>
          <w:p>
            <w:pPr>
              <w:pStyle w:val="Compact"/>
            </w:pPr>
            <w:r>
              <w:t xml:space="preserve">0.850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0.900</w:t>
            </w:r>
          </w:p>
        </w:tc>
      </w:tr>
      <w:tr>
        <w:tc>
          <w:tcPr/>
          <w:p>
            <w:pPr>
              <w:pStyle w:val="Compact"/>
            </w:pPr>
            <w:r>
              <w:t xml:space="preserve">Specialty: MIGS:year_c</w:t>
            </w:r>
          </w:p>
        </w:tc>
        <w:tc>
          <w:tcPr/>
          <w:p>
            <w:pPr>
              <w:pStyle w:val="Compact"/>
            </w:pPr>
            <w:r>
              <w:t xml:space="preserve">1.08 (1.02-1.14)</w:t>
            </w:r>
          </w:p>
        </w:tc>
        <w:tc>
          <w:tcPr/>
          <w:p>
            <w:pPr>
              <w:pStyle w:val="Compact"/>
            </w:pPr>
            <w:r>
              <w:t xml:space="preserve">0.006</w:t>
            </w:r>
          </w:p>
        </w:tc>
      </w:tr>
      <w:tr>
        <w:tc>
          <w:tcPr/>
          <w:p>
            <w:pPr>
              <w:pStyle w:val="Compact"/>
            </w:pPr>
            <w:r>
              <w:t xml:space="preserve">Specialty: Other/uncertain:year_c</w:t>
            </w:r>
          </w:p>
        </w:tc>
        <w:tc>
          <w:tcPr/>
          <w:p>
            <w:pPr>
              <w:pStyle w:val="Compact"/>
            </w:pPr>
            <w:r>
              <w:t xml:space="preserve">0.99 (0.95-1.03)</w:t>
            </w:r>
          </w:p>
        </w:tc>
        <w:tc>
          <w:tcPr/>
          <w:p>
            <w:pPr>
              <w:pStyle w:val="Compact"/>
            </w:pPr>
            <w:r>
              <w:t xml:space="preserve">0.550</w:t>
            </w:r>
          </w:p>
        </w:tc>
      </w:tr>
      <w:tr>
        <w:tc>
          <w:tcPr/>
          <w:p>
            <w:pPr>
              <w:pStyle w:val="Compact"/>
            </w:pPr>
            <w:r>
              <w:t xml:space="preserve">Specialty: Urology:year_c</w:t>
            </w:r>
          </w:p>
        </w:tc>
        <w:tc>
          <w:tcPr/>
          <w:p>
            <w:pPr>
              <w:pStyle w:val="Compact"/>
            </w:pPr>
            <w:r>
              <w:t xml:space="preserve">0.99 (0.97-1.01)</w:t>
            </w:r>
          </w:p>
        </w:tc>
        <w:tc>
          <w:tcPr/>
          <w:p>
            <w:pPr>
              <w:pStyle w:val="Compact"/>
            </w:pPr>
            <w:r>
              <w:t xml:space="preserve">0.230</w:t>
            </w:r>
          </w:p>
        </w:tc>
      </w:tr>
      <w:tr>
        <w:tc>
          <w:tcPr/>
          <w:p>
            <w:pPr>
              <w:pStyle w:val="Compact"/>
            </w:pPr>
            <w:r>
              <w:t xml:space="preserve">Specialty: URPS (urology):year_c</w:t>
            </w:r>
          </w:p>
        </w:tc>
        <w:tc>
          <w:tcPr/>
          <w:p>
            <w:pPr>
              <w:pStyle w:val="Compact"/>
            </w:pPr>
            <w:r>
              <w:t xml:space="preserve">0.99 (0.97-1.01)</w:t>
            </w:r>
          </w:p>
        </w:tc>
        <w:tc>
          <w:tcPr/>
          <w:p>
            <w:pPr>
              <w:pStyle w:val="Compact"/>
            </w:pPr>
            <w:r>
              <w:t xml:space="preserve">0.210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960"/>
        <w:gridCol w:w="898"/>
        <w:gridCol w:w="326"/>
        <w:gridCol w:w="734"/>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97.35</w:t>
            </w:r>
          </w:p>
        </w:tc>
        <w:tc>
          <w:tcPr/>
          <w:p>
            <w:pPr>
              <w:pStyle w:val="Compact"/>
            </w:pPr>
            <w:r>
              <w:t xml:space="preserve">5</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Other/uncertain vs General OB/GYN</w:t>
            </w:r>
          </w:p>
        </w:tc>
        <w:tc>
          <w:tcPr/>
          <w:p>
            <w:pPr>
              <w:pStyle w:val="Compact"/>
            </w:pPr>
            <w:r>
              <w:t xml:space="preserve">n/a</w:t>
            </w:r>
          </w:p>
        </w:tc>
        <w:tc>
          <w:tcPr/>
          <w:p>
            <w:pPr>
              <w:pStyle w:val="Compact"/>
            </w:pPr>
            <w:r>
              <w:t xml:space="preserve">NA</w:t>
            </w:r>
          </w:p>
        </w:tc>
        <w:tc>
          <w:tcPr/>
          <w:p>
            <w:pPr>
              <w:pStyle w:val="Compact"/>
            </w:pPr>
            <w:r>
              <w:t xml:space="preserve">0.002</w:t>
            </w:r>
          </w:p>
        </w:tc>
      </w:tr>
      <w:tr>
        <w:tc>
          <w:tcPr/>
          <w:p>
            <w:pPr>
              <w:pStyle w:val="Compact"/>
            </w:pPr>
            <w:r>
              <w:t xml:space="preserve">Wilcoxon (per-physician, bonferroni): Other/uncertain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Other/uncertain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(OB/GYN)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(OB/GYN)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(OB/GYN) vs Other/uncertain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(OB/GYN) vs Urology</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(urology)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(urology) vs Other/uncertain</w:t>
            </w:r>
          </w:p>
        </w:tc>
        <w:tc>
          <w:tcPr/>
          <w:p>
            <w:pPr>
              <w:pStyle w:val="Compact"/>
            </w:pPr>
            <w:r>
              <w:t xml:space="preserve">n/a</w:t>
            </w:r>
          </w:p>
        </w:tc>
        <w:tc>
          <w:tcPr/>
          <w:p>
            <w:pPr>
              <w:pStyle w:val="Compact"/>
            </w:pPr>
            <w:r>
              <w:t xml:space="preserve">NA</w:t>
            </w:r>
          </w:p>
        </w:tc>
        <w:tc>
          <w:tcPr/>
          <w:p>
            <w:pPr>
              <w:pStyle w:val="Compact"/>
            </w:pPr>
            <w:r>
              <w:t xml:space="preserve">0.76</w:t>
            </w:r>
          </w:p>
        </w:tc>
      </w:tr>
      <w:tr>
        <w:tc>
          <w:tcPr/>
          <w:p>
            <w:pPr>
              <w:pStyle w:val="Compact"/>
            </w:pPr>
            <w:r>
              <w:t xml:space="preserve">Wilcoxon (per-physician, bonferroni): URPS (urology) vs Urology</w:t>
            </w:r>
          </w:p>
        </w:tc>
        <w:tc>
          <w:tcPr/>
          <w:p>
            <w:pPr>
              <w:pStyle w:val="Compact"/>
            </w:pPr>
            <w:r>
              <w:t xml:space="preserve">n/a</w:t>
            </w:r>
          </w:p>
        </w:tc>
        <w:tc>
          <w:tcPr/>
          <w:p>
            <w:pPr>
              <w:pStyle w:val="Compact"/>
            </w:pPr>
            <w:r>
              <w:t xml:space="preserve">NA</w:t>
            </w:r>
          </w:p>
        </w:tc>
        <w:tc>
          <w:tcPr/>
          <w:p>
            <w:pPr>
              <w:pStyle w:val="Compact"/>
            </w:pPr>
            <w:r>
              <w:t xml:space="preserve">0.86</w:t>
            </w:r>
          </w:p>
        </w:tc>
      </w:tr>
      <w:tr>
        <w:tc>
          <w:tcPr/>
          <w:p>
            <w:pPr>
              <w:pStyle w:val="Compact"/>
            </w:pPr>
            <w:r>
              <w:t xml:space="preserve">Wilcoxon (per-physician, bonferroni): URPS (urology) vs URPS (OB/GYN)</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17"/>
        <w:gridCol w:w="1373"/>
        <w:gridCol w:w="1050"/>
        <w:gridCol w:w="969"/>
        <w:gridCol w:w="808"/>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336</w:t>
            </w:r>
          </w:p>
        </w:tc>
        <w:tc>
          <w:tcPr/>
          <w:p>
            <w:pPr>
              <w:pStyle w:val="Compact"/>
            </w:pPr>
            <w:r>
              <w:t xml:space="preserve">18316</w:t>
            </w:r>
          </w:p>
        </w:tc>
        <w:tc>
          <w:tcPr/>
          <w:p>
            <w:pPr>
              <w:pStyle w:val="Compact"/>
            </w:pPr>
            <w:r>
              <w:t xml:space="preserve">13.0%</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Time-varying (per physician-year)</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Time-varying (per physician-year)</w:t>
            </w:r>
          </w:p>
        </w:tc>
        <w:tc>
          <w:tcPr/>
          <w:p>
            <w:pPr>
              <w:pStyle w:val="Compact"/>
            </w:pPr>
            <w:r>
              <w:t xml:space="preserve">URPS</w:t>
            </w:r>
          </w:p>
        </w:tc>
        <w:tc>
          <w:tcPr/>
          <w:p>
            <w:pPr>
              <w:pStyle w:val="Compact"/>
            </w:pPr>
            <w:r>
              <w:t xml:space="preserve">767</w:t>
            </w:r>
          </w:p>
        </w:tc>
        <w:tc>
          <w:tcPr/>
          <w:p>
            <w:pPr>
              <w:pStyle w:val="Compact"/>
            </w:pPr>
            <w:r>
              <w:t xml:space="preserve">89773</w:t>
            </w:r>
          </w:p>
        </w:tc>
        <w:tc>
          <w:tcPr/>
          <w:p>
            <w:pPr>
              <w:pStyle w:val="Compact"/>
            </w:pPr>
            <w:r>
              <w:t xml:space="preserve">63.7%</w:t>
            </w:r>
          </w:p>
        </w:tc>
      </w:tr>
      <w:tr>
        <w:tc>
          <w:tcPr/>
          <w:p>
            <w:pPr>
              <w:pStyle w:val="Compact"/>
            </w:pPr>
            <w:r>
              <w:t xml:space="preserve">Time-varying (per physician-year)</w:t>
            </w:r>
          </w:p>
        </w:tc>
        <w:tc>
          <w:tcPr/>
          <w:p>
            <w:pPr>
              <w:pStyle w:val="Compact"/>
            </w:pPr>
            <w:r>
              <w:t xml:space="preserve">Urology</w:t>
            </w:r>
          </w:p>
        </w:tc>
        <w:tc>
          <w:tcPr/>
          <w:p>
            <w:pPr>
              <w:pStyle w:val="Compact"/>
            </w:pPr>
            <w:r>
              <w:t xml:space="preserve">366</w:t>
            </w:r>
          </w:p>
        </w:tc>
        <w:tc>
          <w:tcPr/>
          <w:p>
            <w:pPr>
              <w:pStyle w:val="Compact"/>
            </w:pPr>
            <w:r>
              <w:t xml:space="preserve">20475</w:t>
            </w:r>
          </w:p>
        </w:tc>
        <w:tc>
          <w:tcPr/>
          <w:p>
            <w:pPr>
              <w:pStyle w:val="Compact"/>
            </w:pPr>
            <w:r>
              <w:t xml:space="preserve">14.5%</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332</w:t>
            </w:r>
          </w:p>
        </w:tc>
        <w:tc>
          <w:tcPr/>
          <w:p>
            <w:pPr>
              <w:pStyle w:val="Compact"/>
            </w:pPr>
            <w:r>
              <w:t xml:space="preserve">18287</w:t>
            </w:r>
          </w:p>
        </w:tc>
        <w:tc>
          <w:tcPr/>
          <w:p>
            <w:pPr>
              <w:pStyle w:val="Compact"/>
            </w:pPr>
            <w:r>
              <w:t xml:space="preserve">13.0%</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Modal (single most-frequent specialty)</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766</w:t>
            </w:r>
          </w:p>
        </w:tc>
        <w:tc>
          <w:tcPr/>
          <w:p>
            <w:pPr>
              <w:pStyle w:val="Compact"/>
            </w:pPr>
            <w:r>
              <w:t xml:space="preserve">90107</w:t>
            </w:r>
          </w:p>
        </w:tc>
        <w:tc>
          <w:tcPr/>
          <w:p>
            <w:pPr>
              <w:pStyle w:val="Compact"/>
            </w:pPr>
            <w:r>
              <w:t xml:space="preserve">63.9%</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358</w:t>
            </w:r>
          </w:p>
        </w:tc>
        <w:tc>
          <w:tcPr/>
          <w:p>
            <w:pPr>
              <w:pStyle w:val="Compact"/>
            </w:pPr>
            <w:r>
              <w:t xml:space="preserve">20170</w:t>
            </w:r>
          </w:p>
        </w:tc>
        <w:tc>
          <w:tcPr/>
          <w:p>
            <w:pPr>
              <w:pStyle w:val="Compact"/>
            </w:pPr>
            <w:r>
              <w:t xml:space="preserve">14.3%</w:t>
            </w:r>
          </w:p>
        </w:tc>
      </w:tr>
      <w:tr>
        <w:tc>
          <w:tcPr/>
          <w:p>
            <w:pPr>
              <w:pStyle w:val="Compact"/>
            </w:pPr>
            <w:r>
              <w:t xml:space="preserve">Ever URPS/MIGS</w:t>
            </w:r>
          </w:p>
        </w:tc>
        <w:tc>
          <w:tcPr/>
          <w:p>
            <w:pPr>
              <w:pStyle w:val="Compact"/>
            </w:pPr>
            <w:r>
              <w:t xml:space="preserve">General OB/GYN</w:t>
            </w:r>
          </w:p>
        </w:tc>
        <w:tc>
          <w:tcPr/>
          <w:p>
            <w:pPr>
              <w:pStyle w:val="Compact"/>
            </w:pPr>
            <w:r>
              <w:t xml:space="preserve">332</w:t>
            </w:r>
          </w:p>
        </w:tc>
        <w:tc>
          <w:tcPr/>
          <w:p>
            <w:pPr>
              <w:pStyle w:val="Compact"/>
            </w:pPr>
            <w:r>
              <w:t xml:space="preserve">18287</w:t>
            </w:r>
          </w:p>
        </w:tc>
        <w:tc>
          <w:tcPr/>
          <w:p>
            <w:pPr>
              <w:pStyle w:val="Compact"/>
            </w:pPr>
            <w:r>
              <w:t xml:space="preserve">13.0%</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Ever URPS/MIGS</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Ever URPS/MIGS</w:t>
            </w:r>
          </w:p>
        </w:tc>
        <w:tc>
          <w:tcPr/>
          <w:p>
            <w:pPr>
              <w:pStyle w:val="Compact"/>
            </w:pPr>
            <w:r>
              <w:t xml:space="preserve">URPS</w:t>
            </w:r>
          </w:p>
        </w:tc>
        <w:tc>
          <w:tcPr/>
          <w:p>
            <w:pPr>
              <w:pStyle w:val="Compact"/>
            </w:pPr>
            <w:r>
              <w:t xml:space="preserve">767</w:t>
            </w:r>
          </w:p>
        </w:tc>
        <w:tc>
          <w:tcPr/>
          <w:p>
            <w:pPr>
              <w:pStyle w:val="Compact"/>
            </w:pPr>
            <w:r>
              <w:t xml:space="preserve">90686</w:t>
            </w:r>
          </w:p>
        </w:tc>
        <w:tc>
          <w:tcPr/>
          <w:p>
            <w:pPr>
              <w:pStyle w:val="Compact"/>
            </w:pPr>
            <w:r>
              <w:t xml:space="preserve">64.3%</w:t>
            </w:r>
          </w:p>
        </w:tc>
      </w:tr>
      <w:tr>
        <w:tc>
          <w:tcPr/>
          <w:p>
            <w:pPr>
              <w:pStyle w:val="Compact"/>
            </w:pPr>
            <w:r>
              <w:t xml:space="preserve">Ever URPS/MIGS</w:t>
            </w:r>
          </w:p>
        </w:tc>
        <w:tc>
          <w:tcPr/>
          <w:p>
            <w:pPr>
              <w:pStyle w:val="Compact"/>
            </w:pPr>
            <w:r>
              <w:t xml:space="preserve">Urology</w:t>
            </w:r>
          </w:p>
        </w:tc>
        <w:tc>
          <w:tcPr/>
          <w:p>
            <w:pPr>
              <w:pStyle w:val="Compact"/>
            </w:pPr>
            <w:r>
              <w:t xml:space="preserve">357</w:t>
            </w:r>
          </w:p>
        </w:tc>
        <w:tc>
          <w:tcPr/>
          <w:p>
            <w:pPr>
              <w:pStyle w:val="Compact"/>
            </w:pPr>
            <w:r>
              <w:t xml:space="preserve">19591</w:t>
            </w:r>
          </w:p>
        </w:tc>
        <w:tc>
          <w:tcPr/>
          <w:p>
            <w:pPr>
              <w:pStyle w:val="Compact"/>
            </w:pPr>
            <w:r>
              <w:t xml:space="preserve">13.9%</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533</w:t>
            </w:r>
          </w:p>
        </w:tc>
        <w:tc>
          <w:tcPr/>
          <w:p>
            <w:pPr>
              <w:pStyle w:val="Compact"/>
            </w:pPr>
            <w:r>
              <w:t xml:space="preserve">27453</w:t>
            </w:r>
          </w:p>
        </w:tc>
        <w:tc>
          <w:tcPr/>
          <w:p>
            <w:pPr>
              <w:pStyle w:val="Compact"/>
            </w:pPr>
            <w:r>
              <w:t xml:space="preserve">19.5%</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0.1%</w:t>
            </w:r>
          </w:p>
        </w:tc>
      </w:tr>
      <w:tr>
        <w:tc>
          <w:tcPr/>
          <w:p>
            <w:pPr>
              <w:pStyle w:val="Compact"/>
            </w:pPr>
            <w:r>
              <w:t xml:space="preserve">Time-varying cert-gated (ABOG sub1startdate)</w:t>
            </w:r>
          </w:p>
        </w:tc>
        <w:tc>
          <w:tcPr/>
          <w:p>
            <w:pPr>
              <w:pStyle w:val="Compact"/>
            </w:pPr>
            <w:r>
              <w:t xml:space="preserve">Other/uncertain</w:t>
            </w:r>
          </w:p>
        </w:tc>
        <w:tc>
          <w:tcPr/>
          <w:p>
            <w:pPr>
              <w:pStyle w:val="Compact"/>
            </w:pPr>
            <w:r>
              <w:t xml:space="preserve">200</w:t>
            </w:r>
          </w:p>
        </w:tc>
        <w:tc>
          <w:tcPr/>
          <w:p>
            <w:pPr>
              <w:pStyle w:val="Compact"/>
            </w:pPr>
            <w:r>
              <w:t xml:space="preserve">11492</w:t>
            </w:r>
          </w:p>
        </w:tc>
        <w:tc>
          <w:tcPr/>
          <w:p>
            <w:pPr>
              <w:pStyle w:val="Compact"/>
            </w:pPr>
            <w:r>
              <w:t xml:space="preserve">8.1%</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716</w:t>
            </w:r>
          </w:p>
        </w:tc>
        <w:tc>
          <w:tcPr/>
          <w:p>
            <w:pPr>
              <w:pStyle w:val="Compact"/>
            </w:pPr>
            <w:r>
              <w:t xml:space="preserve">83348</w:t>
            </w:r>
          </w:p>
        </w:tc>
        <w:tc>
          <w:tcPr/>
          <w:p>
            <w:pPr>
              <w:pStyle w:val="Compact"/>
            </w:pPr>
            <w:r>
              <w:t xml:space="preserve">59.1%</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353</w:t>
            </w:r>
          </w:p>
        </w:tc>
        <w:tc>
          <w:tcPr/>
          <w:p>
            <w:pPr>
              <w:pStyle w:val="Compact"/>
            </w:pPr>
            <w:r>
              <w:t xml:space="preserve">18515</w:t>
            </w:r>
          </w:p>
        </w:tc>
        <w:tc>
          <w:tcPr/>
          <w:p>
            <w:pPr>
              <w:pStyle w:val="Compact"/>
            </w:pPr>
            <w:r>
              <w:t xml:space="preserve">13.1%</w:t>
            </w:r>
          </w:p>
        </w:tc>
      </w:tr>
    </w:tbl>
    <w:p>
      <w:pPr>
        <w:pStyle w:val="BodyText"/>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07"/>
        <w:gridCol w:w="1568"/>
        <w:gridCol w:w="627"/>
        <w:gridCol w:w="1489"/>
        <w:gridCol w:w="627"/>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1.116</w:t>
            </w:r>
          </w:p>
        </w:tc>
        <w:tc>
          <w:tcPr/>
          <w:p>
            <w:pPr>
              <w:pStyle w:val="Compact"/>
            </w:pPr>
            <w:r>
              <w:t xml:space="preserve">&lt;0.001</w:t>
            </w:r>
          </w:p>
        </w:tc>
        <w:tc>
          <w:tcPr/>
          <w:p>
            <w:pPr>
              <w:pStyle w:val="Compact"/>
            </w:pPr>
            <w:r>
              <w:t xml:space="preserve">0.796</w:t>
            </w:r>
          </w:p>
        </w:tc>
        <w:tc>
          <w:tcPr/>
          <w:p>
            <w:pPr>
              <w:pStyle w:val="Compact"/>
            </w:pPr>
            <w:r>
              <w:t xml:space="preserve">&lt;0.001</w:t>
            </w:r>
          </w:p>
        </w:tc>
      </w:tr>
      <w:tr>
        <w:tc>
          <w:tcPr/>
          <w:p>
            <w:pPr>
              <w:pStyle w:val="Compact"/>
            </w:pPr>
            <w:r>
              <w:t xml:space="preserve">Modal (single most-frequent specialty)</w:t>
            </w:r>
          </w:p>
        </w:tc>
        <w:tc>
          <w:tcPr/>
          <w:p>
            <w:pPr>
              <w:pStyle w:val="Compact"/>
            </w:pPr>
            <w:r>
              <w:t xml:space="preserve">1.200</w:t>
            </w:r>
          </w:p>
        </w:tc>
        <w:tc>
          <w:tcPr/>
          <w:p>
            <w:pPr>
              <w:pStyle w:val="Compact"/>
            </w:pPr>
            <w:r>
              <w:t xml:space="preserve">&lt;0.001</w:t>
            </w:r>
          </w:p>
        </w:tc>
        <w:tc>
          <w:tcPr/>
          <w:p>
            <w:pPr>
              <w:pStyle w:val="Compact"/>
            </w:pPr>
            <w:r>
              <w:t xml:space="preserve">0.906</w:t>
            </w:r>
          </w:p>
        </w:tc>
        <w:tc>
          <w:tcPr/>
          <w:p>
            <w:pPr>
              <w:pStyle w:val="Compact"/>
            </w:pPr>
            <w:r>
              <w:t xml:space="preserve">&lt;0.001</w:t>
            </w:r>
          </w:p>
        </w:tc>
      </w:tr>
      <w:tr>
        <w:tc>
          <w:tcPr/>
          <w:p>
            <w:pPr>
              <w:pStyle w:val="Compact"/>
            </w:pPr>
            <w:r>
              <w:t xml:space="preserve">Ever URPS/MIGS</w:t>
            </w:r>
          </w:p>
        </w:tc>
        <w:tc>
          <w:tcPr/>
          <w:p>
            <w:pPr>
              <w:pStyle w:val="Compact"/>
            </w:pPr>
            <w:r>
              <w:t xml:space="preserve">1.174</w:t>
            </w:r>
          </w:p>
        </w:tc>
        <w:tc>
          <w:tcPr/>
          <w:p>
            <w:pPr>
              <w:pStyle w:val="Compact"/>
            </w:pPr>
            <w:r>
              <w:t xml:space="preserve">&lt;0.001</w:t>
            </w:r>
          </w:p>
        </w:tc>
        <w:tc>
          <w:tcPr/>
          <w:p>
            <w:pPr>
              <w:pStyle w:val="Compact"/>
            </w:pPr>
            <w:r>
              <w:t xml:space="preserve">0.881</w:t>
            </w:r>
          </w:p>
        </w:tc>
        <w:tc>
          <w:tcPr/>
          <w:p>
            <w:pPr>
              <w:pStyle w:val="Compact"/>
            </w:pPr>
            <w:r>
              <w:t xml:space="preserve">&lt;0.001</w:t>
            </w:r>
          </w:p>
        </w:tc>
      </w:tr>
      <w:tr>
        <w:tc>
          <w:tcPr/>
          <w:p>
            <w:pPr>
              <w:pStyle w:val="Compact"/>
            </w:pPr>
            <w:r>
              <w:t xml:space="preserve">Time-varying cert-gated (ABOG sub1startdate)</w:t>
            </w:r>
          </w:p>
        </w:tc>
        <w:tc>
          <w:tcPr/>
          <w:p>
            <w:pPr>
              <w:pStyle w:val="Compact"/>
            </w:pPr>
            <w:r>
              <w:t xml:space="preserve">1.762</w:t>
            </w:r>
          </w:p>
        </w:tc>
        <w:tc>
          <w:tcPr/>
          <w:p>
            <w:pPr>
              <w:pStyle w:val="Compact"/>
            </w:pPr>
            <w:r>
              <w:t xml:space="preserve">&lt;0.001</w:t>
            </w:r>
          </w:p>
        </w:tc>
        <w:tc>
          <w:tcPr/>
          <w:p>
            <w:pPr>
              <w:pStyle w:val="Compact"/>
            </w:pPr>
            <w:r>
              <w:t xml:space="preserve">0.792</w:t>
            </w:r>
          </w:p>
        </w:tc>
        <w:tc>
          <w:tcPr/>
          <w:p>
            <w:pPr>
              <w:pStyle w:val="Compact"/>
            </w:pPr>
            <w:r>
              <w:t xml:space="preserve">&lt;0.001</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138</w:t>
            </w:r>
          </w:p>
        </w:tc>
        <w:tc>
          <w:tcPr/>
          <w:p>
            <w:pPr>
              <w:pStyle w:val="Compact"/>
            </w:pPr>
            <w:r>
              <w:t xml:space="preserve">50</w:t>
            </w:r>
          </w:p>
        </w:tc>
        <w:tc>
          <w:tcPr/>
          <w:p>
            <w:pPr>
              <w:pStyle w:val="Compact"/>
            </w:pPr>
            <w:r>
              <w:t xml:space="preserve">36.2%</w:t>
            </w:r>
          </w:p>
        </w:tc>
        <w:tc>
          <w:tcPr/>
          <w:p>
            <w:pPr>
              <w:pStyle w:val="Compact"/>
            </w:pPr>
            <w:r>
              <w:t xml:space="preserve">Yes</w:t>
            </w:r>
          </w:p>
        </w:tc>
      </w:tr>
      <w:tr>
        <w:tc>
          <w:tcPr/>
          <w:p>
            <w:pPr>
              <w:pStyle w:val="Compact"/>
            </w:pPr>
            <w:r>
              <w:t xml:space="preserve">TX</w:t>
            </w:r>
          </w:p>
        </w:tc>
        <w:tc>
          <w:tcPr/>
          <w:p>
            <w:pPr>
              <w:pStyle w:val="Compact"/>
            </w:pPr>
            <w:r>
              <w:t xml:space="preserve">133</w:t>
            </w:r>
          </w:p>
        </w:tc>
        <w:tc>
          <w:tcPr/>
          <w:p>
            <w:pPr>
              <w:pStyle w:val="Compact"/>
            </w:pPr>
            <w:r>
              <w:t xml:space="preserve">47</w:t>
            </w:r>
          </w:p>
        </w:tc>
        <w:tc>
          <w:tcPr/>
          <w:p>
            <w:pPr>
              <w:pStyle w:val="Compact"/>
            </w:pPr>
            <w:r>
              <w:t xml:space="preserve">35.3%</w:t>
            </w:r>
          </w:p>
        </w:tc>
        <w:tc>
          <w:tcPr/>
          <w:p>
            <w:pPr>
              <w:pStyle w:val="Compact"/>
            </w:pPr>
            <w:r>
              <w:t xml:space="preserve">Yes</w:t>
            </w:r>
          </w:p>
        </w:tc>
      </w:tr>
      <w:tr>
        <w:tc>
          <w:tcPr/>
          <w:p>
            <w:pPr>
              <w:pStyle w:val="Compact"/>
            </w:pPr>
            <w:r>
              <w:t xml:space="preserve">FL</w:t>
            </w:r>
          </w:p>
        </w:tc>
        <w:tc>
          <w:tcPr/>
          <w:p>
            <w:pPr>
              <w:pStyle w:val="Compact"/>
            </w:pPr>
            <w:r>
              <w:t xml:space="preserve">127</w:t>
            </w:r>
          </w:p>
        </w:tc>
        <w:tc>
          <w:tcPr/>
          <w:p>
            <w:pPr>
              <w:pStyle w:val="Compact"/>
            </w:pPr>
            <w:r>
              <w:t xml:space="preserve">49</w:t>
            </w:r>
          </w:p>
        </w:tc>
        <w:tc>
          <w:tcPr/>
          <w:p>
            <w:pPr>
              <w:pStyle w:val="Compact"/>
            </w:pPr>
            <w:r>
              <w:t xml:space="preserve">38.6%</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62</w:t>
            </w:r>
          </w:p>
        </w:tc>
        <w:tc>
          <w:tcPr/>
          <w:p>
            <w:pPr>
              <w:pStyle w:val="Compact"/>
            </w:pPr>
            <w:r>
              <w:t xml:space="preserve">39</w:t>
            </w:r>
          </w:p>
        </w:tc>
        <w:tc>
          <w:tcPr/>
          <w:p>
            <w:pPr>
              <w:pStyle w:val="Compact"/>
            </w:pPr>
            <w:r>
              <w:t xml:space="preserve">62.9%</w:t>
            </w:r>
          </w:p>
        </w:tc>
        <w:tc>
          <w:tcPr/>
          <w:p>
            <w:pPr>
              <w:pStyle w:val="Compact"/>
            </w:pPr>
            <w:r>
              <w:t xml:space="preserve">Yes</w:t>
            </w:r>
          </w:p>
        </w:tc>
      </w:tr>
      <w:tr>
        <w:tc>
          <w:tcPr/>
          <w:p>
            <w:pPr>
              <w:pStyle w:val="Compact"/>
            </w:pPr>
            <w:r>
              <w:t xml:space="preserve">OH</w:t>
            </w:r>
          </w:p>
        </w:tc>
        <w:tc>
          <w:tcPr/>
          <w:p>
            <w:pPr>
              <w:pStyle w:val="Compact"/>
            </w:pPr>
            <w:r>
              <w:t xml:space="preserve">59</w:t>
            </w:r>
          </w:p>
        </w:tc>
        <w:tc>
          <w:tcPr/>
          <w:p>
            <w:pPr>
              <w:pStyle w:val="Compact"/>
            </w:pPr>
            <w:r>
              <w:t xml:space="preserve">44</w:t>
            </w:r>
          </w:p>
        </w:tc>
        <w:tc>
          <w:tcPr/>
          <w:p>
            <w:pPr>
              <w:pStyle w:val="Compact"/>
            </w:pPr>
            <w:r>
              <w:t xml:space="preserve">74.6%</w:t>
            </w:r>
          </w:p>
        </w:tc>
        <w:tc>
          <w:tcPr/>
          <w:p>
            <w:pPr>
              <w:pStyle w:val="Compact"/>
            </w:pPr>
            <w:r>
              <w:t xml:space="preserve">Yes</w:t>
            </w:r>
          </w:p>
        </w:tc>
      </w:tr>
      <w:tr>
        <w:tc>
          <w:tcPr/>
          <w:p>
            <w:pPr>
              <w:pStyle w:val="Compact"/>
            </w:pPr>
            <w:r>
              <w:t xml:space="preserve">PA</w:t>
            </w:r>
          </w:p>
        </w:tc>
        <w:tc>
          <w:tcPr/>
          <w:p>
            <w:pPr>
              <w:pStyle w:val="Compact"/>
            </w:pPr>
            <w:r>
              <w:t xml:space="preserve">57</w:t>
            </w:r>
          </w:p>
        </w:tc>
        <w:tc>
          <w:tcPr/>
          <w:p>
            <w:pPr>
              <w:pStyle w:val="Compact"/>
            </w:pPr>
            <w:r>
              <w:t xml:space="preserve">33</w:t>
            </w:r>
          </w:p>
        </w:tc>
        <w:tc>
          <w:tcPr/>
          <w:p>
            <w:pPr>
              <w:pStyle w:val="Compact"/>
            </w:pPr>
            <w:r>
              <w:t xml:space="preserve">57.9%</w:t>
            </w:r>
          </w:p>
        </w:tc>
        <w:tc>
          <w:tcPr/>
          <w:p>
            <w:pPr>
              <w:pStyle w:val="Compact"/>
            </w:pPr>
            <w:r>
              <w:t xml:space="preserve">Yes</w:t>
            </w:r>
          </w:p>
        </w:tc>
      </w:tr>
      <w:tr>
        <w:tc>
          <w:tcPr/>
          <w:p>
            <w:pPr>
              <w:pStyle w:val="Compact"/>
            </w:pPr>
            <w:r>
              <w:t xml:space="preserve">AZ</w:t>
            </w:r>
          </w:p>
        </w:tc>
        <w:tc>
          <w:tcPr/>
          <w:p>
            <w:pPr>
              <w:pStyle w:val="Compact"/>
            </w:pPr>
            <w:r>
              <w:t xml:space="preserve">55</w:t>
            </w:r>
          </w:p>
        </w:tc>
        <w:tc>
          <w:tcPr/>
          <w:p>
            <w:pPr>
              <w:pStyle w:val="Compact"/>
            </w:pPr>
            <w:r>
              <w:t xml:space="preserve">19</w:t>
            </w:r>
          </w:p>
        </w:tc>
        <w:tc>
          <w:tcPr/>
          <w:p>
            <w:pPr>
              <w:pStyle w:val="Compact"/>
            </w:pPr>
            <w:r>
              <w:t xml:space="preserve">34.5%</w:t>
            </w:r>
          </w:p>
        </w:tc>
        <w:tc>
          <w:tcPr/>
          <w:p>
            <w:pPr>
              <w:pStyle w:val="Compact"/>
            </w:pPr>
            <w:r>
              <w:t xml:space="preserve">Yes</w:t>
            </w:r>
          </w:p>
        </w:tc>
      </w:tr>
      <w:tr>
        <w:tc>
          <w:tcPr/>
          <w:p>
            <w:pPr>
              <w:pStyle w:val="Compact"/>
            </w:pPr>
            <w:r>
              <w:t xml:space="preserve">MI</w:t>
            </w:r>
          </w:p>
        </w:tc>
        <w:tc>
          <w:tcPr/>
          <w:p>
            <w:pPr>
              <w:pStyle w:val="Compact"/>
            </w:pPr>
            <w:r>
              <w:t xml:space="preserve">52</w:t>
            </w:r>
          </w:p>
        </w:tc>
        <w:tc>
          <w:tcPr/>
          <w:p>
            <w:pPr>
              <w:pStyle w:val="Compact"/>
            </w:pPr>
            <w:r>
              <w:t xml:space="preserve">22</w:t>
            </w:r>
          </w:p>
        </w:tc>
        <w:tc>
          <w:tcPr/>
          <w:p>
            <w:pPr>
              <w:pStyle w:val="Compact"/>
            </w:pPr>
            <w:r>
              <w:t xml:space="preserve">42.3%</w:t>
            </w:r>
          </w:p>
        </w:tc>
        <w:tc>
          <w:tcPr/>
          <w:p>
            <w:pPr>
              <w:pStyle w:val="Compact"/>
            </w:pPr>
            <w:r>
              <w:t xml:space="preserve">Yes</w:t>
            </w:r>
          </w:p>
        </w:tc>
      </w:tr>
      <w:tr>
        <w:tc>
          <w:tcPr/>
          <w:p>
            <w:pPr>
              <w:pStyle w:val="Compact"/>
            </w:pPr>
            <w:r>
              <w:t xml:space="preserve">NC</w:t>
            </w:r>
          </w:p>
        </w:tc>
        <w:tc>
          <w:tcPr/>
          <w:p>
            <w:pPr>
              <w:pStyle w:val="Compact"/>
            </w:pPr>
            <w:r>
              <w:t xml:space="preserve">52</w:t>
            </w:r>
          </w:p>
        </w:tc>
        <w:tc>
          <w:tcPr/>
          <w:p>
            <w:pPr>
              <w:pStyle w:val="Compact"/>
            </w:pPr>
            <w:r>
              <w:t xml:space="preserve">35</w:t>
            </w:r>
          </w:p>
        </w:tc>
        <w:tc>
          <w:tcPr/>
          <w:p>
            <w:pPr>
              <w:pStyle w:val="Compact"/>
            </w:pPr>
            <w:r>
              <w:t xml:space="preserve">67.3%</w:t>
            </w:r>
          </w:p>
        </w:tc>
        <w:tc>
          <w:tcPr/>
          <w:p>
            <w:pPr>
              <w:pStyle w:val="Compact"/>
            </w:pPr>
            <w:r>
              <w:t xml:space="preserve">Yes</w:t>
            </w:r>
          </w:p>
        </w:tc>
      </w:tr>
      <w:tr>
        <w:tc>
          <w:tcPr/>
          <w:p>
            <w:pPr>
              <w:pStyle w:val="Compact"/>
            </w:pPr>
            <w:r>
              <w:t xml:space="preserve">NJ</w:t>
            </w:r>
          </w:p>
        </w:tc>
        <w:tc>
          <w:tcPr/>
          <w:p>
            <w:pPr>
              <w:pStyle w:val="Compact"/>
            </w:pPr>
            <w:r>
              <w:t xml:space="preserve">52</w:t>
            </w:r>
          </w:p>
        </w:tc>
        <w:tc>
          <w:tcPr/>
          <w:p>
            <w:pPr>
              <w:pStyle w:val="Compact"/>
            </w:pPr>
            <w:r>
              <w:t xml:space="preserve">28</w:t>
            </w:r>
          </w:p>
        </w:tc>
        <w:tc>
          <w:tcPr/>
          <w:p>
            <w:pPr>
              <w:pStyle w:val="Compact"/>
            </w:pPr>
            <w:r>
              <w:t xml:space="preserve">53.8%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TN</w:t>
            </w:r>
          </w:p>
        </w:tc>
        <w:tc>
          <w:tcPr/>
          <w:p>
            <w:pPr>
              <w:pStyle w:val="Compact"/>
            </w:pPr>
            <w:r>
              <w:t xml:space="preserve">48</w:t>
            </w:r>
          </w:p>
        </w:tc>
        <w:tc>
          <w:tcPr/>
          <w:p>
            <w:pPr>
              <w:pStyle w:val="Compact"/>
            </w:pPr>
            <w:r>
              <w:t xml:space="preserve">20</w:t>
            </w:r>
          </w:p>
        </w:tc>
        <w:tc>
          <w:tcPr/>
          <w:p>
            <w:pPr>
              <w:pStyle w:val="Compact"/>
            </w:pPr>
            <w:r>
              <w:t xml:space="preserve">41.7%</w:t>
            </w:r>
          </w:p>
        </w:tc>
        <w:tc>
          <w:tcPr/>
          <w:p>
            <w:pPr>
              <w:pStyle w:val="Compact"/>
            </w:pPr>
            <w:r>
              <w:t xml:space="preserve">Yes</w:t>
            </w:r>
          </w:p>
        </w:tc>
      </w:tr>
      <w:tr>
        <w:tc>
          <w:tcPr/>
          <w:p>
            <w:pPr>
              <w:pStyle w:val="Compact"/>
            </w:pPr>
            <w:r>
              <w:t xml:space="preserve">WA</w:t>
            </w:r>
          </w:p>
        </w:tc>
        <w:tc>
          <w:tcPr/>
          <w:p>
            <w:pPr>
              <w:pStyle w:val="Compact"/>
            </w:pPr>
            <w:r>
              <w:t xml:space="preserve">44</w:t>
            </w:r>
          </w:p>
        </w:tc>
        <w:tc>
          <w:tcPr/>
          <w:p>
            <w:pPr>
              <w:pStyle w:val="Compact"/>
            </w:pPr>
            <w:r>
              <w:t xml:space="preserve">19</w:t>
            </w:r>
          </w:p>
        </w:tc>
        <w:tc>
          <w:tcPr/>
          <w:p>
            <w:pPr>
              <w:pStyle w:val="Compact"/>
            </w:pPr>
            <w:r>
              <w:t xml:space="preserve">43.2%</w:t>
            </w:r>
          </w:p>
        </w:tc>
        <w:tc>
          <w:tcPr/>
          <w:p>
            <w:pPr>
              <w:pStyle w:val="Compact"/>
            </w:pPr>
            <w:r>
              <w:t xml:space="preserve">Yes</w:t>
            </w:r>
          </w:p>
        </w:tc>
      </w:tr>
      <w:tr>
        <w:tc>
          <w:tcPr/>
          <w:p>
            <w:pPr>
              <w:pStyle w:val="Compact"/>
            </w:pPr>
            <w:r>
              <w:t xml:space="preserve">GA</w:t>
            </w:r>
          </w:p>
        </w:tc>
        <w:tc>
          <w:tcPr/>
          <w:p>
            <w:pPr>
              <w:pStyle w:val="Compact"/>
            </w:pPr>
            <w:r>
              <w:t xml:space="preserve">39</w:t>
            </w:r>
          </w:p>
        </w:tc>
        <w:tc>
          <w:tcPr/>
          <w:p>
            <w:pPr>
              <w:pStyle w:val="Compact"/>
            </w:pPr>
            <w:r>
              <w:t xml:space="preserve">17</w:t>
            </w:r>
          </w:p>
        </w:tc>
        <w:tc>
          <w:tcPr/>
          <w:p>
            <w:pPr>
              <w:pStyle w:val="Compact"/>
            </w:pPr>
            <w:r>
              <w:t xml:space="preserve">43.6%</w:t>
            </w:r>
          </w:p>
        </w:tc>
        <w:tc>
          <w:tcPr/>
          <w:p>
            <w:pPr>
              <w:pStyle w:val="Compact"/>
            </w:pPr>
            <w:r>
              <w:t xml:space="preserve">Yes</w:t>
            </w:r>
          </w:p>
        </w:tc>
      </w:tr>
      <w:tr>
        <w:tc>
          <w:tcPr/>
          <w:p>
            <w:pPr>
              <w:pStyle w:val="Compact"/>
            </w:pPr>
            <w:r>
              <w:t xml:space="preserve">MO</w:t>
            </w:r>
          </w:p>
        </w:tc>
        <w:tc>
          <w:tcPr/>
          <w:p>
            <w:pPr>
              <w:pStyle w:val="Compact"/>
            </w:pPr>
            <w:r>
              <w:t xml:space="preserve">39</w:t>
            </w:r>
          </w:p>
        </w:tc>
        <w:tc>
          <w:tcPr/>
          <w:p>
            <w:pPr>
              <w:pStyle w:val="Compact"/>
            </w:pPr>
            <w:r>
              <w:t xml:space="preserve">16</w:t>
            </w:r>
          </w:p>
        </w:tc>
        <w:tc>
          <w:tcPr/>
          <w:p>
            <w:pPr>
              <w:pStyle w:val="Compact"/>
            </w:pPr>
            <w:r>
              <w:t xml:space="preserve">41.0%</w:t>
            </w:r>
          </w:p>
        </w:tc>
        <w:tc>
          <w:tcPr/>
          <w:p>
            <w:pPr>
              <w:pStyle w:val="Compact"/>
            </w:pPr>
            <w:r>
              <w:t xml:space="preserve">Yes</w:t>
            </w:r>
          </w:p>
        </w:tc>
      </w:tr>
      <w:tr>
        <w:tc>
          <w:tcPr/>
          <w:p>
            <w:pPr>
              <w:pStyle w:val="Compact"/>
            </w:pPr>
            <w:r>
              <w:t xml:space="preserve">VA</w:t>
            </w:r>
          </w:p>
        </w:tc>
        <w:tc>
          <w:tcPr/>
          <w:p>
            <w:pPr>
              <w:pStyle w:val="Compact"/>
            </w:pPr>
            <w:r>
              <w:t xml:space="preserve">39</w:t>
            </w:r>
          </w:p>
        </w:tc>
        <w:tc>
          <w:tcPr/>
          <w:p>
            <w:pPr>
              <w:pStyle w:val="Compact"/>
            </w:pPr>
            <w:r>
              <w:t xml:space="preserve">27</w:t>
            </w:r>
          </w:p>
        </w:tc>
        <w:tc>
          <w:tcPr/>
          <w:p>
            <w:pPr>
              <w:pStyle w:val="Compact"/>
            </w:pPr>
            <w:r>
              <w:t xml:space="preserve">69.2%</w:t>
            </w:r>
          </w:p>
        </w:tc>
        <w:tc>
          <w:tcPr/>
          <w:p>
            <w:pPr>
              <w:pStyle w:val="Compact"/>
            </w:pPr>
            <w:r>
              <w:t xml:space="preserve">Yes</w:t>
            </w:r>
          </w:p>
        </w:tc>
      </w:tr>
      <w:tr>
        <w:tc>
          <w:tcPr/>
          <w:p>
            <w:pPr>
              <w:pStyle w:val="Compact"/>
            </w:pPr>
            <w:r>
              <w:t xml:space="preserve">IN</w:t>
            </w:r>
          </w:p>
        </w:tc>
        <w:tc>
          <w:tcPr/>
          <w:p>
            <w:pPr>
              <w:pStyle w:val="Compact"/>
            </w:pPr>
            <w:r>
              <w:t xml:space="preserve">37</w:t>
            </w:r>
          </w:p>
        </w:tc>
        <w:tc>
          <w:tcPr/>
          <w:p>
            <w:pPr>
              <w:pStyle w:val="Compact"/>
            </w:pPr>
            <w:r>
              <w:t xml:space="preserve">13</w:t>
            </w:r>
          </w:p>
        </w:tc>
        <w:tc>
          <w:tcPr/>
          <w:p>
            <w:pPr>
              <w:pStyle w:val="Compact"/>
            </w:pPr>
            <w:r>
              <w:t xml:space="preserve">35.1%</w:t>
            </w:r>
          </w:p>
        </w:tc>
        <w:tc>
          <w:tcPr/>
          <w:p>
            <w:pPr>
              <w:pStyle w:val="Compact"/>
            </w:pPr>
            <w:r>
              <w:t xml:space="preserve">Yes</w:t>
            </w:r>
          </w:p>
        </w:tc>
      </w:tr>
      <w:tr>
        <w:tc>
          <w:tcPr/>
          <w:p>
            <w:pPr>
              <w:pStyle w:val="Compact"/>
            </w:pPr>
            <w:r>
              <w:t xml:space="preserve">AL</w:t>
            </w:r>
          </w:p>
        </w:tc>
        <w:tc>
          <w:tcPr/>
          <w:p>
            <w:pPr>
              <w:pStyle w:val="Compact"/>
            </w:pPr>
            <w:r>
              <w:t xml:space="preserve">35</w:t>
            </w:r>
          </w:p>
        </w:tc>
        <w:tc>
          <w:tcPr/>
          <w:p>
            <w:pPr>
              <w:pStyle w:val="Compact"/>
            </w:pPr>
            <w:r>
              <w:t xml:space="preserve">12</w:t>
            </w:r>
          </w:p>
        </w:tc>
        <w:tc>
          <w:tcPr/>
          <w:p>
            <w:pPr>
              <w:pStyle w:val="Compact"/>
            </w:pPr>
            <w:r>
              <w:t xml:space="preserve">34.3%</w:t>
            </w:r>
          </w:p>
        </w:tc>
        <w:tc>
          <w:tcPr/>
          <w:p>
            <w:pPr>
              <w:pStyle w:val="Compact"/>
            </w:pPr>
            <w:r>
              <w:t xml:space="preserve">Yes</w:t>
            </w:r>
          </w:p>
        </w:tc>
      </w:tr>
      <w:tr>
        <w:tc>
          <w:tcPr/>
          <w:p>
            <w:pPr>
              <w:pStyle w:val="Compact"/>
            </w:pPr>
            <w:r>
              <w:t xml:space="preserve">SC</w:t>
            </w:r>
          </w:p>
        </w:tc>
        <w:tc>
          <w:tcPr/>
          <w:p>
            <w:pPr>
              <w:pStyle w:val="Compact"/>
            </w:pPr>
            <w:r>
              <w:t xml:space="preserve">31</w:t>
            </w:r>
          </w:p>
        </w:tc>
        <w:tc>
          <w:tcPr/>
          <w:p>
            <w:pPr>
              <w:pStyle w:val="Compact"/>
            </w:pPr>
            <w:r>
              <w:t xml:space="preserve">11</w:t>
            </w:r>
          </w:p>
        </w:tc>
        <w:tc>
          <w:tcPr/>
          <w:p>
            <w:pPr>
              <w:pStyle w:val="Compact"/>
            </w:pPr>
            <w:r>
              <w:t xml:space="preserve">35.5%</w:t>
            </w:r>
          </w:p>
        </w:tc>
        <w:tc>
          <w:tcPr/>
          <w:p>
            <w:pPr>
              <w:pStyle w:val="Compact"/>
            </w:pPr>
            <w:r>
              <w:t xml:space="preserve">Yes</w:t>
            </w:r>
          </w:p>
        </w:tc>
      </w:tr>
      <w:tr>
        <w:tc>
          <w:tcPr/>
          <w:p>
            <w:pPr>
              <w:pStyle w:val="Compact"/>
            </w:pPr>
            <w:r>
              <w:t xml:space="preserve">MD</w:t>
            </w:r>
          </w:p>
        </w:tc>
        <w:tc>
          <w:tcPr/>
          <w:p>
            <w:pPr>
              <w:pStyle w:val="Compact"/>
            </w:pPr>
            <w:r>
              <w:t xml:space="preserve">29</w:t>
            </w:r>
          </w:p>
        </w:tc>
        <w:tc>
          <w:tcPr/>
          <w:p>
            <w:pPr>
              <w:pStyle w:val="Compact"/>
            </w:pPr>
            <w:r>
              <w:t xml:space="preserve">14</w:t>
            </w:r>
          </w:p>
        </w:tc>
        <w:tc>
          <w:tcPr/>
          <w:p>
            <w:pPr>
              <w:pStyle w:val="Compact"/>
            </w:pPr>
            <w:r>
              <w:t xml:space="preserve">48.3%</w:t>
            </w:r>
          </w:p>
        </w:tc>
        <w:tc>
          <w:tcPr/>
          <w:p>
            <w:pPr>
              <w:pStyle w:val="Compact"/>
            </w:pPr>
            <w:r>
              <w:t xml:space="preserve">Yes</w:t>
            </w:r>
          </w:p>
        </w:tc>
      </w:tr>
      <w:tr>
        <w:tc>
          <w:tcPr/>
          <w:p>
            <w:pPr>
              <w:pStyle w:val="Compact"/>
            </w:pPr>
            <w:r>
              <w:t xml:space="preserve">KY</w:t>
            </w:r>
          </w:p>
        </w:tc>
        <w:tc>
          <w:tcPr/>
          <w:p>
            <w:pPr>
              <w:pStyle w:val="Compact"/>
            </w:pPr>
            <w:r>
              <w:t xml:space="preserve">28</w:t>
            </w:r>
          </w:p>
        </w:tc>
        <w:tc>
          <w:tcPr/>
          <w:p>
            <w:pPr>
              <w:pStyle w:val="Compact"/>
            </w:pPr>
            <w:r>
              <w:t xml:space="preserve">10</w:t>
            </w:r>
          </w:p>
        </w:tc>
        <w:tc>
          <w:tcPr/>
          <w:p>
            <w:pPr>
              <w:pStyle w:val="Compact"/>
            </w:pPr>
            <w:r>
              <w:t xml:space="preserve">35.7%</w:t>
            </w:r>
          </w:p>
        </w:tc>
        <w:tc>
          <w:tcPr/>
          <w:p>
            <w:pPr>
              <w:pStyle w:val="Compact"/>
            </w:pPr>
            <w:r>
              <w:t xml:space="preserve">Yes</w:t>
            </w:r>
          </w:p>
        </w:tc>
      </w:tr>
      <w:tr>
        <w:tc>
          <w:tcPr/>
          <w:p>
            <w:pPr>
              <w:pStyle w:val="Compact"/>
            </w:pPr>
            <w:r>
              <w:t xml:space="preserve">OK</w:t>
            </w:r>
          </w:p>
        </w:tc>
        <w:tc>
          <w:tcPr/>
          <w:p>
            <w:pPr>
              <w:pStyle w:val="Compact"/>
            </w:pPr>
            <w:r>
              <w:t xml:space="preserve">28</w:t>
            </w:r>
          </w:p>
        </w:tc>
        <w:tc>
          <w:tcPr/>
          <w:p>
            <w:pPr>
              <w:pStyle w:val="Compact"/>
            </w:pPr>
            <w:r>
              <w:t xml:space="preserve">10</w:t>
            </w:r>
          </w:p>
        </w:tc>
        <w:tc>
          <w:tcPr/>
          <w:p>
            <w:pPr>
              <w:pStyle w:val="Compact"/>
            </w:pPr>
            <w:r>
              <w:t xml:space="preserve">35.7%</w:t>
            </w:r>
          </w:p>
        </w:tc>
        <w:tc>
          <w:tcPr/>
          <w:p>
            <w:pPr>
              <w:pStyle w:val="Compact"/>
            </w:pPr>
            <w:r>
              <w:t xml:space="preserve">Yes</w:t>
            </w:r>
          </w:p>
        </w:tc>
      </w:tr>
      <w:tr>
        <w:tc>
          <w:tcPr/>
          <w:p>
            <w:pPr>
              <w:pStyle w:val="Compact"/>
            </w:pPr>
            <w:r>
              <w:t xml:space="preserve">LA</w:t>
            </w:r>
          </w:p>
        </w:tc>
        <w:tc>
          <w:tcPr/>
          <w:p>
            <w:pPr>
              <w:pStyle w:val="Compact"/>
            </w:pPr>
            <w:r>
              <w:t xml:space="preserve">26</w:t>
            </w:r>
          </w:p>
        </w:tc>
        <w:tc>
          <w:tcPr/>
          <w:p>
            <w:pPr>
              <w:pStyle w:val="Compact"/>
            </w:pPr>
            <w:r>
              <w:t xml:space="preserve">6</w:t>
            </w:r>
          </w:p>
        </w:tc>
        <w:tc>
          <w:tcPr/>
          <w:p>
            <w:pPr>
              <w:pStyle w:val="Compact"/>
            </w:pPr>
            <w:r>
              <w:t xml:space="preserve">23.1%</w:t>
            </w:r>
          </w:p>
        </w:tc>
        <w:tc>
          <w:tcPr/>
          <w:p>
            <w:pPr>
              <w:pStyle w:val="Compact"/>
            </w:pPr>
            <w:r>
              <w:t xml:space="preserve">Yes</w:t>
            </w:r>
          </w:p>
        </w:tc>
      </w:tr>
      <w:tr>
        <w:tc>
          <w:tcPr/>
          <w:p>
            <w:pPr>
              <w:pStyle w:val="Compact"/>
            </w:pPr>
            <w:r>
              <w:t xml:space="preserve">NE</w:t>
            </w:r>
          </w:p>
        </w:tc>
        <w:tc>
          <w:tcPr/>
          <w:p>
            <w:pPr>
              <w:pStyle w:val="Compact"/>
            </w:pPr>
            <w:r>
              <w:t xml:space="preserve">25</w:t>
            </w:r>
          </w:p>
        </w:tc>
        <w:tc>
          <w:tcPr/>
          <w:p>
            <w:pPr>
              <w:pStyle w:val="Compact"/>
            </w:pPr>
            <w:r>
              <w:t xml:space="preserve">4</w:t>
            </w:r>
          </w:p>
        </w:tc>
        <w:tc>
          <w:tcPr/>
          <w:p>
            <w:pPr>
              <w:pStyle w:val="Compact"/>
            </w:pPr>
            <w:r>
              <w:t xml:space="preserve">16.0%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CO</w:t>
            </w:r>
          </w:p>
        </w:tc>
        <w:tc>
          <w:tcPr/>
          <w:p>
            <w:pPr>
              <w:pStyle w:val="Compact"/>
            </w:pPr>
            <w:r>
              <w:t xml:space="preserve">24</w:t>
            </w:r>
          </w:p>
        </w:tc>
        <w:tc>
          <w:tcPr/>
          <w:p>
            <w:pPr>
              <w:pStyle w:val="Compact"/>
            </w:pPr>
            <w:r>
              <w:t xml:space="preserve">14</w:t>
            </w:r>
          </w:p>
        </w:tc>
        <w:tc>
          <w:tcPr/>
          <w:p>
            <w:pPr>
              <w:pStyle w:val="Compact"/>
            </w:pPr>
            <w:r>
              <w:t xml:space="preserve">58.3%</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AR</w:t>
            </w:r>
          </w:p>
        </w:tc>
        <w:tc>
          <w:tcPr/>
          <w:p>
            <w:pPr>
              <w:pStyle w:val="Compact"/>
            </w:pPr>
            <w:r>
              <w:t xml:space="preserve">19</w:t>
            </w:r>
          </w:p>
        </w:tc>
        <w:tc>
          <w:tcPr/>
          <w:p>
            <w:pPr>
              <w:pStyle w:val="Compact"/>
            </w:pPr>
            <w:r>
              <w:t xml:space="preserve">3</w:t>
            </w:r>
          </w:p>
        </w:tc>
        <w:tc>
          <w:tcPr/>
          <w:p>
            <w:pPr>
              <w:pStyle w:val="Compact"/>
            </w:pPr>
            <w:r>
              <w:t xml:space="preserve">15.8%</w:t>
            </w:r>
          </w:p>
        </w:tc>
        <w:tc>
          <w:tcPr/>
          <w:p>
            <w:pPr>
              <w:pStyle w:val="Compact"/>
            </w:pPr>
            <w:r>
              <w:t xml:space="preserve">Yes</w:t>
            </w:r>
          </w:p>
        </w:tc>
      </w:tr>
      <w:tr>
        <w:tc>
          <w:tcPr/>
          <w:p>
            <w:pPr>
              <w:pStyle w:val="Compact"/>
            </w:pPr>
            <w:r>
              <w:t xml:space="preserve">KS</w:t>
            </w:r>
          </w:p>
        </w:tc>
        <w:tc>
          <w:tcPr/>
          <w:p>
            <w:pPr>
              <w:pStyle w:val="Compact"/>
            </w:pPr>
            <w:r>
              <w:t xml:space="preserve">18</w:t>
            </w:r>
          </w:p>
        </w:tc>
        <w:tc>
          <w:tcPr/>
          <w:p>
            <w:pPr>
              <w:pStyle w:val="Compact"/>
            </w:pPr>
            <w:r>
              <w:t xml:space="preserve">4</w:t>
            </w:r>
          </w:p>
        </w:tc>
        <w:tc>
          <w:tcPr/>
          <w:p>
            <w:pPr>
              <w:pStyle w:val="Compact"/>
            </w:pPr>
            <w:r>
              <w:t xml:space="preserve">22.2%</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IA</w:t>
            </w:r>
          </w:p>
        </w:tc>
        <w:tc>
          <w:tcPr/>
          <w:p>
            <w:pPr>
              <w:pStyle w:val="Compact"/>
            </w:pPr>
            <w:r>
              <w:t xml:space="preserve">15</w:t>
            </w:r>
          </w:p>
        </w:tc>
        <w:tc>
          <w:tcPr/>
          <w:p>
            <w:pPr>
              <w:pStyle w:val="Compact"/>
            </w:pPr>
            <w:r>
              <w:t xml:space="preserve">7</w:t>
            </w:r>
          </w:p>
        </w:tc>
        <w:tc>
          <w:tcPr/>
          <w:p>
            <w:pPr>
              <w:pStyle w:val="Compact"/>
            </w:pPr>
            <w:r>
              <w:t xml:space="preserve">46.7%</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11</w:t>
            </w:r>
          </w:p>
        </w:tc>
        <w:tc>
          <w:tcPr/>
          <w:p>
            <w:pPr>
              <w:pStyle w:val="Compact"/>
            </w:pPr>
            <w:r>
              <w:t xml:space="preserve">3</w:t>
            </w:r>
          </w:p>
        </w:tc>
        <w:tc>
          <w:tcPr/>
          <w:p>
            <w:pPr>
              <w:pStyle w:val="Compact"/>
            </w:pPr>
            <w:r>
              <w:t xml:space="preserve">27.3%</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DE</w:t>
            </w:r>
          </w:p>
        </w:tc>
        <w:tc>
          <w:tcPr/>
          <w:p>
            <w:pPr>
              <w:pStyle w:val="Compact"/>
            </w:pPr>
            <w:r>
              <w:t xml:space="preserve">6</w:t>
            </w:r>
          </w:p>
        </w:tc>
        <w:tc>
          <w:tcPr/>
          <w:p>
            <w:pPr>
              <w:pStyle w:val="Compact"/>
            </w:pPr>
            <w:r>
              <w:t xml:space="preserve">4</w:t>
            </w:r>
          </w:p>
        </w:tc>
        <w:tc>
          <w:tcPr/>
          <w:p>
            <w:pPr>
              <w:pStyle w:val="Compact"/>
            </w:pPr>
            <w:r>
              <w:t xml:space="preserve">66.7%</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ID</w:t>
            </w:r>
          </w:p>
        </w:tc>
        <w:tc>
          <w:tcPr/>
          <w:p>
            <w:pPr>
              <w:pStyle w:val="Compact"/>
            </w:pPr>
            <w:r>
              <w:t xml:space="preserve">5</w:t>
            </w:r>
          </w:p>
        </w:tc>
        <w:tc>
          <w:tcPr/>
          <w:p>
            <w:pPr>
              <w:pStyle w:val="Compact"/>
            </w:pPr>
            <w:r>
              <w:t xml:space="preserve">3</w:t>
            </w:r>
          </w:p>
        </w:tc>
        <w:tc>
          <w:tcPr/>
          <w:p>
            <w:pPr>
              <w:pStyle w:val="Compact"/>
            </w:pPr>
            <w:r>
              <w:t xml:space="preserve">60.0%</w:t>
            </w:r>
          </w:p>
        </w:tc>
        <w:tc>
          <w:tcPr/>
          <w:p>
            <w:pPr>
              <w:pStyle w:val="Compact"/>
            </w:pPr>
            <w:r>
              <w:t xml:space="preserve">Yes</w:t>
            </w:r>
          </w:p>
        </w:tc>
      </w:tr>
      <w:tr>
        <w:tc>
          <w:tcPr/>
          <w:p>
            <w:pPr>
              <w:pStyle w:val="Compact"/>
            </w:pPr>
            <w:r>
              <w:t xml:space="preserve">ND</w:t>
            </w:r>
          </w:p>
        </w:tc>
        <w:tc>
          <w:tcPr/>
          <w:p>
            <w:pPr>
              <w:pStyle w:val="Compact"/>
            </w:pPr>
            <w:r>
              <w:t xml:space="preserve">5</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AK</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Suppression sensitivity. Hypothetical suppressed low-volume providers (25% and 50% of the observed count, each performing 1–10 services) were added to each group before recomputing the Gini coefficient and HHI. Concentration rose only modestly, so the low-concentration conclusion is robust to the unobserved low-volume tail.</w:t>
      </w:r>
    </w:p>
    <w:tbl>
      <w:tblPr>
        <w:tblStyle w:val="Table"/>
        <w:tblW w:type="pct" w:w="5000"/>
        <w:tblLayout w:type="fixed"/>
        <w:tblLook w:firstRow="1" w:lastRow="0" w:firstColumn="0" w:lastColumn="0" w:noHBand="0" w:noVBand="0" w:val="0020"/>
      </w:tblPr>
      <w:tblGrid>
        <w:gridCol w:w="1556"/>
        <w:gridCol w:w="1015"/>
        <w:gridCol w:w="1489"/>
        <w:gridCol w:w="1489"/>
        <w:gridCol w:w="947"/>
        <w:gridCol w:w="1421"/>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 (OB/GYN)</w:t>
            </w:r>
          </w:p>
        </w:tc>
        <w:tc>
          <w:tcPr/>
          <w:p>
            <w:pPr>
              <w:pStyle w:val="Compact"/>
            </w:pPr>
            <w:r>
              <w:t xml:space="preserve">0.51</w:t>
            </w:r>
          </w:p>
        </w:tc>
        <w:tc>
          <w:tcPr/>
          <w:p>
            <w:pPr>
              <w:pStyle w:val="Compact"/>
            </w:pPr>
            <w:r>
              <w:t xml:space="preserve">0.59</w:t>
            </w:r>
          </w:p>
        </w:tc>
        <w:tc>
          <w:tcPr/>
          <w:p>
            <w:pPr>
              <w:pStyle w:val="Compact"/>
            </w:pPr>
            <w:r>
              <w:t xml:space="preserve">0.64</w:t>
            </w:r>
          </w:p>
        </w:tc>
        <w:tc>
          <w:tcPr/>
          <w:p>
            <w:pPr>
              <w:pStyle w:val="Compact"/>
            </w:pPr>
            <w:r>
              <w:t xml:space="preserve">33</w:t>
            </w:r>
          </w:p>
        </w:tc>
        <w:tc>
          <w:tcPr/>
          <w:p>
            <w:pPr>
              <w:pStyle w:val="Compact"/>
            </w:pPr>
            <w:r>
              <w:t xml:space="preserve">31</w:t>
            </w:r>
          </w:p>
        </w:tc>
      </w:tr>
      <w:tr>
        <w:tc>
          <w:tcPr/>
          <w:p>
            <w:pPr>
              <w:pStyle w:val="Compact"/>
            </w:pPr>
            <w:r>
              <w:t xml:space="preserve">URPS (urology)</w:t>
            </w:r>
          </w:p>
        </w:tc>
        <w:tc>
          <w:tcPr/>
          <w:p>
            <w:pPr>
              <w:pStyle w:val="Compact"/>
            </w:pPr>
            <w:r>
              <w:t xml:space="preserve">0.53</w:t>
            </w:r>
          </w:p>
        </w:tc>
        <w:tc>
          <w:tcPr/>
          <w:p>
            <w:pPr>
              <w:pStyle w:val="Compact"/>
            </w:pPr>
            <w:r>
              <w:t xml:space="preserve">0.60</w:t>
            </w:r>
          </w:p>
        </w:tc>
        <w:tc>
          <w:tcPr/>
          <w:p>
            <w:pPr>
              <w:pStyle w:val="Compact"/>
            </w:pPr>
            <w:r>
              <w:t xml:space="preserve">0.65</w:t>
            </w:r>
          </w:p>
        </w:tc>
        <w:tc>
          <w:tcPr/>
          <w:p>
            <w:pPr>
              <w:pStyle w:val="Compact"/>
            </w:pPr>
            <w:r>
              <w:t xml:space="preserve">149</w:t>
            </w:r>
          </w:p>
        </w:tc>
        <w:tc>
          <w:tcPr/>
          <w:p>
            <w:pPr>
              <w:pStyle w:val="Compact"/>
            </w:pPr>
            <w:r>
              <w:t xml:space="preserve">140</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Other non-URPS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779</w:t>
            </w:r>
          </w:p>
        </w:tc>
        <w:tc>
          <w:tcPr/>
          <w:p>
            <w:pPr>
              <w:pStyle w:val="Compact"/>
            </w:pPr>
            <w:r>
              <w:t xml:space="preserve">n/a</w:t>
            </w:r>
          </w:p>
        </w:tc>
        <w:tc>
          <w:tcPr/>
          <w:p>
            <w:pPr>
              <w:pStyle w:val="Compact"/>
            </w:pPr>
            <w:r>
              <w:t xml:space="preserve">n/a</w:t>
            </w:r>
          </w:p>
        </w:tc>
        <w:tc>
          <w:tcPr/>
          <w:p>
            <w:pPr>
              <w:pStyle w:val="Compact"/>
            </w:pPr>
            <w:r>
              <w:t xml:space="preserve">204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656</w:t>
            </w:r>
          </w:p>
        </w:tc>
        <w:tc>
          <w:tcPr/>
          <w:p>
            <w:pPr>
              <w:pStyle w:val="Compact"/>
            </w:pPr>
            <w:r>
              <w:t xml:space="preserve">n/a</w:t>
            </w:r>
          </w:p>
        </w:tc>
        <w:tc>
          <w:tcPr/>
          <w:p>
            <w:pPr>
              <w:pStyle w:val="Compact"/>
            </w:pPr>
            <w:r>
              <w:t xml:space="preserve">n/a</w:t>
            </w:r>
          </w:p>
        </w:tc>
        <w:tc>
          <w:tcPr/>
          <w:p>
            <w:pPr>
              <w:pStyle w:val="Compact"/>
            </w:pPr>
            <w:r>
              <w:t xml:space="preserve">156</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627</w:t>
            </w:r>
          </w:p>
        </w:tc>
        <w:tc>
          <w:tcPr/>
          <w:p>
            <w:pPr>
              <w:pStyle w:val="Compact"/>
            </w:pPr>
            <w:r>
              <w:t xml:space="preserve">120</w:t>
            </w:r>
          </w:p>
        </w:tc>
        <w:tc>
          <w:tcPr/>
          <w:p>
            <w:pPr>
              <w:pStyle w:val="Compact"/>
            </w:pPr>
            <w:r>
              <w:t xml:space="preserve">507</w:t>
            </w:r>
          </w:p>
        </w:tc>
        <w:tc>
          <w:tcPr/>
          <w:p>
            <w:pPr>
              <w:pStyle w:val="Compact"/>
            </w:pPr>
            <w:r>
              <w:t xml:space="preserve">123</w:t>
            </w:r>
          </w:p>
        </w:tc>
        <w:tc>
          <w:tcPr/>
          <w:p>
            <w:pPr>
              <w:pStyle w:val="Compact"/>
            </w:pPr>
            <w:r>
              <w:t xml:space="preserve">13.8%</w:t>
            </w:r>
          </w:p>
        </w:tc>
        <w:tc>
          <w:tcPr/>
          <w:p>
            <w:pPr>
              <w:pStyle w:val="Compact"/>
            </w:pPr>
            <w:r>
              <w:t xml:space="preserve">13</w:t>
            </w:r>
          </w:p>
        </w:tc>
      </w:tr>
      <w:tr>
        <w:tc>
          <w:tcPr/>
          <w:p>
            <w:pPr>
              <w:pStyle w:val="Compact"/>
            </w:pPr>
            <w:r>
              <w:t xml:space="preserve">2016</w:t>
            </w:r>
          </w:p>
        </w:tc>
        <w:tc>
          <w:tcPr/>
          <w:p>
            <w:pPr>
              <w:pStyle w:val="Compact"/>
            </w:pPr>
            <w:r>
              <w:t xml:space="preserve">665</w:t>
            </w:r>
          </w:p>
        </w:tc>
        <w:tc>
          <w:tcPr/>
          <w:p>
            <w:pPr>
              <w:pStyle w:val="Compact"/>
            </w:pPr>
            <w:r>
              <w:t xml:space="preserve">143</w:t>
            </w:r>
          </w:p>
        </w:tc>
        <w:tc>
          <w:tcPr/>
          <w:p>
            <w:pPr>
              <w:pStyle w:val="Compact"/>
            </w:pPr>
            <w:r>
              <w:t xml:space="preserve">522</w:t>
            </w:r>
          </w:p>
        </w:tc>
        <w:tc>
          <w:tcPr/>
          <w:p>
            <w:pPr>
              <w:pStyle w:val="Compact"/>
            </w:pPr>
            <w:r>
              <w:t xml:space="preserve">118</w:t>
            </w:r>
          </w:p>
        </w:tc>
        <w:tc>
          <w:tcPr/>
          <w:p>
            <w:pPr>
              <w:pStyle w:val="Compact"/>
            </w:pPr>
            <w:r>
              <w:t xml:space="preserve">14.5%</w:t>
            </w:r>
          </w:p>
        </w:tc>
        <w:tc>
          <w:tcPr/>
          <w:p>
            <w:pPr>
              <w:pStyle w:val="Compact"/>
            </w:pPr>
            <w:r>
              <w:t xml:space="preserve">13</w:t>
            </w:r>
          </w:p>
        </w:tc>
      </w:tr>
      <w:tr>
        <w:tc>
          <w:tcPr/>
          <w:p>
            <w:pPr>
              <w:pStyle w:val="Compact"/>
            </w:pPr>
            <w:r>
              <w:t xml:space="preserve">2017</w:t>
            </w:r>
          </w:p>
        </w:tc>
        <w:tc>
          <w:tcPr/>
          <w:p>
            <w:pPr>
              <w:pStyle w:val="Compact"/>
            </w:pPr>
            <w:r>
              <w:t xml:space="preserve">694</w:t>
            </w:r>
          </w:p>
        </w:tc>
        <w:tc>
          <w:tcPr/>
          <w:p>
            <w:pPr>
              <w:pStyle w:val="Compact"/>
            </w:pPr>
            <w:r>
              <w:t xml:space="preserve">135</w:t>
            </w:r>
          </w:p>
        </w:tc>
        <w:tc>
          <w:tcPr/>
          <w:p>
            <w:pPr>
              <w:pStyle w:val="Compact"/>
            </w:pPr>
            <w:r>
              <w:t xml:space="preserve">559</w:t>
            </w:r>
          </w:p>
        </w:tc>
        <w:tc>
          <w:tcPr/>
          <w:p>
            <w:pPr>
              <w:pStyle w:val="Compact"/>
            </w:pPr>
            <w:r>
              <w:t xml:space="preserve">189</w:t>
            </w:r>
          </w:p>
        </w:tc>
        <w:tc>
          <w:tcPr/>
          <w:p>
            <w:pPr>
              <w:pStyle w:val="Compact"/>
            </w:pPr>
            <w:r>
              <w:t xml:space="preserve">13.0%</w:t>
            </w:r>
          </w:p>
        </w:tc>
        <w:tc>
          <w:tcPr/>
          <w:p>
            <w:pPr>
              <w:pStyle w:val="Compact"/>
            </w:pPr>
            <w:r>
              <w:t xml:space="preserve">13</w:t>
            </w:r>
          </w:p>
        </w:tc>
      </w:tr>
      <w:tr>
        <w:tc>
          <w:tcPr/>
          <w:p>
            <w:pPr>
              <w:pStyle w:val="Compact"/>
            </w:pPr>
            <w:r>
              <w:t xml:space="preserve">2018</w:t>
            </w:r>
          </w:p>
        </w:tc>
        <w:tc>
          <w:tcPr/>
          <w:p>
            <w:pPr>
              <w:pStyle w:val="Compact"/>
            </w:pPr>
            <w:r>
              <w:t xml:space="preserve">640</w:t>
            </w:r>
          </w:p>
        </w:tc>
        <w:tc>
          <w:tcPr/>
          <w:p>
            <w:pPr>
              <w:pStyle w:val="Compact"/>
            </w:pPr>
            <w:r>
              <w:t xml:space="preserve">130</w:t>
            </w:r>
          </w:p>
        </w:tc>
        <w:tc>
          <w:tcPr/>
          <w:p>
            <w:pPr>
              <w:pStyle w:val="Compact"/>
            </w:pPr>
            <w:r>
              <w:t xml:space="preserve">510</w:t>
            </w:r>
          </w:p>
        </w:tc>
        <w:tc>
          <w:tcPr/>
          <w:p>
            <w:pPr>
              <w:pStyle w:val="Compact"/>
            </w:pPr>
            <w:r>
              <w:t xml:space="preserve">146</w:t>
            </w:r>
          </w:p>
        </w:tc>
        <w:tc>
          <w:tcPr/>
          <w:p>
            <w:pPr>
              <w:pStyle w:val="Compact"/>
            </w:pPr>
            <w:r>
              <w:t xml:space="preserve">13.8%</w:t>
            </w:r>
          </w:p>
        </w:tc>
        <w:tc>
          <w:tcPr/>
          <w:p>
            <w:pPr>
              <w:pStyle w:val="Compact"/>
            </w:pPr>
            <w:r>
              <w:t xml:space="preserve">14</w:t>
            </w:r>
          </w:p>
        </w:tc>
      </w:tr>
      <w:tr>
        <w:tc>
          <w:tcPr/>
          <w:p>
            <w:pPr>
              <w:pStyle w:val="Compact"/>
            </w:pPr>
            <w:r>
              <w:t xml:space="preserve">2019</w:t>
            </w:r>
          </w:p>
        </w:tc>
        <w:tc>
          <w:tcPr/>
          <w:p>
            <w:pPr>
              <w:pStyle w:val="Compact"/>
            </w:pPr>
            <w:r>
              <w:t xml:space="preserve">610</w:t>
            </w:r>
          </w:p>
        </w:tc>
        <w:tc>
          <w:tcPr/>
          <w:p>
            <w:pPr>
              <w:pStyle w:val="Compact"/>
            </w:pPr>
            <w:r>
              <w:t xml:space="preserve">111</w:t>
            </w:r>
          </w:p>
        </w:tc>
        <w:tc>
          <w:tcPr/>
          <w:p>
            <w:pPr>
              <w:pStyle w:val="Compact"/>
            </w:pPr>
            <w:r>
              <w:t xml:space="preserve">499</w:t>
            </w:r>
          </w:p>
        </w:tc>
        <w:tc>
          <w:tcPr/>
          <w:p>
            <w:pPr>
              <w:pStyle w:val="Compact"/>
            </w:pPr>
            <w:r>
              <w:t xml:space="preserve">212</w:t>
            </w:r>
          </w:p>
        </w:tc>
        <w:tc>
          <w:tcPr/>
          <w:p>
            <w:pPr>
              <w:pStyle w:val="Compact"/>
            </w:pPr>
            <w:r>
              <w:t xml:space="preserve">11.7%</w:t>
            </w:r>
          </w:p>
        </w:tc>
        <w:tc>
          <w:tcPr/>
          <w:p>
            <w:pPr>
              <w:pStyle w:val="Compact"/>
            </w:pPr>
            <w:r>
              <w:t xml:space="preserve">13</w:t>
            </w:r>
          </w:p>
        </w:tc>
      </w:tr>
      <w:tr>
        <w:tc>
          <w:tcPr/>
          <w:p>
            <w:pPr>
              <w:pStyle w:val="Compact"/>
            </w:pPr>
            <w:r>
              <w:t xml:space="preserve">2020</w:t>
            </w:r>
          </w:p>
        </w:tc>
        <w:tc>
          <w:tcPr/>
          <w:p>
            <w:pPr>
              <w:pStyle w:val="Compact"/>
            </w:pPr>
            <w:r>
              <w:t xml:space="preserve">423</w:t>
            </w:r>
          </w:p>
        </w:tc>
        <w:tc>
          <w:tcPr/>
          <w:p>
            <w:pPr>
              <w:pStyle w:val="Compact"/>
            </w:pPr>
            <w:r>
              <w:t xml:space="preserve">46</w:t>
            </w:r>
          </w:p>
        </w:tc>
        <w:tc>
          <w:tcPr/>
          <w:p>
            <w:pPr>
              <w:pStyle w:val="Compact"/>
            </w:pPr>
            <w:r>
              <w:t xml:space="preserve">377</w:t>
            </w:r>
          </w:p>
        </w:tc>
        <w:tc>
          <w:tcPr/>
          <w:p>
            <w:pPr>
              <w:pStyle w:val="Compact"/>
            </w:pPr>
            <w:r>
              <w:t xml:space="preserve">64</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429</w:t>
            </w:r>
          </w:p>
        </w:tc>
        <w:tc>
          <w:tcPr/>
          <w:p>
            <w:pPr>
              <w:pStyle w:val="Compact"/>
            </w:pPr>
            <w:r>
              <w:t xml:space="preserve">72</w:t>
            </w:r>
          </w:p>
        </w:tc>
        <w:tc>
          <w:tcPr/>
          <w:p>
            <w:pPr>
              <w:pStyle w:val="Compact"/>
            </w:pPr>
            <w:r>
              <w:t xml:space="preserve">357</w:t>
            </w:r>
          </w:p>
        </w:tc>
        <w:tc>
          <w:tcPr/>
          <w:p>
            <w:pPr>
              <w:pStyle w:val="Compact"/>
            </w:pPr>
            <w:r>
              <w:t xml:space="preserve">75</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524</w:t>
            </w:r>
          </w:p>
        </w:tc>
        <w:tc>
          <w:tcPr/>
          <w:p>
            <w:pPr>
              <w:pStyle w:val="Compact"/>
            </w:pPr>
            <w:r>
              <w:t xml:space="preserve">150</w:t>
            </w:r>
          </w:p>
        </w:tc>
        <w:tc>
          <w:tcPr/>
          <w:p>
            <w:pPr>
              <w:pStyle w:val="Compact"/>
            </w:pPr>
            <w:r>
              <w:t xml:space="preserve">374</w:t>
            </w:r>
          </w:p>
        </w:tc>
        <w:tc>
          <w:tcPr/>
          <w:p>
            <w:pPr>
              <w:pStyle w:val="Compact"/>
            </w:pPr>
            <w:r>
              <w:t xml:space="preserve">n/a</w:t>
            </w:r>
          </w:p>
        </w:tc>
        <w:tc>
          <w:tcPr/>
          <w:p>
            <w:pPr>
              <w:pStyle w:val="Compact"/>
            </w:pPr>
            <w:r>
              <w:t xml:space="preserve">21.7%</w:t>
            </w:r>
          </w:p>
        </w:tc>
        <w:tc>
          <w:tcPr/>
          <w:p>
            <w:pPr>
              <w:pStyle w:val="Compact"/>
            </w:pPr>
            <w:r>
              <w:t xml:space="preserve">14</w:t>
            </w:r>
          </w:p>
        </w:tc>
      </w:tr>
      <w:tr>
        <w:tc>
          <w:tcPr/>
          <w:p>
            <w:pPr>
              <w:pStyle w:val="Compact"/>
            </w:pPr>
            <w:r>
              <w:t xml:space="preserve">2023</w:t>
            </w:r>
          </w:p>
        </w:tc>
        <w:tc>
          <w:tcPr/>
          <w:p>
            <w:pPr>
              <w:pStyle w:val="Compact"/>
            </w:pPr>
            <w:r>
              <w:t xml:space="preserve">522</w:t>
            </w:r>
          </w:p>
        </w:tc>
        <w:tc>
          <w:tcPr/>
          <w:p>
            <w:pPr>
              <w:pStyle w:val="Compact"/>
            </w:pPr>
            <w:r>
              <w:t xml:space="preserve">112</w:t>
            </w:r>
          </w:p>
        </w:tc>
        <w:tc>
          <w:tcPr/>
          <w:p>
            <w:pPr>
              <w:pStyle w:val="Compact"/>
            </w:pPr>
            <w:r>
              <w:t xml:space="preserve">410</w:t>
            </w:r>
          </w:p>
        </w:tc>
        <w:tc>
          <w:tcPr/>
          <w:p>
            <w:pPr>
              <w:pStyle w:val="Compact"/>
            </w:pPr>
            <w:r>
              <w:t xml:space="preserve">n/a</w:t>
            </w:r>
          </w:p>
        </w:tc>
        <w:tc>
          <w:tcPr/>
          <w:p>
            <w:pPr>
              <w:pStyle w:val="Compact"/>
            </w:pPr>
            <w:r>
              <w:t xml:space="preserve">14.9%</w:t>
            </w:r>
          </w:p>
        </w:tc>
        <w:tc>
          <w:tcPr/>
          <w:p>
            <w:pPr>
              <w:pStyle w:val="Compact"/>
            </w:pPr>
            <w:r>
              <w:t xml:space="preserve">13</w:t>
            </w:r>
          </w:p>
        </w:tc>
      </w:tr>
    </w:tbl>
    <w:p>
      <w:pPr>
        <w:pStyle w:val="BodyText"/>
      </w:pPr>
      <w:r>
        <w:t xml:space="preserve">Newly observable episodes by specialty: URPS, 480; urology, 165; other OB/GYN, 205;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and places remaining non-physician or unclassifiable clinicians in an</w:t>
      </w:r>
      <w:r>
        <w:t xml:space="preserve"> </w:t>
      </w:r>
      <w:r>
        <w:t xml:space="preserve">“Other/uncertain”</w:t>
      </w:r>
      <w:r>
        <w:t xml:space="preserve"> </w:t>
      </w:r>
      <w:r>
        <w:t xml:space="preserve">group. Assigning them to urology (the legacy approach) roughly doubles the apparent non-URPS urology share; excluding them entirely changes the shares little for the well-populated groups. The URPS increase is significant under all three.</w:t>
      </w:r>
    </w:p>
    <w:tbl>
      <w:tblPr>
        <w:tblStyle w:val="Table"/>
        <w:tblW w:type="pct" w:w="5000"/>
        <w:tblLayout w:type="fixed"/>
        <w:tblLook w:firstRow="1" w:lastRow="0" w:firstColumn="0" w:lastColumn="0" w:noHBand="0" w:noVBand="0" w:val="0020"/>
      </w:tblPr>
      <w:tblGrid>
        <w:gridCol w:w="4555"/>
        <w:gridCol w:w="841"/>
        <w:gridCol w:w="841"/>
        <w:gridCol w:w="1682"/>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Separate</w:t>
            </w:r>
            <w:r>
              <w:t xml:space="preserve"> </w:t>
            </w:r>
            <w:r>
              <w:t xml:space="preserve">‘Other/uncertain’</w:t>
            </w:r>
            <w:r>
              <w:t xml:space="preserve"> </w:t>
            </w:r>
            <w:r>
              <w:t xml:space="preserve">group; facilities excluded (primary)</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Excluded from the cohort</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4"/>
    <w:bookmarkStart w:id="57" w:name="supplementary-figures"/>
    <w:p>
      <w:pPr>
        <w:pStyle w:val="Heading2"/>
      </w:pPr>
      <w:r>
        <w:t xml:space="preserve">Supplementary Figures</w:t>
      </w:r>
    </w:p>
    <w:p>
      <w:pPr>
        <w:pStyle w:val="FirstParagraph"/>
      </w:pPr>
      <w:r>
        <w:drawing>
          <wp:inline>
            <wp:extent cx="5334000" cy="3810000"/>
            <wp:effectExtent b="0" l="0" r="0" t="0"/>
            <wp:docPr descr="" title="" id="46" name="Picture"/>
            <a:graphic>
              <a:graphicData uri="http://schemas.openxmlformats.org/drawingml/2006/picture">
                <pic:pic>
                  <pic:nvPicPr>
                    <pic:cNvPr descr="/Users/tylermuffly/sling-volume-patterns/output/figures/figure_2_volume_distribution.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9" name="Picture"/>
            <a:graphic>
              <a:graphicData uri="http://schemas.openxmlformats.org/drawingml/2006/picture">
                <pic:pic>
                  <pic:nvPicPr>
                    <pic:cNvPr descr="/Users/tylermuffly/sling-volume-patterns/output/figures/figure_3_lorenz_curve.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52" name="Picture"/>
            <a:graphic>
              <a:graphicData uri="http://schemas.openxmlformats.org/drawingml/2006/picture">
                <pic:pic>
                  <pic:nvPicPr>
                    <pic:cNvPr descr="/Users/tylermuffly/sling-volume-patterns/output/figures/figure_4_concentration_trends.png" id="53" name="Picture"/>
                    <pic:cNvPicPr>
                      <a:picLocks noChangeArrowheads="1" noChangeAspect="1"/>
                    </pic:cNvPicPr>
                  </pic:nvPicPr>
                  <pic:blipFill>
                    <a:blip r:embed="rId5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5" name="Picture"/>
            <a:graphic>
              <a:graphicData uri="http://schemas.openxmlformats.org/drawingml/2006/picture">
                <pic:pic>
                  <pic:nvPicPr>
                    <pic:cNvPr descr="/Users/tylermuffly/sling-volume-patterns/output/figures/figure_5_supply_trends.png" id="56" name="Picture"/>
                    <pic:cNvPicPr>
                      <a:picLocks noChangeArrowheads="1" noChangeAspect="1"/>
                    </pic:cNvPicPr>
                  </pic:nvPicPr>
                  <pic:blipFill>
                    <a:blip r:embed="rId5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2026-07-23T03:03:01Z</dcterms:created>
  <dcterms:modified xsi:type="dcterms:W3CDTF">2026-07-23T03:03:01Z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