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3.png" ContentType="image/png"/>
  <Override PartName="/word/media/rId39.png" ContentType="image/png"/>
  <Override PartName="/word/media/rId3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from the corresponding author on reasonable request.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available with the analytic code.</w:t>
      </w:r>
    </w:p>
    <w:p>
      <w:pPr>
        <w:pStyle w:val="BodyText"/>
      </w:pPr>
      <w:r>
        <w:rPr>
          <w:b/>
          <w:bCs/>
        </w:rPr>
        <w:t xml:space="preserve">Manuscript type:</w:t>
      </w:r>
      <w:r>
        <w:t xml:space="preserve"> </w:t>
      </w:r>
      <w:r>
        <w:t xml:space="preserve">Original research.</w:t>
      </w:r>
    </w:p>
    <w:p>
      <w:pPr>
        <w:pStyle w:val="BodyText"/>
      </w:pPr>
      <w:r>
        <w:rPr>
          <w:b/>
          <w:bCs/>
        </w:rPr>
        <w:t xml:space="preserve">Running head:</w:t>
      </w:r>
      <w:r>
        <w:t xml:space="preserve"> </w:t>
      </w:r>
      <w:r>
        <w:t xml:space="preserve">URPS Share of Medicare Sling Surgery</w:t>
      </w:r>
    </w:p>
    <w:p>
      <w:pPr>
        <w:pStyle w:val="BodyText"/>
      </w:pPr>
      <w:r>
        <w:rPr>
          <w:b/>
          <w:bCs/>
        </w:rPr>
        <w:t xml:space="preserve">Precis:</w:t>
      </w:r>
      <w:r>
        <w:t xml:space="preserve"> </w:t>
      </w:r>
      <w:r>
        <w:t xml:space="preserve">Urogynecologists performed most observable sling procedures in fee-for-service Medicare from 2013 through 2023, and their share rose without a corresponding increase in surgeon-level concentration.</w:t>
      </w:r>
    </w:p>
    <w:p>
      <w:pPr>
        <w:pStyle w:val="BodyText"/>
      </w:pPr>
      <w:r>
        <w:rPr>
          <w:b/>
          <w:bCs/>
        </w:rPr>
        <w:t xml:space="preserve">Word count:</w:t>
      </w:r>
      <w:r>
        <w:t xml:space="preserve"> </w:t>
      </w:r>
      <w:r>
        <w:t xml:space="preserve">Abstract 302 words; main text (Introduction through Conclusions) 4,078 words. Tables: 4. Figures: 3. References: 20.</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9"/>
    <w:bookmarkStart w:id="10"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0"/>
    <w:bookmarkStart w:id="11"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2"/>
    <w:bookmarkStart w:id="17" w:name="materials-and-methods"/>
    <w:p>
      <w:pPr>
        <w:pStyle w:val="Heading2"/>
      </w:pPr>
      <w:r>
        <w:t xml:space="preserve">Materials and Methods</w:t>
      </w:r>
    </w:p>
    <w:bookmarkStart w:id="13"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 We report the study in accordance with the Strengthening the Reporting of Observational Studies in Epidemiology (STROBE) guideline for cross-sectional studies.</w:t>
      </w:r>
    </w:p>
    <w:bookmarkEnd w:id="13"/>
    <w:bookmarkStart w:id="14"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4"/>
    <w:bookmarkStart w:id="15"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5"/>
    <w:bookmarkStart w:id="16"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from the corresponding author on reasonable request.</w:t>
      </w:r>
    </w:p>
    <w:bookmarkEnd w:id="16"/>
    <w:bookmarkEnd w:id="17"/>
    <w:bookmarkStart w:id="22" w:name="results"/>
    <w:p>
      <w:pPr>
        <w:pStyle w:val="Heading2"/>
      </w:pPr>
      <w:r>
        <w:t xml:space="preserve">Results</w:t>
      </w:r>
    </w:p>
    <w:bookmarkStart w:id="18"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8"/>
    <w:bookmarkStart w:id="19"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19"/>
    <w:bookmarkStart w:id="20"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0"/>
    <w:bookmarkStart w:id="21"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1"/>
    <w:bookmarkEnd w:id="22"/>
    <w:bookmarkStart w:id="28"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3"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4"/>
    <w:bookmarkStart w:id="25"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5"/>
    <w:bookmarkStart w:id="26"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6"/>
    <w:bookmarkStart w:id="27"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7"/>
    <w:bookmarkEnd w:id="28"/>
    <w:bookmarkStart w:id="29"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2"/>
    <w:bookmarkStart w:id="42" w:name="figures"/>
    <w:p>
      <w:pPr>
        <w:pStyle w:val="Heading2"/>
      </w:pPr>
      <w:r>
        <w:t xml:space="preserve">Figures</w:t>
      </w:r>
    </w:p>
    <w:p>
      <w:pPr>
        <w:pStyle w:val="FirstParagraph"/>
      </w:pPr>
      <w:r>
        <w:drawing>
          <wp:inline>
            <wp:extent cx="5334000" cy="3259666"/>
            <wp:effectExtent b="0" l="0" r="0" t="0"/>
            <wp:docPr descr="" title="" id="34" name="Picture"/>
            <a:graphic>
              <a:graphicData uri="http://schemas.openxmlformats.org/drawingml/2006/picture">
                <pic:pic>
                  <pic:nvPicPr>
                    <pic:cNvPr descr="/Volumes/MufflySamsung%201/sling-volume-patterns/output/figures/figure_rate_per_100k.png" id="35" name="Picture"/>
                    <pic:cNvPicPr>
                      <a:picLocks noChangeArrowheads="1" noChangeAspect="1"/>
                    </pic:cNvPicPr>
                  </pic:nvPicPr>
                  <pic:blipFill>
                    <a:blip r:embed="rId3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7" name="Picture"/>
            <a:graphic>
              <a:graphicData uri="http://schemas.openxmlformats.org/drawingml/2006/picture">
                <pic:pic>
                  <pic:nvPicPr>
                    <pic:cNvPr descr="/Volumes/MufflySamsung%201/sling-volume-patterns/output/figures/figure_market_share.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0" name="Picture"/>
            <a:graphic>
              <a:graphicData uri="http://schemas.openxmlformats.org/drawingml/2006/picture">
                <pic:pic>
                  <pic:nvPicPr>
                    <pic:cNvPr descr="/Volumes/MufflySamsung%201/sling-volume-patterns/output/figures/figure_classification_flow.png" id="41" name="Picture"/>
                    <pic:cNvPicPr>
                      <a:picLocks noChangeArrowheads="1" noChangeAspect="1"/>
                    </pic:cNvPicPr>
                  </pic:nvPicPr>
                  <pic:blipFill>
                    <a:blip r:embed="rId39"/>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2"/>
    <w:bookmarkStart w:id="43"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3"/>
    <w:bookmarkStart w:id="56" w:name="supplementary-figures"/>
    <w:p>
      <w:pPr>
        <w:pStyle w:val="Heading2"/>
      </w:pPr>
      <w:r>
        <w:t xml:space="preserve">Supplementary Figures</w:t>
      </w:r>
    </w:p>
    <w:p>
      <w:pPr>
        <w:pStyle w:val="FirstParagraph"/>
      </w:pPr>
      <w:r>
        <w:drawing>
          <wp:inline>
            <wp:extent cx="5334000" cy="3810000"/>
            <wp:effectExtent b="0" l="0" r="0" t="0"/>
            <wp:docPr descr="" title="" id="45" name="Picture"/>
            <a:graphic>
              <a:graphicData uri="http://schemas.openxmlformats.org/drawingml/2006/picture">
                <pic:pic>
                  <pic:nvPicPr>
                    <pic:cNvPr descr="/Volumes/MufflySamsung%201/sling-volume-patterns/output/figures/figure_2_volume_distribution.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8" name="Picture"/>
            <a:graphic>
              <a:graphicData uri="http://schemas.openxmlformats.org/drawingml/2006/picture">
                <pic:pic>
                  <pic:nvPicPr>
                    <pic:cNvPr descr="/Volumes/MufflySamsung%201/sling-volume-patterns/output/figures/figure_3_lorenz_curve.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1" name="Picture"/>
            <a:graphic>
              <a:graphicData uri="http://schemas.openxmlformats.org/drawingml/2006/picture">
                <pic:pic>
                  <pic:nvPicPr>
                    <pic:cNvPr descr="/Volumes/MufflySamsung%201/sling-volume-patterns/output/figures/figure_4_concentration_trend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4" name="Picture"/>
            <a:graphic>
              <a:graphicData uri="http://schemas.openxmlformats.org/drawingml/2006/picture">
                <pic:pic>
                  <pic:nvPicPr>
                    <pic:cNvPr descr="/Volumes/MufflySamsung%201/sling-volume-patterns/output/figures/figure_5_supply_trends.png" id="55"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6"/>
    <w:sectPr>
      <w:lnNumType w:countBy="1" w:distance="360"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2026-08-18T03:51:58Z</dcterms:created>
  <dcterms:modified xsi:type="dcterms:W3CDTF">2026-08-18T03:51:58Z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