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bookmarkStart w:id="9" w:name="abstract"/>
    <w:p>
      <w:pPr>
        <w:pStyle w:val="Heading2"/>
      </w:pPr>
      <w:r>
        <w:t xml:space="preserve">Abstract</w:t>
      </w:r>
    </w:p>
    <w:p>
      <w:pPr>
        <w:pStyle w:val="FirstParagraph"/>
      </w:pPr>
      <w:r>
        <w:rPr>
          <w:b/>
          <w:bCs/>
        </w:rPr>
        <w:t xml:space="preserve">Objective:</w:t>
      </w:r>
      <w:r>
        <w:t xml:space="preserve"> </w:t>
      </w:r>
      <w:r>
        <w:t xml:space="preserve">To describe the specialty distribution, annual surgeon volume, and surgeon-level concentration of physicians performing sling surgery for stress urinary incontinence (CPT 57288) in fee-for-service Medicare.</w:t>
      </w:r>
    </w:p>
    <w:p>
      <w:pPr>
        <w:pStyle w:val="BodyText"/>
      </w:pPr>
      <w:r>
        <w:rPr>
          <w:b/>
          <w:bCs/>
        </w:rPr>
        <w:t xml:space="preserve">Methods:</w:t>
      </w:r>
      <w:r>
        <w:t xml:space="preserve"> </w:t>
      </w:r>
      <w:r>
        <w:t xml:space="preserve">We analyzed the CMS Medicare Physician and Other Practitioners Public Use File across all 11 calendar years, 2013 through 2023. Physicians billing CPT 57288 were classified as Urogynecology and Reconstructive Pelvic Surgery (URPS), Minimally Invasive Gynecologic Surgery (MIGS), General OB/GYN, or non-URPS urology by combining CMS provider type with ABOG and ABU subspecialty rosters. We measured surgeon-level concentration with the Gini coefficient and HHI, both overall and by year. Annual volume was modeled with a Poisson generalized estimating equation clustered by NPI; a per-physician Kruskal-Wallis analysis was secondary. Market-share trends were evaluated under fixed-membership and certification-gated classifications designed to bound the likely trend, with modal and ever-URPS/MIGS sensitivity analyses.</w:t>
      </w:r>
    </w:p>
    <w:p>
      <w:pPr>
        <w:pStyle w:val="BodyText"/>
      </w:pPr>
      <w:r>
        <w:rPr>
          <w:b/>
          <w:bCs/>
        </w:rPr>
        <w:t xml:space="preserve">Results:</w:t>
      </w:r>
      <w:r>
        <w:t xml:space="preserve"> </w:t>
      </w:r>
      <w:r>
        <w:t xml:space="preserve">Across 2013 through 2023, 1,789 physicians performed 147,632 procedures across 6,937 physician-years. URPS was the largest group (767 physicians; 89,773 procedures, 60.8%; median 19/year [p25–p75, 14–28]), followed by non-URPS urology (689 physicians; 26.1%; median 16), General OB/GYN (336; 12.4%; median 15), and MIGS (10; 0.6%; median 16). Reported services fell from 16,399 in 2013 to 12,223 in 2023 (-25.5%), but the female Part B fee-for-service population contracted by -14.7% over the same period; after denominator adjustment the utilization rate declined only from 89.4 to 78.1 services per 100,000 (-12.6%; rate trend not significant, p = 0.139), with a 2020 nadir and partial recovery. Compared with URPS, adjusted annual volume was lower for urology (rate ratio [RR] 0.76 (0.67–0.87)), General OB/GYN (RR 0.68 (0.51–0.91)), and MIGS (RR 0.85 (0.55–1.32)). Volume fell by approximately 11% in 2020 (RR 0.88 (0.85–0.92); p &lt; 0.001); the specialty-by-year interaction showed flat per-physician trends for the well-populated groups (URPS RR 0.997 (0.990-1.005), urology RR 0.987 (0.973-1.002), General OB/GYN RR 0.997 (0.974-1.019)). Surgeon-level concentration was low and similar across the three well-populated groups, with overlapping bootstrap confidence intervals (Gini 0.52–0.56); within-year concentration remained low and stable (annual Gini approximately 0.26–0.28; p for trend = 0.733). URPS share increased by 0.90 percentage points per year (p &lt; 0.001), whereas urology (-0.55; p = 0.002) and General OB/GYN (-0.41; p = 0.004) declined. The increase remained significant under every classification scenario, and the two scenarios differed in the estimated rate of increase rather than the endpoint level. Under fixed membership URPS rose from 53.4% to 63.8% (+0.90 percentage points/year); under certification-gated classification it rose more steeply, from 42.2% to 62.8% (+1.52 percentage points/year), because pre-certification physicians count as generalists, and the two estimates converged by 2023. Newly observable surgeons performed 7.4%–22.5% of annual volume at a median of approximately 13 cases; URPS contributed the most entrants (480), while urology showed substantial turnover (421 entrants despite a declining share).</w:t>
      </w:r>
    </w:p>
    <w:p>
      <w:pPr>
        <w:pStyle w:val="BodyText"/>
      </w:pPr>
      <w:r>
        <w:rPr>
          <w:b/>
          <w:bCs/>
        </w:rPr>
        <w:t xml:space="preserve">Conclusions:</w:t>
      </w:r>
      <w:r>
        <w:t xml:space="preserve"> </w:t>
      </w:r>
      <w:r>
        <w:t xml:space="preserve">URPS physicians perform most sling operations for stress urinary incontinence in fee-for-service Medicare and have the highest adjusted per-physician volume; within-year surgeon-level concentration was low and stable and did not differ meaningfully across specialties. The rising URPS share reflects attrition among non-URPS providers rather than increasing surgeon-level concentration, with implications for credentialing and workforce planning.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Sling surgery is a common operation for stress urinary incontinence (SUI) and remains a standard surgical treatment when conservative care fails.</w:t>
      </w:r>
      <w:r>
        <w:rPr>
          <w:vertAlign w:val="superscript"/>
        </w:rPr>
        <w:t xml:space="preserve">1,2</w:t>
      </w:r>
      <w:r>
        <w:t xml:space="preserve"> </w:t>
      </w:r>
      <w:r>
        <w:t xml:space="preserve">These operations are reported under CPT 57288, whose descriptor is</w:t>
      </w:r>
      <w:r>
        <w:t xml:space="preserve"> </w:t>
      </w:r>
      <w:r>
        <w:t xml:space="preserve">“sling operation for stress incontinence (eg, fascia or synthetic).”</w:t>
      </w:r>
      <w:r>
        <w:t xml:space="preserve"> </w:t>
      </w:r>
      <w:r>
        <w:t xml:space="preserve">The code therefore captures autologous fascial and synthetic sling operations together and does not identify the sling material or distinguish retropubic, transobturator, single-incision, or pubovaginal technique. Despite the procedure’s widespread use, little is known about which specialties perform these operations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changed public perception of mesh and may have affected sling use.</w:t>
      </w:r>
      <w:r>
        <w:rPr>
          <w:vertAlign w:val="superscript"/>
        </w:rPr>
        <w:t xml:space="preserve">7</w:t>
      </w:r>
      <w:r>
        <w:t xml:space="preserve"> </w:t>
      </w:r>
      <w:r>
        <w:t xml:space="preserve">The 2019 FDA order concerned transvaginal mesh for pelvic organ prolapse and did not remove synthetic midurethral slings for stress incontinence from the market; the two devices are frequently conflated in public discussion. 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surgeon-level concentration among physicians performing sling surgery for stress urinary incontinence in fee-for-service Medicare from 2013 through 2023. We also evaluated changes in each specialty’s share of reported services over time.</w:t>
      </w:r>
    </w:p>
    <w:bookmarkEnd w:id="10"/>
    <w:bookmarkStart w:id="16"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All 11 annual PUF releases (2013 through 2023) were verified against the CMS file specifications for completeness before analysis.</w:t>
      </w:r>
    </w:p>
    <w:bookmarkEnd w:id="11"/>
    <w:bookmarkStart w:id="12"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Among OB/GYN physicians, the ABOG subspecialty registry (a snapshot of ABOG-certified diplomates linked to NPIs primarily by exact NPI match and, when needed, by full name and practice state)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 This yielded 1789-cohort assignments of URPS, MIGS, and General OB/GYN through the OB/GYN pathway.</w:t>
      </w:r>
    </w:p>
    <w:p>
      <w:pPr>
        <w:pStyle w:val="BodyText"/>
      </w:pPr>
      <w:r>
        <w:t xml:space="preserve">Providers billing CPT 57288 who had neither an OB/GYN nor urology CMS type and were not in the ABOG registry (323 physicians, mostly with adjacent surgical provider types) were grouped with urology, on the rationale that non-gynecologic sling surgeons in Medicare are predominantly urologists; because they represent a small fraction of the cohort, this choice has limited influence on the specialty distribution. A further 84 records from heterogeneous non-OB/GYN, non-urology provider types (for example general surgery and osteopathic manipulative medicine) were excluded.</w:t>
      </w:r>
    </w:p>
    <w:p>
      <w:pPr>
        <w:pStyle w:val="BodyText"/>
      </w:pPr>
      <w:r>
        <w:t xml:space="preserve">We then cross-referenced the American Board of Urology roster (355 urology-pathway urogynecologist NPIs) to identify urology-pathway urogynecologists; 151 cohort physicians matched. These physicians were combined with ABOG-certified urogynecologists into a single all-pathway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Because an all-pathway URPS group includes urology-trained subspecialists who are not gynecologists, we report the all-pathway URPS share separately from the OB/GYN-based share (URPS plus MIGS plus General OB/GYN, restricted to the OB/GYN training pathway), rather than a single</w:t>
      </w:r>
      <w:r>
        <w:t xml:space="preserve"> </w:t>
      </w:r>
      <w:r>
        <w:t xml:space="preserve">“gynecologic”</w:t>
      </w:r>
      <w:r>
        <w:t xml:space="preserve"> </w:t>
      </w:r>
      <w:r>
        <w:t xml:space="preserve">share.</w:t>
      </w:r>
    </w:p>
    <w:p>
      <w:pPr>
        <w:pStyle w:val="BodyText"/>
      </w:pPr>
      <w:r>
        <w:t xml:space="preserve">Specialty assignment could affect the estimated market-share trend because 45% of URPS physicians in the cohort were certified after 2013. We therefore examined two plausible classification scenarios that make opposite assumptions about pre-certification practice years. Fixed-membership classification assigns each physician’s eventual subspecialty to every study year; because it counts physicians as URPS before certification, it tends to produce a shallower estimated slope.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scenario removes some genuine pre-certification practice from the early URPS count and tends to produce a steeper estimated slope. We present these as plausible scenarios rather than formal statistical bounds, because neither assumption is guaranteed to bracket the true trend.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Suppression removes the lowest-volume physician-years and can bias the Gini coefficient and HHI in different directions, so the full-market concentration cannot be identified from the Public Use File. We therefore report bootstrap confidence intervals for the Gini coefficient and a sensitivity analysis that adds hypothetical suppressed low-volume providers before recomputing concentration.</w:t>
      </w:r>
    </w:p>
    <w:bookmarkEnd w:id="13"/>
    <w:bookmarkStart w:id="15" w:name="X46ca734e3ebd5db0ec3b7b3638b7437bae62243"/>
    <w:p>
      <w:pPr>
        <w:pStyle w:val="Heading3"/>
      </w:pPr>
      <w:r>
        <w:t xml:space="preserve">Outcome Measures and Statistical Analysis</w:t>
      </w:r>
    </w:p>
    <w:p>
      <w:pPr>
        <w:pStyle w:val="FirstParagraph"/>
      </w:pPr>
      <w:r>
        <w:t xml:space="preserve">The primary surgeon-level outcome was the annual number of CPT 57288 services per provider (Tot_Srvcs, reported services). To describe population utilization over time, we also computed the annual rate of CPT 57288 services per 100,000 female Part B fee-for-service Medicare beneficiaries, using the CMS Program Statistics Original Medicare Enrollment counts (table MDCR ENROLL AB 11, Sex = Female, Part B) as the denominator; absolute service counts are reported as a secondary measure. Because the Public Use File records no beneficiary age for the numerator, the rate is crude and is not age-standardized. We measured surgeon-level concentration with complementary metrics. The Gini coefficient summarizes inequality across the full surgeon-volume distribution, and we bootstrapped its 95% confidence interval by resampling providers. The Herfindahl–Hirschman Index (HHI) sums squared surgeon shares on a 0–10,000 scale and is more sensitive to the largest-volume surgeons. Because the minimum attainable HHI depends on the number of providers, we do not compare raw HHI directly across groups of very different size (URPS 767, General OB/GYN 336, MIGS 10 physicians); we also report the size-adjusted normalized HHI and the effective number of providers (1 divided by the sum of squared shares). Within-year concentration, computed separately for each calendar year, was the primary concentration measure; pooled multi-year values are secondary because they mix annual volume with how many years each physician remained observable.</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eleven annual observations, physician-year records were correlated. We modeled the annual count of reported services, conditional on the physician-year being observable (above the CMS suppression threshold), with a Poisson generalized estimating equation clustered by NPI, using an exchangeable working correlation and robust standard errors. Fixed effects were specialty (URPS reference), calendar year centered at 2018, a specialty-by-year interaction, and a 2020 COVID indicator. Centering at mid-study makes the specialty main effects the adjusted rate ratios at 2018; because the interaction makes the year term specialty-specific, we report each specialty’s annual slope as a marginal linear contrast (the year term plus its interaction) rather than a single overall time effect. We report adjusted rate ratios with 95% CIs. A negative-binomial mixed model with a random intercept for NPI was fit as a sensitivity analysis, and its estimates are reported alongside the GEE. Additional sensitivity analyses excluded calendar year 2020 and restricted the cohort to physicians observable in at least two years.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the URPS market-share trend, we modeled URPS services as a proportion of all annual services with a quasibinomial generalized linear model on calendar year (centered at 2018), which respects the compositional structure that separate ordinary least-squares regressions on annual percentages ignore. We express the trend as an odds ratio per year and as the marginal percentage-point change per year. Separate ordinary least-squares regressions of each specialty’s annual percentage share (URPS, urology, General OB/GYN) are reported as a descriptive sensitivity. MIGS was described without formal emphasis because only 10 physicians were identified.</w:t>
      </w:r>
    </w:p>
    <w:p>
      <w:pPr>
        <w:pStyle w:val="BodyText"/>
      </w:pPr>
      <w:r>
        <w:t xml:space="preserve">To describe workforce turnover, we used a two-year washout. A surgeon was classified as an entrant when observable in a given year but absent in both prior observable years; as continuing when observable and not an entrant; and as apparently exiting when absent in both subsequent observable years. We calculated entrant share of annual volume, median entrant volume, and entrants by specialty. Because CMS suppression removes providers below 11 beneficiaries, we use the term newly observable rather than definitively new sling surgeon.</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state-level population-based rates because state-by-sex fee-for-service enrollment denominators were outside the scope of this analysis; the national utilization rate above uses the national female Part B fee-for-service denominator.</w:t>
      </w:r>
    </w:p>
    <w:p>
      <w:pPr>
        <w:pStyle w:val="BodyText"/>
      </w:pPr>
      <w:r>
        <w:t xml:space="preserve">Analyses were performed in R 4.4, with package versions locked through renv. The complete analytic pipeline is available at</w:t>
      </w:r>
      <w:r>
        <w:t xml:space="preserve"> </w:t>
      </w:r>
      <w:hyperlink r:id="rId14">
        <w:r>
          <w:rPr>
            <w:rStyle w:val="Hyperlink"/>
          </w:rPr>
          <w:t xml:space="preserve">https://github.com/mufflyt/sling-volume-patterns</w:t>
        </w:r>
      </w:hyperlink>
      <w:r>
        <w:t xml:space="preserve">.</w:t>
      </w:r>
    </w:p>
    <w:bookmarkEnd w:id="15"/>
    <w:bookmarkEnd w:id="16"/>
    <w:bookmarkStart w:id="22" w:name="results"/>
    <w:p>
      <w:pPr>
        <w:pStyle w:val="Heading2"/>
      </w:pPr>
      <w:r>
        <w:t xml:space="preserve">Results</w:t>
      </w:r>
    </w:p>
    <w:bookmarkStart w:id="17" w:name="cohort-and-annual-volume"/>
    <w:p>
      <w:pPr>
        <w:pStyle w:val="Heading3"/>
      </w:pPr>
      <w:r>
        <w:t xml:space="preserve">Cohort and Annual Volume</w:t>
      </w:r>
    </w:p>
    <w:p>
      <w:pPr>
        <w:pStyle w:val="FirstParagraph"/>
      </w:pPr>
      <w:r>
        <w:t xml:space="preserve">Across the full 11-year window, 1,789 physicians billed CPT 57288, accounting for 147,632 observed services in 6,937 physician-year observations. Participation was intermittent: 560 physicians (31%) appeared in one year, 756 (42%) in 2–5 years, 365 (20%) in 6–10 years, and 108 (6%) in all 11 years. Thus, only a small proportion maintained an observable Medicare sling practice throughout the study window.</w:t>
      </w:r>
    </w:p>
    <w:p>
      <w:pPr>
        <w:pStyle w:val="BodyText"/>
      </w:pPr>
      <w:r>
        <w:t xml:space="preserve">The observed count of reported services fell from 16,399 in 2013 to 12,223 in 2023 (-25.5%). Over the same period, however, the female Part B fee-for-service population contracted from 18.35 million to 15.65 million beneficiaries (-14.7%), reflecting migration into Medicare Advantage. After denominator adjustment, the utilization rate declined more modestly, from 89.4 to 78.1 services per 100,000 female Part B fee-for-service beneficiaries (-12.6%), and the linear trend in the rate was not statistically significant (-1.65 per 100,000 per year; p = 0.139). The rate reached a low of 52.4 per 100,000 in 2020, consistent with pandemic-related deferral of elective surgery, then partially recovered. The number of observable surgeons also fell, from 812 to 562. Thus, much of the apparent decline in service counts reflected the shrinking fee-for-service denominator rather than a clear fall in age-eligible utilization.</w:t>
      </w:r>
    </w:p>
    <w:bookmarkEnd w:id="17"/>
    <w:bookmarkStart w:id="18" w:name="specialty-distribution-and-trends"/>
    <w:p>
      <w:pPr>
        <w:pStyle w:val="Heading3"/>
      </w:pPr>
      <w:r>
        <w:t xml:space="preserve">Specialty Distribution and Trends</w:t>
      </w:r>
    </w:p>
    <w:p>
      <w:pPr>
        <w:pStyle w:val="FirstParagraph"/>
      </w:pPr>
      <w:r>
        <w:t xml:space="preserve">URPS was the largest group: 767 physicians contributed 3,913 physician-years and 89,773 procedures (60.8%), with a median annual volume of 19 (p25–p75, 14–28). Non-URPS urology included 689 physicians, 2,032 physician-years, and 38,602 procedures (26.1%; median 16, 13–22). General OB/GYN included 336 physicians, 953 physician-years, and 18,316 procedures (12.4%; median 15, 12–22). MIGS included 10 physicians, 39 physician-years, and 941 procedures (0.6%; median 16, 12–24) (Table 1).</w:t>
      </w:r>
    </w:p>
    <w:p>
      <w:pPr>
        <w:pStyle w:val="BodyText"/>
      </w:pPr>
      <w:r>
        <w:t xml:space="preserve">Because 13 physicians changed specialty groups across years, specialty-specific physician counts exceed the unique cohort total. Including urology-pathway urogynecologists reassigned 151 physicians and 12,272 procedures from urology to URPS compared with an ABOG-only classification.</w:t>
      </w:r>
    </w:p>
    <w:p>
      <w:pPr>
        <w:pStyle w:val="BodyText"/>
      </w:pPr>
      <w:r>
        <w:t xml:space="preserve">Annual market shares moved in different directions (Table 1). URPS increased from 53.4% in 2013 to 63.8% in 2023 (+0.90 percentage points/year; 95% CI 0.51 to 1.28; p &lt; 0.001). Urology decreased from 30.7% to 23.1% (-0.55 percentage points/year; 95% CI -0.84 to -0.26; p = 0.002), and General OB/GYN decreased from 15.7% to 12.3% (-0.41 percentage points/year; 95% CI -0.66 to -0.17; p = 0.004). MIGS increased descriptively from 0.2% to 0.8% (+0.07 percentage points/year), but this estimate is based on only 10 physicians. In the quasibinomial model of URPS services out of all annual services, which respects the compositional structure, the URPS share rose from a fitted 56.5% in 2013 to 65.7% in 2023 (odds ratio 1.040 (95% CI 1.025-1.054) per year; 0.92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URPS increase was significant under every classification scenario, which differed in the estimated slope (Table 4). Fixed membership gave the shallower estimate because it counts physicians as URPS before certification: the all-pathway URPS share rose from 53.4% to 63.8% (+0.90 percentage points/year), and the OB/GYN-based share from 60.8% to 70.1% (+0.85 percentage points/year). Certification-gated classification gave the steeper estimate, from 42.2% to 62.8% (+1.52 percentage points/year), because it removes not-yet-certified physicians from the early URPS count; the two estimates converged near 62.8% by 2023.</w:t>
      </w:r>
    </w:p>
    <w:p>
      <w:pPr>
        <w:pStyle w:val="BodyText"/>
      </w:pPr>
      <w:r>
        <w:t xml:space="preserve">In the Poisson GEE clustered by NPI (calendar year centered at 2018), adjusted annual volume at mid-study was lower than URPS for every other group: urology RR 0.76 (0.67–0.87), General OB/GYN RR 0.68 (0.51–0.91), and MIGS RR 0.85 (0.55–1.32) (Table 3). Annual volume was approximately 11% lower in 2020 (RR 0.88 (0.85–0.92); p &lt; 0.001). The specialty-by-year interaction showed that per-physician volume did not change over time for the well-populated groups: the annual trend was flat for URPS (RR 0.997 (0.990-1.005); p = 0.516), urology (RR 0.987 (0.973-1.002); p = 0.091), and General OB/GYN (RR 0.997 (0.974-1.019); p = 0.761), and increased only for the 10-physician MIGS group (RR 1.084 (1.030-1.141); p = 0.002) (Table 3). A negative-binomial mixed model with a random intercept per NPI gave the same pattern of specialty differences (urology RR 0.86 (0.82–0.89), General OB/GYN RR 0.84 (0.80–0.88), 2020 RR 0.90 (0.88–0.93)). The one-observation-per-physician secondary analysis agreed (Kruskal-Wallis H = 66.6, df = 3, p &lt; 0.001); URPS volume exceeded both urology and General OB/GYN in pairwise comparisons (p &lt; 0.001).</w:t>
      </w:r>
    </w:p>
    <w:bookmarkEnd w:id="18"/>
    <w:bookmarkStart w:id="19" w:name="surgeon-volume-and-concentration"/>
    <w:p>
      <w:pPr>
        <w:pStyle w:val="Heading3"/>
      </w:pPr>
      <w:r>
        <w:t xml:space="preserve">Surgeon Volume and Concentration</w:t>
      </w:r>
    </w:p>
    <w:p>
      <w:pPr>
        <w:pStyle w:val="FirstParagraph"/>
      </w:pPr>
      <w:r>
        <w:t xml:space="preserve">The primary concentration analysis was within-year. Within-year concentration was low and stable across the study period: the annual Gini ranged from 0.26 to 0.28, with no temporal trend (p = 0.733), and the annual top 20% performed approximately 38% of cases. No specialty-specific annual Gini changed significantly (all p &gt; 0.15). Thus, care did not become concentrated among a smaller group of high-volume surgeons as the observable surgeon pool contracted.</w:t>
      </w:r>
    </w:p>
    <w:p>
      <w:pPr>
        <w:pStyle w:val="BodyText"/>
      </w:pPr>
      <w:r>
        <w:t xml:space="preserve">Pooled multi-year concentration was similar across the three well-populated groups, with overlapping confidence intervals: URPS Gini 0.52 (95% CI 0.50-0.54), urology Gini 0.53 (95% CI 0.51-0.55), and General OB/GYN Gini 0.56 (95% CI 0.52-0.60) (Table 2). The size-adjusted normalized HHI was near zero for every group (URPS 0.001, urology 0.002, General OB/GYN 0.006 on a 0–1 scale), and the effective number of providers was large (URPS 368, urology 282, General OB/GYN 112), indicating that sling volume was distributed across many surgeons rather than dominated by a few. Because the specialties differ several-fold in provider count, raw HHI is not directly comparable across them (Table 2). Adding hypothetical suppressed low-volume providers raised the Gini only modestly (Supplementary Table S9), so the low-concentration conclusion is robust to the unobserved tail. URPS had the highest median annual volume and upper quartile (median 19; p75 28). MIGS was excluded from these comparisons because only 10 physicians were identified (1–4 per year); its nominal Gini of 0.61 and HHI of 3,036 are not stable specialty-wide estimates.</w:t>
      </w:r>
    </w:p>
    <w:bookmarkEnd w:id="19"/>
    <w:bookmarkStart w:id="20" w:name="workforce-entry-and-exit"/>
    <w:p>
      <w:pPr>
        <w:pStyle w:val="Heading3"/>
      </w:pPr>
      <w:r>
        <w:t xml:space="preserve">Workforce Entry and Exit</w:t>
      </w:r>
    </w:p>
    <w:p>
      <w:pPr>
        <w:pStyle w:val="FirstParagraph"/>
      </w:pPr>
      <w:r>
        <w:t xml:space="preserve">Using the two-year washout (Table 5), 48–168 surgeons were newly observable each year and performed 7.4%–22.5% of annual volume. Their median annual volume was low, at approximately 13 procedures, consistent with surgeons appearing just above the CMS suppression threshold. Entry fell to 48 surgeons and 7.4% of volume in 2020, then rebounded to 168 surgeons and 22.5% of volume in 2022. Continuing surgeons (381–584 per year) performed most annual procedures, while apparent exits ranged from 66 to 230 per year.</w:t>
      </w:r>
    </w:p>
    <w:p>
      <w:pPr>
        <w:pStyle w:val="BodyText"/>
      </w:pPr>
      <w:r>
        <w:t xml:space="preserve">Across the study period, URPS contributed the most entrants (480), followed by urology (421), General OB/GYN (205), and MIGS (8). The rising URPS share reflected the largest inflow of newly observable surgeons together with a relatively stable continuing-URPS base (URPS surgeon count 385 to 338; per-physician volume unchanged). Urology showed substantial turnover but net attrition, and General OB/GYN lost both surgeons and market share.</w:t>
      </w:r>
    </w:p>
    <w:p>
      <w:pPr>
        <w:pStyle w:val="BodyText"/>
      </w:pPr>
      <w:r>
        <w:t xml:space="preserve">Because total service counts declined, the growth in URPS share represents a redistribution of a shrinking service pool toward URPS, not new procedure growth. All turnover counts describe newly observable rather than definitively new surgeons because low-volume providers are suppressed.</w:t>
      </w:r>
    </w:p>
    <w:bookmarkEnd w:id="20"/>
    <w:bookmarkStart w:id="21" w:name="geographic-distribution-secondary"/>
    <w:p>
      <w:pPr>
        <w:pStyle w:val="Heading3"/>
      </w:pPr>
      <w:r>
        <w:t xml:space="preserve">Geographic Distribution (Secondary)</w:t>
      </w:r>
    </w:p>
    <w:p>
      <w:pPr>
        <w:pStyle w:val="FirstParagraph"/>
      </w:pPr>
      <w:r>
        <w:t xml:space="preserve">Practice locations spanned 52 states and territories. The URPS share of observable sling surgeons varied from 100% in Hawaii and 82%–85% in Minnesota, the District of Columbia, and Connecticut to 15% in Nebraska. Alaska, North Dakota, Puerto Rico, and Wyoming had no observable URPS surgeon performing at least 11 Medicare slings in any study year. Because of CMS suppression, this finding indicates no observable higher-volume URPS surgeon, not necessarily no URPS physician. Population-based rates and formal geographic inequality measures were reserved for a separate access-focused analysis.</w:t>
      </w:r>
    </w:p>
    <w:bookmarkEnd w:id="21"/>
    <w:bookmarkEnd w:id="22"/>
    <w:bookmarkStart w:id="28" w:name="discussion"/>
    <w:p>
      <w:pPr>
        <w:pStyle w:val="Heading2"/>
      </w:pPr>
      <w:r>
        <w:t xml:space="preserve">Discussion</w:t>
      </w:r>
    </w:p>
    <w:p>
      <w:pPr>
        <w:pStyle w:val="FirstParagraph"/>
      </w:pPr>
      <w:r>
        <w:t xml:space="preserve">This national Medicare analysis produced three main findings. First, URPS physicians performed most sling operations for SUI (60.8%) and had the highest adjusted per-physician volume. Second, the URPS share increased over the decade as URPS surgeons entered the observable workforce and non-URPS surgeons left. Third, surgeon-level concentration remained low and stable despite a shrinking surgeon pool. Together, these findings indicate a change in workforce composition rather than intensification of individual practice or concentration of care.</w:t>
      </w:r>
    </w:p>
    <w:bookmarkStart w:id="23" w:name="X91e1c95b037f473535ecf00410a7735e835e926"/>
    <w:p>
      <w:pPr>
        <w:pStyle w:val="Heading3"/>
      </w:pPr>
      <w:r>
        <w:t xml:space="preserve">Specialty Distribution and the Historical Reversal</w:t>
      </w:r>
    </w:p>
    <w:p>
      <w:pPr>
        <w:pStyle w:val="FirstParagraph"/>
      </w:pPr>
      <w:r>
        <w:t xml:space="preserve">All-pathway URPS physicians performed approximately three-fifths of fee-for-service Medicare slings, and OB/GYN-trained physicians collectively performed the majority. Because the all-pathway URPS group also includes urology-trained subspecialists, the URPS share is not equivalent to a gynecologist share. This finding is consistent with contemporary practice-pattern data but reverses earlier Medicare-specific patterns. In ACS-NSQIP data from 2006 through 2013, James et al. reported that gynecologists performed 74.2% of sling procedures and urologists performed 25.8%.</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In Medicare data from 2002 through 2007, however, Rogo-Gupta et al. found that urologists performed most sling operations.</w:t>
      </w:r>
      <w:r>
        <w:rPr>
          <w:vertAlign w:val="superscript"/>
        </w:rPr>
        <w:t xml:space="preserve">11</w:t>
      </w:r>
      <w:r>
        <w:t xml:space="preserve"> </w:t>
      </w:r>
      <w:r>
        <w:t xml:space="preserve">Our 2013–2023 findings indicate that this historical pattern has reversed, with URPS now the largest single specialty group.</w:t>
      </w:r>
    </w:p>
    <w:p>
      <w:pPr>
        <w:pStyle w:val="BodyText"/>
      </w:pPr>
      <w:r>
        <w:t xml:space="preserve">Including both certification pathways was essential to this result. Cross-referencing the ABU roster reassigned 151 urology-typed physicians, representing 8.3% of all sling procedures, to URPS. The concentration estimate was robust: the pooled URPS Gini changed only from 0.52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3"/>
    <w:bookmarkStart w:id="24"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0.52–0.56, with overlapping confidence intervals across the well-populated groups) coexisted with size-adjusted normalized HHI values near zero and effective provider counts in the hundreds. In other words, sling volume was distributed unevenly across many surgeons but was not dominated by a few, and the well-populated specialties did not differ meaningfully in concentration. Because the physician was the production unit, these values describe surgeon-level procedural concentration rather than market competition, and they should not be interpreted using antitrust thresholds.</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Medicare medians of 15–19 procedures per year fall below these thresholds. However, the PUF omits commercially insured, Medicare Advantage, and younger patients, so total practice volume is higher. In addition, providers below the CMS suppression threshold are absent.</w:t>
      </w:r>
    </w:p>
    <w:bookmarkEnd w:id="24"/>
    <w:bookmarkStart w:id="25"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URPS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5"/>
    <w:bookmarkStart w:id="26"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suppression can bias the Gini coefficient and HHI in different directions, and the full-market concentration cannot be identified from the Public Use File, although a sensitivity analysis adding hypothetical suppressed providers left the low-concentration conclusion unchanged.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and the 323 providers reclassified from an adjacent provider type to urology could be misassigned. Fourth, the market-share trend is estimated under plausible classification scenarios rather than point-identified. Certification follows the start of subspecialty practice, so the certification-gated scenario assigns some pre-certification practice years to General OB/GYN or urology, whereas fixed membership assigns physicians to URPS before they subspecialized. We present these as plausible scenarios, not formal bounds; point identification would require unavailable fellowship-completion dates.</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6"/>
    <w:bookmarkStart w:id="27" w:name="strengths"/>
    <w:p>
      <w:pPr>
        <w:pStyle w:val="Heading3"/>
      </w:pPr>
      <w:r>
        <w:t xml:space="preserve">Strengths</w:t>
      </w:r>
    </w:p>
    <w:p>
      <w:pPr>
        <w:pStyle w:val="FirstParagraph"/>
      </w:pPr>
      <w:r>
        <w:t xml:space="preserve">Strengths include a national, complete sample of fee-for-service Medicare claims; identification of urogynecologists through both certification pathways; complementary surgeon-level concentration measures calculated both overall and by year; a model that accounts for repeated observations within physicians; and a fully reproducible analytic pipeline.</w:t>
      </w:r>
    </w:p>
    <w:bookmarkEnd w:id="27"/>
    <w:bookmarkEnd w:id="28"/>
    <w:bookmarkStart w:id="29" w:name="conclusions"/>
    <w:p>
      <w:pPr>
        <w:pStyle w:val="Heading2"/>
      </w:pPr>
      <w:r>
        <w:t xml:space="preserve">Conclusions</w:t>
      </w:r>
    </w:p>
    <w:p>
      <w:pPr>
        <w:pStyle w:val="FirstParagraph"/>
      </w:pPr>
      <w:r>
        <w:t xml:space="preserve">In this national fee-for-service Medicare cohort, URPS physicians performed most sling operations for SUI and had the highest adjusted per-physician volume. Within-year surgeon-level concentration was low and stable and did not differ meaningfully across the well-populated specialties. The growing URPS share reflected attrition among non-URPS providers rather than increasing surgeon-level concentration. These workforce shifts should inform training requirements, credentialing standards, and access planning for pelvic floor surgical care.</w:t>
      </w:r>
    </w:p>
    <w:bookmarkEnd w:id="29"/>
    <w:bookmarkStart w:id="31"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0">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(combined URPS). Δ share is the annual percentage-point change from ordinary least-squares regression on calendar year. Specialty-specific physician counts exceed 1,789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02"/>
        <w:gridCol w:w="952"/>
        <w:gridCol w:w="852"/>
        <w:gridCol w:w="651"/>
        <w:gridCol w:w="501"/>
        <w:gridCol w:w="1102"/>
        <w:gridCol w:w="601"/>
        <w:gridCol w:w="601"/>
        <w:gridCol w:w="1253"/>
        <w:gridCol w:w="401"/>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Procedures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w:t>
            </w:r>
          </w:p>
        </w:tc>
        <w:tc>
          <w:tcPr/>
          <w:p>
            <w:pPr>
              <w:pStyle w:val="Compact"/>
            </w:pPr>
            <w:r>
              <w:t xml:space="preserve">767</w:t>
            </w:r>
          </w:p>
        </w:tc>
        <w:tc>
          <w:tcPr/>
          <w:p>
            <w:pPr>
              <w:pStyle w:val="Compact"/>
            </w:pPr>
            <w:r>
              <w:t xml:space="preserve">3,913</w:t>
            </w:r>
          </w:p>
        </w:tc>
        <w:tc>
          <w:tcPr/>
          <w:p>
            <w:pPr>
              <w:pStyle w:val="Compact"/>
            </w:pPr>
            <w:r>
              <w:t xml:space="preserve">89,773</w:t>
            </w:r>
          </w:p>
        </w:tc>
        <w:tc>
          <w:tcPr/>
          <w:p>
            <w:pPr>
              <w:pStyle w:val="Compact"/>
            </w:pPr>
            <w:r>
              <w:t xml:space="preserve">60.8%</w:t>
            </w:r>
          </w:p>
        </w:tc>
        <w:tc>
          <w:tcPr/>
          <w:p>
            <w:pPr>
              <w:pStyle w:val="Compact"/>
            </w:pPr>
            <w:r>
              <w:t xml:space="preserve">19 (14–28)</w:t>
            </w:r>
          </w:p>
        </w:tc>
        <w:tc>
          <w:tcPr/>
          <w:p>
            <w:pPr>
              <w:pStyle w:val="Compact"/>
            </w:pPr>
            <w:r>
              <w:t xml:space="preserve">53.4%</w:t>
            </w:r>
          </w:p>
        </w:tc>
        <w:tc>
          <w:tcPr/>
          <w:p>
            <w:pPr>
              <w:pStyle w:val="Compact"/>
            </w:pPr>
            <w:r>
              <w:t xml:space="preserve">63.8%</w:t>
            </w:r>
          </w:p>
        </w:tc>
        <w:tc>
          <w:tcPr/>
          <w:p>
            <w:pPr>
              <w:pStyle w:val="Compact"/>
            </w:pPr>
            <w:r>
              <w:t xml:space="preserve">+0.90 (0.51 to 1.28)</w:t>
            </w:r>
          </w:p>
        </w:tc>
        <w:tc>
          <w:tcPr/>
          <w:p>
            <w:pPr>
              <w:pStyle w:val="Compact"/>
            </w:pPr>
            <w:r>
              <w:t xml:space="preserve">&lt;0.001</w:t>
            </w:r>
          </w:p>
        </w:tc>
      </w:tr>
      <w:tr>
        <w:tc>
          <w:tcPr/>
          <w:p>
            <w:pPr>
              <w:pStyle w:val="Compact"/>
            </w:pPr>
            <w:r>
              <w:t xml:space="preserve">Urology (non-URPS)</w:t>
            </w:r>
          </w:p>
        </w:tc>
        <w:tc>
          <w:tcPr/>
          <w:p>
            <w:pPr>
              <w:pStyle w:val="Compact"/>
            </w:pPr>
            <w:r>
              <w:t xml:space="preserve">689</w:t>
            </w:r>
          </w:p>
        </w:tc>
        <w:tc>
          <w:tcPr/>
          <w:p>
            <w:pPr>
              <w:pStyle w:val="Compact"/>
            </w:pPr>
            <w:r>
              <w:t xml:space="preserve">2,032</w:t>
            </w:r>
          </w:p>
        </w:tc>
        <w:tc>
          <w:tcPr/>
          <w:p>
            <w:pPr>
              <w:pStyle w:val="Compact"/>
            </w:pPr>
            <w:r>
              <w:t xml:space="preserve">38,602</w:t>
            </w:r>
          </w:p>
        </w:tc>
        <w:tc>
          <w:tcPr/>
          <w:p>
            <w:pPr>
              <w:pStyle w:val="Compact"/>
            </w:pPr>
            <w:r>
              <w:t xml:space="preserve">26.1%</w:t>
            </w:r>
          </w:p>
        </w:tc>
        <w:tc>
          <w:tcPr/>
          <w:p>
            <w:pPr>
              <w:pStyle w:val="Compact"/>
            </w:pPr>
            <w:r>
              <w:t xml:space="preserve">16 (13–22)</w:t>
            </w:r>
          </w:p>
        </w:tc>
        <w:tc>
          <w:tcPr/>
          <w:p>
            <w:pPr>
              <w:pStyle w:val="Compact"/>
            </w:pPr>
            <w:r>
              <w:t xml:space="preserve">30.7%</w:t>
            </w:r>
          </w:p>
        </w:tc>
        <w:tc>
          <w:tcPr/>
          <w:p>
            <w:pPr>
              <w:pStyle w:val="Compact"/>
            </w:pPr>
            <w:r>
              <w:t xml:space="preserve">23.1%</w:t>
            </w:r>
          </w:p>
        </w:tc>
        <w:tc>
          <w:tcPr/>
          <w:p>
            <w:pPr>
              <w:pStyle w:val="Compact"/>
            </w:pPr>
            <w:r>
              <w:t xml:space="preserve">-0.55 (-0.84 to -0.26)</w:t>
            </w:r>
          </w:p>
        </w:tc>
        <w:tc>
          <w:tcPr/>
          <w:p>
            <w:pPr>
              <w:pStyle w:val="Compact"/>
            </w:pPr>
            <w:r>
              <w:t xml:space="preserve">0.002</w:t>
            </w:r>
          </w:p>
        </w:tc>
      </w:tr>
      <w:tr>
        <w:tc>
          <w:tcPr/>
          <w:p>
            <w:pPr>
              <w:pStyle w:val="Compact"/>
            </w:pPr>
            <w:r>
              <w:t xml:space="preserve">General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12.4%</w:t>
            </w:r>
          </w:p>
        </w:tc>
        <w:tc>
          <w:tcPr/>
          <w:p>
            <w:pPr>
              <w:pStyle w:val="Compact"/>
            </w:pPr>
            <w:r>
              <w:t xml:space="preserve">15 (12–22)</w:t>
            </w:r>
          </w:p>
        </w:tc>
        <w:tc>
          <w:tcPr/>
          <w:p>
            <w:pPr>
              <w:pStyle w:val="Compact"/>
            </w:pPr>
            <w:r>
              <w:t xml:space="preserve">15.7%</w:t>
            </w:r>
          </w:p>
        </w:tc>
        <w:tc>
          <w:tcPr/>
          <w:p>
            <w:pPr>
              <w:pStyle w:val="Compact"/>
            </w:pPr>
            <w:r>
              <w:t xml:space="preserve">12.3%</w:t>
            </w:r>
          </w:p>
        </w:tc>
        <w:tc>
          <w:tcPr/>
          <w:p>
            <w:pPr>
              <w:pStyle w:val="Compact"/>
            </w:pPr>
            <w:r>
              <w:t xml:space="preserve">-0.41 (-0.66 to -0.17)</w:t>
            </w:r>
          </w:p>
        </w:tc>
        <w:tc>
          <w:tcPr/>
          <w:p>
            <w:pPr>
              <w:pStyle w:val="Compact"/>
            </w:pPr>
            <w:r>
              <w:t xml:space="preserve">0.004</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0.6%</w:t>
            </w:r>
          </w:p>
        </w:tc>
        <w:tc>
          <w:tcPr/>
          <w:p>
            <w:pPr>
              <w:pStyle w:val="Compact"/>
            </w:pPr>
            <w:r>
              <w:t xml:space="preserve">16 (12–24)</w:t>
            </w:r>
          </w:p>
        </w:tc>
        <w:tc>
          <w:tcPr/>
          <w:p>
            <w:pPr>
              <w:pStyle w:val="Compact"/>
            </w:pPr>
            <w:r>
              <w:t xml:space="preserve">0.2%</w:t>
            </w:r>
          </w:p>
        </w:tc>
        <w:tc>
          <w:tcPr/>
          <w:p>
            <w:pPr>
              <w:pStyle w:val="Compact"/>
            </w:pPr>
            <w:r>
              <w:t xml:space="preserve">0.8%</w:t>
            </w:r>
          </w:p>
        </w:tc>
        <w:tc>
          <w:tcPr/>
          <w:p>
            <w:pPr>
              <w:pStyle w:val="Compact"/>
            </w:pPr>
            <w:r>
              <w:t xml:space="preserve">+0.07 (0.03 to 0.11)*</w:t>
            </w:r>
          </w:p>
        </w:tc>
        <w:tc>
          <w:tcPr/>
          <w:p>
            <w:pPr>
              <w:pStyle w:val="Compact"/>
            </w:pPr>
            <w:r>
              <w:t xml:space="preserve">0.005</w:t>
            </w:r>
          </w:p>
        </w:tc>
      </w:tr>
      <w:tr>
        <w:tc>
          <w:tcPr/>
          <w:p>
            <w:pPr>
              <w:pStyle w:val="Compact"/>
            </w:pPr>
            <w:r>
              <w:rPr>
                <w:b/>
                <w:bCs/>
              </w:rPr>
              <w:t xml:space="preserve">Total</w:t>
            </w:r>
          </w:p>
        </w:tc>
        <w:tc>
          <w:tcPr/>
          <w:p>
            <w:pPr>
              <w:pStyle w:val="Compact"/>
            </w:pPr>
            <w:r>
              <w:rPr>
                <w:b/>
                <w:bCs/>
              </w:rPr>
              <w:t xml:space="preserve">1,789</w:t>
            </w:r>
          </w:p>
        </w:tc>
        <w:tc>
          <w:tcPr/>
          <w:p>
            <w:pPr>
              <w:pStyle w:val="Compact"/>
            </w:pPr>
            <w:r>
              <w:rPr>
                <w:b/>
                <w:bCs/>
              </w:rPr>
              <w:t xml:space="preserve">6,937</w:t>
            </w:r>
          </w:p>
        </w:tc>
        <w:tc>
          <w:tcPr/>
          <w:p>
            <w:pPr>
              <w:pStyle w:val="Compact"/>
            </w:pPr>
            <w:r>
              <w:rPr>
                <w:b/>
                <w:bCs/>
              </w:rPr>
              <w:t xml:space="preserve">147,632</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320"/>
        <w:gridCol w:w="858"/>
        <w:gridCol w:w="396"/>
        <w:gridCol w:w="1056"/>
        <w:gridCol w:w="1056"/>
        <w:gridCol w:w="1386"/>
        <w:gridCol w:w="924"/>
        <w:gridCol w:w="924"/>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767</w:t>
            </w:r>
          </w:p>
        </w:tc>
        <w:tc>
          <w:tcPr/>
          <w:p>
            <w:pPr>
              <w:pStyle w:val="Compact"/>
            </w:pPr>
            <w:r>
              <w:t xml:space="preserve">0.52</w:t>
            </w:r>
          </w:p>
        </w:tc>
        <w:tc>
          <w:tcPr/>
          <w:p>
            <w:pPr>
              <w:pStyle w:val="Compact"/>
            </w:pPr>
            <w:r>
              <w:t xml:space="preserve">27</w:t>
            </w:r>
          </w:p>
        </w:tc>
        <w:tc>
          <w:tcPr/>
          <w:p>
            <w:pPr>
              <w:pStyle w:val="Compact"/>
            </w:pPr>
            <w:r>
              <w:t xml:space="preserve">0.001</w:t>
            </w:r>
          </w:p>
        </w:tc>
        <w:tc>
          <w:tcPr/>
          <w:p>
            <w:pPr>
              <w:pStyle w:val="Compact"/>
            </w:pPr>
            <w:r>
              <w:t xml:space="preserve">368</w:t>
            </w:r>
          </w:p>
        </w:tc>
        <w:tc>
          <w:tcPr/>
          <w:p>
            <w:pPr>
              <w:pStyle w:val="Compact"/>
            </w:pPr>
            <w:r>
              <w:t xml:space="preserve">34.4%</w:t>
            </w:r>
          </w:p>
        </w:tc>
        <w:tc>
          <w:tcPr/>
          <w:p>
            <w:pPr>
              <w:pStyle w:val="Compact"/>
            </w:pPr>
            <w:r>
              <w:t xml:space="preserve">53.9%</w:t>
            </w:r>
          </w:p>
        </w:tc>
      </w:tr>
      <w:tr>
        <w:tc>
          <w:tcPr/>
          <w:p>
            <w:pPr>
              <w:pStyle w:val="Compact"/>
            </w:pPr>
            <w:r>
              <w:t xml:space="preserve">Urology (non-URPS)</w:t>
            </w:r>
          </w:p>
        </w:tc>
        <w:tc>
          <w:tcPr/>
          <w:p>
            <w:pPr>
              <w:pStyle w:val="Compact"/>
            </w:pPr>
            <w:r>
              <w:t xml:space="preserve">689</w:t>
            </w:r>
          </w:p>
        </w:tc>
        <w:tc>
          <w:tcPr/>
          <w:p>
            <w:pPr>
              <w:pStyle w:val="Compact"/>
            </w:pPr>
            <w:r>
              <w:t xml:space="preserve">0.53</w:t>
            </w:r>
          </w:p>
        </w:tc>
        <w:tc>
          <w:tcPr/>
          <w:p>
            <w:pPr>
              <w:pStyle w:val="Compact"/>
            </w:pPr>
            <w:r>
              <w:t xml:space="preserve">35</w:t>
            </w:r>
          </w:p>
        </w:tc>
        <w:tc>
          <w:tcPr/>
          <w:p>
            <w:pPr>
              <w:pStyle w:val="Compact"/>
            </w:pPr>
            <w:r>
              <w:t xml:space="preserve">0.002</w:t>
            </w:r>
          </w:p>
        </w:tc>
        <w:tc>
          <w:tcPr/>
          <w:p>
            <w:pPr>
              <w:pStyle w:val="Compact"/>
            </w:pPr>
            <w:r>
              <w:t xml:space="preserve">282</w:t>
            </w:r>
          </w:p>
        </w:tc>
        <w:tc>
          <w:tcPr/>
          <w:p>
            <w:pPr>
              <w:pStyle w:val="Compact"/>
            </w:pPr>
            <w:r>
              <w:t xml:space="preserve">39.5%</w:t>
            </w:r>
          </w:p>
        </w:tc>
        <w:tc>
          <w:tcPr/>
          <w:p>
            <w:pPr>
              <w:pStyle w:val="Compact"/>
            </w:pPr>
            <w:r>
              <w:t xml:space="preserve">58.7%</w:t>
            </w:r>
          </w:p>
        </w:tc>
      </w:tr>
      <w:tr>
        <w:tc>
          <w:tcPr/>
          <w:p>
            <w:pPr>
              <w:pStyle w:val="Compact"/>
            </w:pPr>
            <w:r>
              <w:t xml:space="preserve">General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 (at 2018)</w:t>
            </w:r>
          </w:p>
        </w:tc>
        <w:tc>
          <w:tcPr/>
          <w:p>
            <w:pPr>
              <w:pStyle w:val="Compact"/>
            </w:pPr>
            <w:r>
              <w:t xml:space="preserve">0.76 (0.67–0.87)</w:t>
            </w:r>
          </w:p>
        </w:tc>
        <w:tc>
          <w:tcPr/>
          <w:p>
            <w:pPr>
              <w:pStyle w:val="Compact"/>
            </w:pPr>
            <w:r>
              <w:t xml:space="preserve">&lt;0.001</w:t>
            </w:r>
          </w:p>
        </w:tc>
      </w:tr>
      <w:tr>
        <w:tc>
          <w:tcPr/>
          <w:p>
            <w:pPr>
              <w:pStyle w:val="Compact"/>
            </w:pPr>
            <w:r>
              <w:t xml:space="preserve">General OB/GYN vs URPS (at 2018)</w:t>
            </w:r>
          </w:p>
        </w:tc>
        <w:tc>
          <w:tcPr/>
          <w:p>
            <w:pPr>
              <w:pStyle w:val="Compact"/>
            </w:pPr>
            <w:r>
              <w:t xml:space="preserve">0.68 (0.51–0.91)</w:t>
            </w:r>
          </w:p>
        </w:tc>
        <w:tc>
          <w:tcPr/>
          <w:p>
            <w:pPr>
              <w:pStyle w:val="Compact"/>
            </w:pPr>
            <w:r>
              <w:t xml:space="preserve">0.009</w:t>
            </w:r>
          </w:p>
        </w:tc>
      </w:tr>
      <w:tr>
        <w:tc>
          <w:tcPr/>
          <w:p>
            <w:pPr>
              <w:pStyle w:val="Compact"/>
            </w:pPr>
            <w:r>
              <w:t xml:space="preserve">MIGS vs URPS (at 2018)</w:t>
            </w:r>
          </w:p>
        </w:tc>
        <w:tc>
          <w:tcPr/>
          <w:p>
            <w:pPr>
              <w:pStyle w:val="Compact"/>
            </w:pPr>
            <w:r>
              <w:t xml:space="preserve">0.85 (0.55–1.32)</w:t>
            </w:r>
          </w:p>
        </w:tc>
        <w:tc>
          <w:tcPr/>
          <w:p>
            <w:pPr>
              <w:pStyle w:val="Compact"/>
            </w:pPr>
            <w:r>
              <w:t xml:space="preserve">0.466</w:t>
            </w:r>
          </w:p>
        </w:tc>
      </w:tr>
      <w:tr>
        <w:tc>
          <w:tcPr/>
          <w:p>
            <w:pPr>
              <w:pStyle w:val="Compact"/>
            </w:pPr>
            <w:r>
              <w:t xml:space="preserve">2020 (COVID) indicator</w:t>
            </w:r>
          </w:p>
        </w:tc>
        <w:tc>
          <w:tcPr/>
          <w:p>
            <w:pPr>
              <w:pStyle w:val="Compact"/>
            </w:pPr>
            <w:r>
              <w:t xml:space="preserve">0.88 (0.85–0.92)</w:t>
            </w:r>
          </w:p>
        </w:tc>
        <w:tc>
          <w:tcPr/>
          <w:p>
            <w:pPr>
              <w:pStyle w:val="Compact"/>
            </w:pPr>
            <w:r>
              <w:t xml:space="preserve">&lt;0.001</w:t>
            </w:r>
          </w:p>
        </w:tc>
      </w:tr>
      <w:tr>
        <w:tc>
          <w:tcPr/>
          <w:p>
            <w:pPr>
              <w:pStyle w:val="Compact"/>
            </w:pPr>
            <w:r>
              <w:t xml:space="preserve">Annual trend, URPS</w:t>
            </w:r>
          </w:p>
        </w:tc>
        <w:tc>
          <w:tcPr/>
          <w:p>
            <w:pPr>
              <w:pStyle w:val="Compact"/>
            </w:pPr>
            <w:r>
              <w:t xml:space="preserve">0.997 (0.990-1.005)</w:t>
            </w:r>
          </w:p>
        </w:tc>
        <w:tc>
          <w:tcPr/>
          <w:p>
            <w:pPr>
              <w:pStyle w:val="Compact"/>
            </w:pPr>
            <w:r>
              <w:t xml:space="preserve">0.516</w:t>
            </w:r>
          </w:p>
        </w:tc>
      </w:tr>
      <w:tr>
        <w:tc>
          <w:tcPr/>
          <w:p>
            <w:pPr>
              <w:pStyle w:val="Compact"/>
            </w:pPr>
            <w:r>
              <w:t xml:space="preserve">Annual trend, urology</w:t>
            </w:r>
          </w:p>
        </w:tc>
        <w:tc>
          <w:tcPr/>
          <w:p>
            <w:pPr>
              <w:pStyle w:val="Compact"/>
            </w:pPr>
            <w:r>
              <w:t xml:space="preserve">0.987 (0.973-1.002)</w:t>
            </w:r>
          </w:p>
        </w:tc>
        <w:tc>
          <w:tcPr/>
          <w:p>
            <w:pPr>
              <w:pStyle w:val="Compact"/>
            </w:pPr>
            <w:r>
              <w:t xml:space="preserve">0.091</w:t>
            </w:r>
          </w:p>
        </w:tc>
      </w:tr>
      <w:tr>
        <w:tc>
          <w:tcPr/>
          <w:p>
            <w:pPr>
              <w:pStyle w:val="Compact"/>
            </w:pPr>
            <w:r>
              <w:t xml:space="preserve">Annual trend, General OB/GYN</w:t>
            </w:r>
          </w:p>
        </w:tc>
        <w:tc>
          <w:tcPr/>
          <w:p>
            <w:pPr>
              <w:pStyle w:val="Compact"/>
            </w:pPr>
            <w:r>
              <w:t xml:space="preserve">0.997 (0.974-1.019)</w:t>
            </w:r>
          </w:p>
        </w:tc>
        <w:tc>
          <w:tcPr/>
          <w:p>
            <w:pPr>
              <w:pStyle w:val="Compact"/>
            </w:pPr>
            <w:r>
              <w:t xml:space="preserve">0.761</w:t>
            </w:r>
          </w:p>
        </w:tc>
      </w:tr>
      <w:tr>
        <w:tc>
          <w:tcPr/>
          <w:p>
            <w:pPr>
              <w:pStyle w:val="Compact"/>
            </w:pPr>
            <w:r>
              <w:t xml:space="preserve">Annual trend, MIGS</w:t>
            </w:r>
          </w:p>
        </w:tc>
        <w:tc>
          <w:tcPr/>
          <w:p>
            <w:pPr>
              <w:pStyle w:val="Compact"/>
            </w:pPr>
            <w:r>
              <w:t xml:space="preserve">1.084 (1.030-1.141)</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60.8% → 70.1%</w:t>
            </w:r>
          </w:p>
        </w:tc>
        <w:tc>
          <w:tcPr/>
          <w:p>
            <w:pPr>
              <w:pStyle w:val="Compact"/>
            </w:pPr>
            <w:r>
              <w:t xml:space="preserve">0.85</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53.4% → 63.8%</w:t>
            </w:r>
          </w:p>
        </w:tc>
        <w:tc>
          <w:tcPr/>
          <w:p>
            <w:pPr>
              <w:pStyle w:val="Compact"/>
            </w:pPr>
            <w:r>
              <w:t xml:space="preserve">0.90</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0.97</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0.95</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42.2% → 62.8%</w:t>
            </w:r>
          </w:p>
        </w:tc>
        <w:tc>
          <w:tcPr/>
          <w:p>
            <w:pPr>
              <w:pStyle w:val="Compact"/>
            </w:pPr>
            <w:r>
              <w:rPr>
                <w:b/>
                <w:bCs/>
              </w:rPr>
              <w:t xml:space="preserve">1.52</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0.54</w:t>
            </w:r>
          </w:p>
        </w:tc>
        <w:tc>
          <w:tcPr/>
          <w:p>
            <w:pPr>
              <w:pStyle w:val="Compact"/>
            </w:pPr>
            <w:r>
              <w:t xml:space="preserve">&lt;0.001</w:t>
            </w:r>
          </w:p>
        </w:tc>
      </w:tr>
    </w:tbl>
    <w:p>
      <w:pPr>
        <w:pStyle w:val="BodyText"/>
      </w:pPr>
      <w:r>
        <w:rPr>
          <w:b/>
          <w:bCs/>
        </w:rPr>
        <w:t xml:space="preserve">Table 5.</w:t>
      </w:r>
      <w:r>
        <w:t xml:space="preserve"> </w:t>
      </w:r>
      <w:r>
        <w:t xml:space="preserve">Annual sling workforce dynamics using a two-year washout. Entrants were absent in both prior observable years; apparent exits were absent in both subsequent observable years. Entrant and continuing counts are undefined for the first two years, and exit counts are undefined for the last two years.</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n/a</w:t>
            </w:r>
          </w:p>
        </w:tc>
        <w:tc>
          <w:tcPr/>
          <w:p>
            <w:pPr>
              <w:pStyle w:val="Compact"/>
            </w:pPr>
            <w:r>
              <w:t xml:space="preserve">n/a</w:t>
            </w:r>
          </w:p>
        </w:tc>
        <w:tc>
          <w:tcPr/>
          <w:p>
            <w:pPr>
              <w:pStyle w:val="Compact"/>
            </w:pPr>
            <w:r>
              <w:t xml:space="preserve">214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685</w:t>
            </w:r>
          </w:p>
        </w:tc>
        <w:tc>
          <w:tcPr/>
          <w:p>
            <w:pPr>
              <w:pStyle w:val="Compact"/>
            </w:pPr>
            <w:r>
              <w:t xml:space="preserve">n/a</w:t>
            </w:r>
          </w:p>
        </w:tc>
        <w:tc>
          <w:tcPr/>
          <w:p>
            <w:pPr>
              <w:pStyle w:val="Compact"/>
            </w:pPr>
            <w:r>
              <w:t xml:space="preserve">n/a</w:t>
            </w:r>
          </w:p>
        </w:tc>
        <w:tc>
          <w:tcPr/>
          <w:p>
            <w:pPr>
              <w:pStyle w:val="Compact"/>
            </w:pPr>
            <w:r>
              <w:t xml:space="preserve">164</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129</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126</w:t>
            </w:r>
          </w:p>
        </w:tc>
        <w:tc>
          <w:tcPr/>
          <w:p>
            <w:pPr>
              <w:pStyle w:val="Compact"/>
            </w:pPr>
            <w:r>
              <w:t xml:space="preserve">15.3%</w:t>
            </w:r>
          </w:p>
        </w:tc>
        <w:tc>
          <w:tcPr/>
          <w:p>
            <w:pPr>
              <w:pStyle w:val="Compact"/>
            </w:pPr>
            <w:r>
              <w:t xml:space="preserve">13</w:t>
            </w:r>
          </w:p>
        </w:tc>
      </w:tr>
      <w:tr>
        <w:tc>
          <w:tcPr/>
          <w:p>
            <w:pPr>
              <w:pStyle w:val="Compact"/>
            </w:pPr>
            <w:r>
              <w:t xml:space="preserve">2017</w:t>
            </w:r>
          </w:p>
        </w:tc>
        <w:tc>
          <w:tcPr/>
          <w:p>
            <w:pPr>
              <w:pStyle w:val="Compact"/>
            </w:pPr>
            <w:r>
              <w:t xml:space="preserve">735</w:t>
            </w:r>
          </w:p>
        </w:tc>
        <w:tc>
          <w:tcPr/>
          <w:p>
            <w:pPr>
              <w:pStyle w:val="Compact"/>
            </w:pPr>
            <w:r>
              <w:t xml:space="preserve">151</w:t>
            </w:r>
          </w:p>
        </w:tc>
        <w:tc>
          <w:tcPr/>
          <w:p>
            <w:pPr>
              <w:pStyle w:val="Compact"/>
            </w:pPr>
            <w:r>
              <w:t xml:space="preserve">584</w:t>
            </w:r>
          </w:p>
        </w:tc>
        <w:tc>
          <w:tcPr/>
          <w:p>
            <w:pPr>
              <w:pStyle w:val="Compact"/>
            </w:pPr>
            <w:r>
              <w:t xml:space="preserve">204</w:t>
            </w:r>
          </w:p>
        </w:tc>
        <w:tc>
          <w:tcPr/>
          <w:p>
            <w:pPr>
              <w:pStyle w:val="Compact"/>
            </w:pPr>
            <w:r>
              <w:t xml:space="preserve">13.9%</w:t>
            </w:r>
          </w:p>
        </w:tc>
        <w:tc>
          <w:tcPr/>
          <w:p>
            <w:pPr>
              <w:pStyle w:val="Compact"/>
            </w:pPr>
            <w:r>
              <w:t xml:space="preserve">14</w:t>
            </w:r>
          </w:p>
        </w:tc>
      </w:tr>
      <w:tr>
        <w:tc>
          <w:tcPr/>
          <w:p>
            <w:pPr>
              <w:pStyle w:val="Compact"/>
            </w:pPr>
            <w:r>
              <w:t xml:space="preserve">2018</w:t>
            </w:r>
          </w:p>
        </w:tc>
        <w:tc>
          <w:tcPr/>
          <w:p>
            <w:pPr>
              <w:pStyle w:val="Compact"/>
            </w:pPr>
            <w:r>
              <w:t xml:space="preserve">672</w:t>
            </w:r>
          </w:p>
        </w:tc>
        <w:tc>
          <w:tcPr/>
          <w:p>
            <w:pPr>
              <w:pStyle w:val="Compact"/>
            </w:pPr>
            <w:r>
              <w:t xml:space="preserve">134</w:t>
            </w:r>
          </w:p>
        </w:tc>
        <w:tc>
          <w:tcPr/>
          <w:p>
            <w:pPr>
              <w:pStyle w:val="Compact"/>
            </w:pPr>
            <w:r>
              <w:t xml:space="preserve">538</w:t>
            </w:r>
          </w:p>
        </w:tc>
        <w:tc>
          <w:tcPr/>
          <w:p>
            <w:pPr>
              <w:pStyle w:val="Compact"/>
            </w:pPr>
            <w:r>
              <w:t xml:space="preserve">154</w:t>
            </w:r>
          </w:p>
        </w:tc>
        <w:tc>
          <w:tcPr/>
          <w:p>
            <w:pPr>
              <w:pStyle w:val="Compact"/>
            </w:pPr>
            <w:r>
              <w:t xml:space="preserve">13.7%</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125</w:t>
            </w:r>
          </w:p>
        </w:tc>
        <w:tc>
          <w:tcPr/>
          <w:p>
            <w:pPr>
              <w:pStyle w:val="Compact"/>
            </w:pPr>
            <w:r>
              <w:t xml:space="preserve">525</w:t>
            </w:r>
          </w:p>
        </w:tc>
        <w:tc>
          <w:tcPr/>
          <w:p>
            <w:pPr>
              <w:pStyle w:val="Compact"/>
            </w:pPr>
            <w:r>
              <w:t xml:space="preserve">230</w:t>
            </w:r>
          </w:p>
        </w:tc>
        <w:tc>
          <w:tcPr/>
          <w:p>
            <w:pPr>
              <w:pStyle w:val="Compact"/>
            </w:pPr>
            <w:r>
              <w:t xml:space="preserve">12.7%</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n/a</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n/a</w:t>
            </w:r>
          </w:p>
        </w:tc>
        <w:tc>
          <w:tcPr/>
          <w:p>
            <w:pPr>
              <w:pStyle w:val="Compact"/>
            </w:pPr>
            <w:r>
              <w:t xml:space="preserve">15.7%</w:t>
            </w:r>
          </w:p>
        </w:tc>
        <w:tc>
          <w:tcPr/>
          <w:p>
            <w:pPr>
              <w:pStyle w:val="Compact"/>
            </w:pPr>
            <w:r>
              <w:t xml:space="preserve">13</w:t>
            </w:r>
          </w:p>
        </w:tc>
      </w:tr>
    </w:tbl>
    <w:p>
      <w:pPr>
        <w:pStyle w:val="BodyText"/>
      </w:pPr>
      <w:r>
        <w:t xml:space="preserve">Entrants by specialty: URPS, 480; urology, 421; General OB/GYN, 205; MIGS, 8.</w:t>
      </w:r>
    </w:p>
    <w:p>
      <w:r>
        <w:pict>
          <v:rect style="width:0;height:1.5pt" o:hralign="center" o:hrstd="t" o:hr="t"/>
        </w:pict>
      </w:r>
    </w:p>
    <w:bookmarkEnd w:id="32"/>
    <w:bookmarkStart w:id="48" w:name="figures"/>
    <w:p>
      <w:pPr>
        <w:pStyle w:val="Heading2"/>
      </w:pPr>
      <w:r>
        <w:t xml:space="preserve">Figures</w:t>
      </w:r>
    </w:p>
    <w:p>
      <w:pPr>
        <w:pStyle w:val="FirstParagraph"/>
      </w:pPr>
      <w:r>
        <w:drawing>
          <wp:inline>
            <wp:extent cx="5334000" cy="3333750"/>
            <wp:effectExtent b="0" l="0" r="0" t="0"/>
            <wp:docPr descr="" title="" id="34" name="Picture"/>
            <a:graphic>
              <a:graphicData uri="http://schemas.openxmlformats.org/drawingml/2006/picture">
                <pic:pic>
                  <pic:nvPicPr>
                    <pic:cNvPr descr="/Users/tylermuffly/sling-volume-patterns/output/figures/figure_1_market_share.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Market share of sling operations for stress urinary incontinence (CPT 57288) by specialty, fee-for-service Medicare PUF 2013–2023. The URPS share increased under every classification scenario. Fixed membership (URPS share 53.4% to 63.8%; +0.90 percentage points/year) and certification-gated classification (URPS share 42.2% to 62.8%; +1.52 percentage points/year) differ in the estimated rate of increase and converge by 2023.</w:t>
      </w:r>
    </w:p>
    <w:p>
      <w:pPr>
        <w:pStyle w:val="BodyText"/>
      </w:pPr>
      <w:r>
        <w:drawing>
          <wp:inline>
            <wp:extent cx="5334000" cy="3810000"/>
            <wp:effectExtent b="0" l="0" r="0" t="0"/>
            <wp:docPr descr="" title="" id="37" name="Picture"/>
            <a:graphic>
              <a:graphicData uri="http://schemas.openxmlformats.org/drawingml/2006/picture">
                <pic:pic>
                  <pic:nvPicPr>
                    <pic:cNvPr descr="/Users/tylermuffly/sling-volume-patterns/output/figures/figure_2_volume_distribution.png" id="38" name="Picture"/>
                    <pic:cNvPicPr>
                      <a:picLocks noChangeArrowheads="1" noChangeAspect="1"/>
                    </pic:cNvPicPr>
                  </pic:nvPicPr>
                  <pic:blipFill>
                    <a:blip r:embed="rId3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0" name="Picture"/>
            <a:graphic>
              <a:graphicData uri="http://schemas.openxmlformats.org/drawingml/2006/picture">
                <pic:pic>
                  <pic:nvPicPr>
                    <pic:cNvPr descr="/Users/tylermuffly/sling-volume-patterns/output/figures/figure_3_lorenz_curve.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Lorenz curves of procedural concentration by specialty. Greater distance from the diagonal indicates greater concentration. URPS (Gini 0.52) is closest to equality; MIGS (0.61) is farthest.</w:t>
      </w:r>
    </w:p>
    <w:p>
      <w:pPr>
        <w:pStyle w:val="BodyText"/>
      </w:pPr>
      <w:r>
        <w:drawing>
          <wp:inline>
            <wp:extent cx="5334000" cy="4148666"/>
            <wp:effectExtent b="0" l="0" r="0" t="0"/>
            <wp:docPr descr="" title="" id="43" name="Picture"/>
            <a:graphic>
              <a:graphicData uri="http://schemas.openxmlformats.org/drawingml/2006/picture">
                <pic:pic>
                  <pic:nvPicPr>
                    <pic:cNvPr descr="/Users/tylermuffly/sling-volume-patterns/output/figures/figure_4_concentration_trends.png" id="44" name="Picture"/>
                    <pic:cNvPicPr>
                      <a:picLocks noChangeArrowheads="1" noChangeAspect="1"/>
                    </pic:cNvPicPr>
                  </pic:nvPicPr>
                  <pic:blipFill>
                    <a:blip r:embed="rId42"/>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Annual concentration by specialty, measured by Gini, HHI, top-20% share, and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46" name="Picture"/>
            <a:graphic>
              <a:graphicData uri="http://schemas.openxmlformats.org/drawingml/2006/picture">
                <pic:pic>
                  <pic:nvPicPr>
                    <pic:cNvPr descr="/Users/tylermuffly/sling-volume-patterns/output/figures/figure_5_supply_trends.png" id="47" name="Picture"/>
                    <pic:cNvPicPr>
                      <a:picLocks noChangeArrowheads="1" noChangeAspect="1"/>
                    </pic:cNvPicPr>
                  </pic:nvPicPr>
                  <pic:blipFill>
                    <a:blip r:embed="rId45"/>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Observable surgeons and total procedure volume by year and specialty. The decline in the surgeon pool was concentrated in urology and General OB/GYN.</w:t>
      </w:r>
    </w:p>
    <w:p>
      <w:r>
        <w:pict>
          <v:rect style="width:0;height:1.5pt" o:hralign="center" o:hrstd="t" o:hr="t"/>
        </w:pict>
      </w:r>
    </w:p>
    <w:bookmarkEnd w:id="48"/>
    <w:bookmarkStart w:id="49"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812</w:t>
            </w:r>
          </w:p>
        </w:tc>
        <w:tc>
          <w:tcPr/>
          <w:p>
            <w:pPr>
              <w:pStyle w:val="Compact"/>
            </w:pPr>
            <w:r>
              <w:t xml:space="preserve">16399</w:t>
            </w:r>
          </w:p>
        </w:tc>
        <w:tc>
          <w:tcPr/>
          <w:p>
            <w:pPr>
              <w:pStyle w:val="Compact"/>
            </w:pPr>
            <w:r>
              <w:t xml:space="preserve">16 (13–23)</w:t>
            </w:r>
          </w:p>
        </w:tc>
        <w:tc>
          <w:tcPr/>
          <w:p>
            <w:pPr>
              <w:pStyle w:val="Compact"/>
            </w:pPr>
            <w:r>
              <w:t xml:space="preserve">0.272</w:t>
            </w:r>
          </w:p>
        </w:tc>
        <w:tc>
          <w:tcPr/>
          <w:p>
            <w:pPr>
              <w:pStyle w:val="Compact"/>
            </w:pPr>
            <w:r>
              <w:t xml:space="preserve">16.6</w:t>
            </w:r>
          </w:p>
        </w:tc>
        <w:tc>
          <w:tcPr/>
          <w:p>
            <w:pPr>
              <w:pStyle w:val="Compact"/>
            </w:pPr>
            <w:r>
              <w:t xml:space="preserve">24.5%</w:t>
            </w:r>
          </w:p>
        </w:tc>
        <w:tc>
          <w:tcPr/>
          <w:p>
            <w:pPr>
              <w:pStyle w:val="Compact"/>
            </w:pPr>
            <w:r>
              <w:t xml:space="preserve">39.2%</w:t>
            </w:r>
          </w:p>
        </w:tc>
        <w:tc>
          <w:tcPr/>
          <w:p>
            <w:pPr>
              <w:pStyle w:val="Compact"/>
            </w:pPr>
            <w:r>
              <w:t xml:space="preserve">31.7%</w:t>
            </w:r>
          </w:p>
        </w:tc>
      </w:tr>
      <w:tr>
        <w:tc>
          <w:tcPr/>
          <w:p>
            <w:pPr>
              <w:pStyle w:val="Compact"/>
            </w:pPr>
            <w:r>
              <w:t xml:space="preserve">2013</w:t>
            </w:r>
          </w:p>
        </w:tc>
        <w:tc>
          <w:tcPr/>
          <w:p>
            <w:pPr>
              <w:pStyle w:val="Compact"/>
            </w:pPr>
            <w:r>
              <w:t xml:space="preserve">URPS</w:t>
            </w:r>
          </w:p>
        </w:tc>
        <w:tc>
          <w:tcPr/>
          <w:p>
            <w:pPr>
              <w:pStyle w:val="Compact"/>
            </w:pPr>
            <w:r>
              <w:t xml:space="preserve">385</w:t>
            </w:r>
          </w:p>
        </w:tc>
        <w:tc>
          <w:tcPr/>
          <w:p>
            <w:pPr>
              <w:pStyle w:val="Compact"/>
            </w:pPr>
            <w:r>
              <w:t xml:space="preserve">8749</w:t>
            </w:r>
          </w:p>
        </w:tc>
        <w:tc>
          <w:tcPr/>
          <w:p>
            <w:pPr>
              <w:pStyle w:val="Compact"/>
            </w:pPr>
            <w:r>
              <w:t xml:space="preserve">19 (14–27)</w:t>
            </w:r>
          </w:p>
        </w:tc>
        <w:tc>
          <w:tcPr/>
          <w:p>
            <w:pPr>
              <w:pStyle w:val="Compact"/>
            </w:pPr>
            <w:r>
              <w:t xml:space="preserve">0.283</w:t>
            </w:r>
          </w:p>
        </w:tc>
        <w:tc>
          <w:tcPr/>
          <w:p>
            <w:pPr>
              <w:pStyle w:val="Compact"/>
            </w:pPr>
            <w:r>
              <w:t xml:space="preserve">34.8</w:t>
            </w:r>
          </w:p>
        </w:tc>
        <w:tc>
          <w:tcPr/>
          <w:p>
            <w:pPr>
              <w:pStyle w:val="Compact"/>
            </w:pPr>
            <w:r>
              <w:t xml:space="preserve">24.1%</w:t>
            </w:r>
          </w:p>
        </w:tc>
        <w:tc>
          <w:tcPr/>
          <w:p>
            <w:pPr>
              <w:pStyle w:val="Compact"/>
            </w:pPr>
            <w:r>
              <w:t xml:space="preserve">39.1%</w:t>
            </w:r>
          </w:p>
        </w:tc>
        <w:tc>
          <w:tcPr/>
          <w:p>
            <w:pPr>
              <w:pStyle w:val="Compact"/>
            </w:pPr>
            <w:r>
              <w:t xml:space="preserve">30.6%</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282</w:t>
            </w:r>
          </w:p>
        </w:tc>
        <w:tc>
          <w:tcPr/>
          <w:p>
            <w:pPr>
              <w:pStyle w:val="Compact"/>
            </w:pPr>
            <w:r>
              <w:t xml:space="preserve">5035</w:t>
            </w:r>
          </w:p>
        </w:tc>
        <w:tc>
          <w:tcPr/>
          <w:p>
            <w:pPr>
              <w:pStyle w:val="Compact"/>
            </w:pPr>
            <w:r>
              <w:t xml:space="preserve">15 (12–19)</w:t>
            </w:r>
          </w:p>
        </w:tc>
        <w:tc>
          <w:tcPr/>
          <w:p>
            <w:pPr>
              <w:pStyle w:val="Compact"/>
            </w:pPr>
            <w:r>
              <w:t xml:space="preserve">0.235</w:t>
            </w:r>
          </w:p>
        </w:tc>
        <w:tc>
          <w:tcPr/>
          <w:p>
            <w:pPr>
              <w:pStyle w:val="Compact"/>
            </w:pPr>
            <w:r>
              <w:t xml:space="preserve">46.1</w:t>
            </w:r>
          </w:p>
        </w:tc>
        <w:tc>
          <w:tcPr/>
          <w:p>
            <w:pPr>
              <w:pStyle w:val="Compact"/>
            </w:pPr>
            <w:r>
              <w:t xml:space="preserve">24.0%</w:t>
            </w:r>
          </w:p>
        </w:tc>
        <w:tc>
          <w:tcPr/>
          <w:p>
            <w:pPr>
              <w:pStyle w:val="Compact"/>
            </w:pPr>
            <w:r>
              <w:t xml:space="preserve">36.8%</w:t>
            </w:r>
          </w:p>
        </w:tc>
        <w:tc>
          <w:tcPr/>
          <w:p>
            <w:pPr>
              <w:pStyle w:val="Compact"/>
            </w:pPr>
            <w:r>
              <w:t xml:space="preserve">34.6%</w:t>
            </w:r>
          </w:p>
        </w:tc>
      </w:tr>
      <w:tr>
        <w:tc>
          <w:tcPr/>
          <w:p>
            <w:pPr>
              <w:pStyle w:val="Compact"/>
            </w:pPr>
            <w:r>
              <w:t xml:space="preserve">2014</w:t>
            </w:r>
          </w:p>
        </w:tc>
        <w:tc>
          <w:tcPr/>
          <w:p>
            <w:pPr>
              <w:pStyle w:val="Compact"/>
            </w:pPr>
            <w:r>
              <w:t xml:space="preserve">All</w:t>
            </w:r>
          </w:p>
        </w:tc>
        <w:tc>
          <w:tcPr/>
          <w:p>
            <w:pPr>
              <w:pStyle w:val="Compact"/>
            </w:pPr>
            <w:r>
              <w:t xml:space="preserve">685</w:t>
            </w:r>
          </w:p>
        </w:tc>
        <w:tc>
          <w:tcPr/>
          <w:p>
            <w:pPr>
              <w:pStyle w:val="Compact"/>
            </w:pPr>
            <w:r>
              <w:t xml:space="preserve">14248</w:t>
            </w:r>
          </w:p>
        </w:tc>
        <w:tc>
          <w:tcPr/>
          <w:p>
            <w:pPr>
              <w:pStyle w:val="Compact"/>
            </w:pPr>
            <w:r>
              <w:t xml:space="preserve">17 (13–24)</w:t>
            </w:r>
          </w:p>
        </w:tc>
        <w:tc>
          <w:tcPr/>
          <w:p>
            <w:pPr>
              <w:pStyle w:val="Compact"/>
            </w:pPr>
            <w:r>
              <w:t xml:space="preserve">0.267</w:t>
            </w:r>
          </w:p>
        </w:tc>
        <w:tc>
          <w:tcPr/>
          <w:p>
            <w:pPr>
              <w:pStyle w:val="Compact"/>
            </w:pPr>
            <w:r>
              <w:t xml:space="preserve">19.0</w:t>
            </w:r>
          </w:p>
        </w:tc>
        <w:tc>
          <w:tcPr/>
          <w:p>
            <w:pPr>
              <w:pStyle w:val="Compact"/>
            </w:pPr>
            <w:r>
              <w:t xml:space="preserve">23.2%</w:t>
            </w:r>
          </w:p>
        </w:tc>
        <w:tc>
          <w:tcPr/>
          <w:p>
            <w:pPr>
              <w:pStyle w:val="Compact"/>
            </w:pPr>
            <w:r>
              <w:t xml:space="preserve">38.2%</w:t>
            </w:r>
          </w:p>
        </w:tc>
        <w:tc>
          <w:tcPr/>
          <w:p>
            <w:pPr>
              <w:pStyle w:val="Compact"/>
            </w:pPr>
            <w:r>
              <w:t xml:space="preserve">31.6%</w:t>
            </w:r>
          </w:p>
        </w:tc>
      </w:tr>
      <w:tr>
        <w:tc>
          <w:tcPr/>
          <w:p>
            <w:pPr>
              <w:pStyle w:val="Compact"/>
            </w:pPr>
            <w:r>
              <w:t xml:space="preserve">2014</w:t>
            </w:r>
          </w:p>
        </w:tc>
        <w:tc>
          <w:tcPr/>
          <w:p>
            <w:pPr>
              <w:pStyle w:val="Compact"/>
            </w:pPr>
            <w:r>
              <w:t xml:space="preserve">URPS</w:t>
            </w:r>
          </w:p>
        </w:tc>
        <w:tc>
          <w:tcPr/>
          <w:p>
            <w:pPr>
              <w:pStyle w:val="Compact"/>
            </w:pPr>
            <w:r>
              <w:t xml:space="preserve">356</w:t>
            </w:r>
          </w:p>
        </w:tc>
        <w:tc>
          <w:tcPr/>
          <w:p>
            <w:pPr>
              <w:pStyle w:val="Compact"/>
            </w:pPr>
            <w:r>
              <w:t xml:space="preserve">8269</w:t>
            </w:r>
          </w:p>
        </w:tc>
        <w:tc>
          <w:tcPr/>
          <w:p>
            <w:pPr>
              <w:pStyle w:val="Compact"/>
            </w:pPr>
            <w:r>
              <w:t xml:space="preserve">19 (14–28)</w:t>
            </w:r>
          </w:p>
        </w:tc>
        <w:tc>
          <w:tcPr/>
          <w:p>
            <w:pPr>
              <w:pStyle w:val="Compact"/>
            </w:pPr>
            <w:r>
              <w:t xml:space="preserve">0.274</w:t>
            </w:r>
          </w:p>
        </w:tc>
        <w:tc>
          <w:tcPr/>
          <w:p>
            <w:pPr>
              <w:pStyle w:val="Compact"/>
            </w:pPr>
            <w:r>
              <w:t xml:space="preserve">36.4</w:t>
            </w:r>
          </w:p>
        </w:tc>
        <w:tc>
          <w:tcPr/>
          <w:p>
            <w:pPr>
              <w:pStyle w:val="Compact"/>
            </w:pPr>
            <w:r>
              <w:t xml:space="preserve">22.9%</w:t>
            </w:r>
          </w:p>
        </w:tc>
        <w:tc>
          <w:tcPr/>
          <w:p>
            <w:pPr>
              <w:pStyle w:val="Compact"/>
            </w:pPr>
            <w:r>
              <w:t xml:space="preserve">38.2%</w:t>
            </w:r>
          </w:p>
        </w:tc>
        <w:tc>
          <w:tcPr/>
          <w:p>
            <w:pPr>
              <w:pStyle w:val="Compact"/>
            </w:pPr>
            <w:r>
              <w:t xml:space="preserve">31.0%</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212</w:t>
            </w:r>
          </w:p>
        </w:tc>
        <w:tc>
          <w:tcPr/>
          <w:p>
            <w:pPr>
              <w:pStyle w:val="Compact"/>
            </w:pPr>
            <w:r>
              <w:t xml:space="preserve">3862</w:t>
            </w:r>
          </w:p>
        </w:tc>
        <w:tc>
          <w:tcPr/>
          <w:p>
            <w:pPr>
              <w:pStyle w:val="Compact"/>
            </w:pPr>
            <w:r>
              <w:t xml:space="preserve">15 (12–20)</w:t>
            </w:r>
          </w:p>
        </w:tc>
        <w:tc>
          <w:tcPr/>
          <w:p>
            <w:pPr>
              <w:pStyle w:val="Compact"/>
            </w:pPr>
            <w:r>
              <w:t xml:space="preserve">0.238</w:t>
            </w:r>
          </w:p>
        </w:tc>
        <w:tc>
          <w:tcPr/>
          <w:p>
            <w:pPr>
              <w:pStyle w:val="Compact"/>
            </w:pPr>
            <w:r>
              <w:t xml:space="preserve">60.3</w:t>
            </w:r>
          </w:p>
        </w:tc>
        <w:tc>
          <w:tcPr/>
          <w:p>
            <w:pPr>
              <w:pStyle w:val="Compact"/>
            </w:pPr>
            <w:r>
              <w:t xml:space="preserve">23.3%</w:t>
            </w:r>
          </w:p>
        </w:tc>
        <w:tc>
          <w:tcPr/>
          <w:p>
            <w:pPr>
              <w:pStyle w:val="Compact"/>
            </w:pPr>
            <w:r>
              <w:t xml:space="preserve">36.8%</w:t>
            </w:r>
          </w:p>
        </w:tc>
        <w:tc>
          <w:tcPr/>
          <w:p>
            <w:pPr>
              <w:pStyle w:val="Compact"/>
            </w:pPr>
            <w:r>
              <w:t xml:space="preserve">34.0%</w:t>
            </w:r>
          </w:p>
        </w:tc>
      </w:tr>
      <w:tr>
        <w:tc>
          <w:tcPr/>
          <w:p>
            <w:pPr>
              <w:pStyle w:val="Compact"/>
            </w:pPr>
            <w:r>
              <w:t xml:space="preserve">2015</w:t>
            </w:r>
          </w:p>
        </w:tc>
        <w:tc>
          <w:tcPr/>
          <w:p>
            <w:pPr>
              <w:pStyle w:val="Compact"/>
            </w:pPr>
            <w:r>
              <w:t xml:space="preserve">All</w:t>
            </w:r>
          </w:p>
        </w:tc>
        <w:tc>
          <w:tcPr/>
          <w:p>
            <w:pPr>
              <w:pStyle w:val="Compact"/>
            </w:pPr>
            <w:r>
              <w:t xml:space="preserve">655</w:t>
            </w:r>
          </w:p>
        </w:tc>
        <w:tc>
          <w:tcPr/>
          <w:p>
            <w:pPr>
              <w:pStyle w:val="Compact"/>
            </w:pPr>
            <w:r>
              <w:t xml:space="preserve">13380</w:t>
            </w:r>
          </w:p>
        </w:tc>
        <w:tc>
          <w:tcPr/>
          <w:p>
            <w:pPr>
              <w:pStyle w:val="Compact"/>
            </w:pPr>
            <w:r>
              <w:t xml:space="preserve">16 (13–24)</w:t>
            </w:r>
          </w:p>
        </w:tc>
        <w:tc>
          <w:tcPr/>
          <w:p>
            <w:pPr>
              <w:pStyle w:val="Compact"/>
            </w:pPr>
            <w:r>
              <w:t xml:space="preserve">0.268</w:t>
            </w:r>
          </w:p>
        </w:tc>
        <w:tc>
          <w:tcPr/>
          <w:p>
            <w:pPr>
              <w:pStyle w:val="Compact"/>
            </w:pPr>
            <w:r>
              <w:t xml:space="preserve">20.1</w:t>
            </w:r>
          </w:p>
        </w:tc>
        <w:tc>
          <w:tcPr/>
          <w:p>
            <w:pPr>
              <w:pStyle w:val="Compact"/>
            </w:pPr>
            <w:r>
              <w:t xml:space="preserve">23.5%</w:t>
            </w:r>
          </w:p>
        </w:tc>
        <w:tc>
          <w:tcPr/>
          <w:p>
            <w:pPr>
              <w:pStyle w:val="Compact"/>
            </w:pPr>
            <w:r>
              <w:t xml:space="preserve">38.2%</w:t>
            </w:r>
          </w:p>
        </w:tc>
        <w:tc>
          <w:tcPr/>
          <w:p>
            <w:pPr>
              <w:pStyle w:val="Compact"/>
            </w:pPr>
            <w:r>
              <w:t xml:space="preserve">31.7%</w:t>
            </w:r>
          </w:p>
        </w:tc>
      </w:tr>
      <w:tr>
        <w:tc>
          <w:tcPr/>
          <w:p>
            <w:pPr>
              <w:pStyle w:val="Compact"/>
            </w:pPr>
            <w:r>
              <w:t xml:space="preserve">2015</w:t>
            </w:r>
          </w:p>
        </w:tc>
        <w:tc>
          <w:tcPr/>
          <w:p>
            <w:pPr>
              <w:pStyle w:val="Compact"/>
            </w:pPr>
            <w:r>
              <w:t xml:space="preserve">URPS</w:t>
            </w:r>
          </w:p>
        </w:tc>
        <w:tc>
          <w:tcPr/>
          <w:p>
            <w:pPr>
              <w:pStyle w:val="Compact"/>
            </w:pPr>
            <w:r>
              <w:t xml:space="preserve">357</w:t>
            </w:r>
          </w:p>
        </w:tc>
        <w:tc>
          <w:tcPr/>
          <w:p>
            <w:pPr>
              <w:pStyle w:val="Compact"/>
            </w:pPr>
            <w:r>
              <w:t xml:space="preserve">7918</w:t>
            </w:r>
          </w:p>
        </w:tc>
        <w:tc>
          <w:tcPr/>
          <w:p>
            <w:pPr>
              <w:pStyle w:val="Compact"/>
            </w:pPr>
            <w:r>
              <w:t xml:space="preserve">18 (14–27)</w:t>
            </w:r>
          </w:p>
        </w:tc>
        <w:tc>
          <w:tcPr/>
          <w:p>
            <w:pPr>
              <w:pStyle w:val="Compact"/>
            </w:pPr>
            <w:r>
              <w:t xml:space="preserve">0.275</w:t>
            </w:r>
          </w:p>
        </w:tc>
        <w:tc>
          <w:tcPr/>
          <w:p>
            <w:pPr>
              <w:pStyle w:val="Compact"/>
            </w:pPr>
            <w:r>
              <w:t xml:space="preserve">36.7</w:t>
            </w:r>
          </w:p>
        </w:tc>
        <w:tc>
          <w:tcPr/>
          <w:p>
            <w:pPr>
              <w:pStyle w:val="Compact"/>
            </w:pPr>
            <w:r>
              <w:t xml:space="preserve">23.2%</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198</w:t>
            </w:r>
          </w:p>
        </w:tc>
        <w:tc>
          <w:tcPr/>
          <w:p>
            <w:pPr>
              <w:pStyle w:val="Compact"/>
            </w:pPr>
            <w:r>
              <w:t xml:space="preserve">3622</w:t>
            </w:r>
          </w:p>
        </w:tc>
        <w:tc>
          <w:tcPr/>
          <w:p>
            <w:pPr>
              <w:pStyle w:val="Compact"/>
            </w:pPr>
            <w:r>
              <w:t xml:space="preserve">15 (12–20)</w:t>
            </w:r>
          </w:p>
        </w:tc>
        <w:tc>
          <w:tcPr/>
          <w:p>
            <w:pPr>
              <w:pStyle w:val="Compact"/>
            </w:pPr>
            <w:r>
              <w:t xml:space="preserve">0.244</w:t>
            </w:r>
          </w:p>
        </w:tc>
        <w:tc>
          <w:tcPr/>
          <w:p>
            <w:pPr>
              <w:pStyle w:val="Compact"/>
            </w:pPr>
            <w:r>
              <w:t xml:space="preserve">66.1</w:t>
            </w:r>
          </w:p>
        </w:tc>
        <w:tc>
          <w:tcPr/>
          <w:p>
            <w:pPr>
              <w:pStyle w:val="Compact"/>
            </w:pPr>
            <w:r>
              <w:t xml:space="preserve">23.2%</w:t>
            </w:r>
          </w:p>
        </w:tc>
        <w:tc>
          <w:tcPr/>
          <w:p>
            <w:pPr>
              <w:pStyle w:val="Compact"/>
            </w:pPr>
            <w:r>
              <w:t xml:space="preserve">37.2%</w:t>
            </w:r>
          </w:p>
        </w:tc>
        <w:tc>
          <w:tcPr/>
          <w:p>
            <w:pPr>
              <w:pStyle w:val="Compact"/>
            </w:pPr>
            <w:r>
              <w:t xml:space="preserve">33.7%</w:t>
            </w:r>
          </w:p>
        </w:tc>
      </w:tr>
      <w:tr>
        <w:tc>
          <w:tcPr/>
          <w:p>
            <w:pPr>
              <w:pStyle w:val="Compact"/>
            </w:pPr>
            <w:r>
              <w:t xml:space="preserve">2016</w:t>
            </w:r>
          </w:p>
        </w:tc>
        <w:tc>
          <w:tcPr/>
          <w:p>
            <w:pPr>
              <w:pStyle w:val="Compact"/>
            </w:pPr>
            <w:r>
              <w:t xml:space="preserve">All</w:t>
            </w:r>
          </w:p>
        </w:tc>
        <w:tc>
          <w:tcPr/>
          <w:p>
            <w:pPr>
              <w:pStyle w:val="Compact"/>
            </w:pPr>
            <w:r>
              <w:t xml:space="preserve">701</w:t>
            </w:r>
          </w:p>
        </w:tc>
        <w:tc>
          <w:tcPr/>
          <w:p>
            <w:pPr>
              <w:pStyle w:val="Compact"/>
            </w:pPr>
            <w:r>
              <w:t xml:space="preserve">14935</w:t>
            </w:r>
          </w:p>
        </w:tc>
        <w:tc>
          <w:tcPr/>
          <w:p>
            <w:pPr>
              <w:pStyle w:val="Compact"/>
            </w:pPr>
            <w:r>
              <w:t xml:space="preserve">18 (13–25)</w:t>
            </w:r>
          </w:p>
        </w:tc>
        <w:tc>
          <w:tcPr/>
          <w:p>
            <w:pPr>
              <w:pStyle w:val="Compact"/>
            </w:pPr>
            <w:r>
              <w:t xml:space="preserve">0.268</w:t>
            </w:r>
          </w:p>
        </w:tc>
        <w:tc>
          <w:tcPr/>
          <w:p>
            <w:pPr>
              <w:pStyle w:val="Compact"/>
            </w:pPr>
            <w:r>
              <w:t xml:space="preserve">18.8</w:t>
            </w:r>
          </w:p>
        </w:tc>
        <w:tc>
          <w:tcPr/>
          <w:p>
            <w:pPr>
              <w:pStyle w:val="Compact"/>
            </w:pPr>
            <w:r>
              <w:t xml:space="preserve">23.7%</w:t>
            </w:r>
          </w:p>
        </w:tc>
        <w:tc>
          <w:tcPr/>
          <w:p>
            <w:pPr>
              <w:pStyle w:val="Compact"/>
            </w:pPr>
            <w:r>
              <w:t xml:space="preserve">38.0%</w:t>
            </w:r>
          </w:p>
        </w:tc>
        <w:tc>
          <w:tcPr/>
          <w:p>
            <w:pPr>
              <w:pStyle w:val="Compact"/>
            </w:pPr>
            <w:r>
              <w:t xml:space="preserve">31.7%</w:t>
            </w:r>
          </w:p>
        </w:tc>
      </w:tr>
      <w:tr>
        <w:tc>
          <w:tcPr/>
          <w:p>
            <w:pPr>
              <w:pStyle w:val="Compact"/>
            </w:pPr>
            <w:r>
              <w:t xml:space="preserve">2016</w:t>
            </w:r>
          </w:p>
        </w:tc>
        <w:tc>
          <w:tcPr/>
          <w:p>
            <w:pPr>
              <w:pStyle w:val="Compact"/>
            </w:pPr>
            <w:r>
              <w:t xml:space="preserve">URPS</w:t>
            </w:r>
          </w:p>
        </w:tc>
        <w:tc>
          <w:tcPr/>
          <w:p>
            <w:pPr>
              <w:pStyle w:val="Compact"/>
            </w:pPr>
            <w:r>
              <w:t xml:space="preserve">386</w:t>
            </w:r>
          </w:p>
        </w:tc>
        <w:tc>
          <w:tcPr/>
          <w:p>
            <w:pPr>
              <w:pStyle w:val="Compact"/>
            </w:pPr>
            <w:r>
              <w:t xml:space="preserve">9105</w:t>
            </w:r>
          </w:p>
        </w:tc>
        <w:tc>
          <w:tcPr/>
          <w:p>
            <w:pPr>
              <w:pStyle w:val="Compact"/>
            </w:pPr>
            <w:r>
              <w:t xml:space="preserve">19 (14–28)</w:t>
            </w:r>
          </w:p>
        </w:tc>
        <w:tc>
          <w:tcPr/>
          <w:p>
            <w:pPr>
              <w:pStyle w:val="Compact"/>
            </w:pPr>
            <w:r>
              <w:t xml:space="preserve">0.279</w:t>
            </w:r>
          </w:p>
        </w:tc>
        <w:tc>
          <w:tcPr/>
          <w:p>
            <w:pPr>
              <w:pStyle w:val="Compact"/>
            </w:pPr>
            <w:r>
              <w:t xml:space="preserve">34.1</w:t>
            </w:r>
          </w:p>
        </w:tc>
        <w:tc>
          <w:tcPr/>
          <w:p>
            <w:pPr>
              <w:pStyle w:val="Compact"/>
            </w:pPr>
            <w:r>
              <w:t xml:space="preserve">23.5%</w:t>
            </w:r>
          </w:p>
        </w:tc>
        <w:tc>
          <w:tcPr/>
          <w:p>
            <w:pPr>
              <w:pStyle w:val="Compact"/>
            </w:pPr>
            <w:r>
              <w:t xml:space="preserve">38.6%</w:t>
            </w:r>
          </w:p>
        </w:tc>
        <w:tc>
          <w:tcPr/>
          <w:p>
            <w:pPr>
              <w:pStyle w:val="Compact"/>
            </w:pPr>
            <w:r>
              <w:t xml:space="preserve">30.8%</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214</w:t>
            </w:r>
          </w:p>
        </w:tc>
        <w:tc>
          <w:tcPr/>
          <w:p>
            <w:pPr>
              <w:pStyle w:val="Compact"/>
            </w:pPr>
            <w:r>
              <w:t xml:space="preserve">3910</w:t>
            </w:r>
          </w:p>
        </w:tc>
        <w:tc>
          <w:tcPr/>
          <w:p>
            <w:pPr>
              <w:pStyle w:val="Compact"/>
            </w:pPr>
            <w:r>
              <w:t xml:space="preserve">16 (13–21)</w:t>
            </w:r>
          </w:p>
        </w:tc>
        <w:tc>
          <w:tcPr/>
          <w:p>
            <w:pPr>
              <w:pStyle w:val="Compact"/>
            </w:pPr>
            <w:r>
              <w:t xml:space="preserve">0.222</w:t>
            </w:r>
          </w:p>
        </w:tc>
        <w:tc>
          <w:tcPr/>
          <w:p>
            <w:pPr>
              <w:pStyle w:val="Compact"/>
            </w:pPr>
            <w:r>
              <w:t xml:space="preserve">58.5</w:t>
            </w:r>
          </w:p>
        </w:tc>
        <w:tc>
          <w:tcPr/>
          <w:p>
            <w:pPr>
              <w:pStyle w:val="Compact"/>
            </w:pPr>
            <w:r>
              <w:t xml:space="preserve">21.7%</w:t>
            </w:r>
          </w:p>
        </w:tc>
        <w:tc>
          <w:tcPr/>
          <w:p>
            <w:pPr>
              <w:pStyle w:val="Compact"/>
            </w:pPr>
            <w:r>
              <w:t xml:space="preserve">34.5%</w:t>
            </w:r>
          </w:p>
        </w:tc>
        <w:tc>
          <w:tcPr/>
          <w:p>
            <w:pPr>
              <w:pStyle w:val="Compact"/>
            </w:pPr>
            <w:r>
              <w:t xml:space="preserve">34.9%</w:t>
            </w:r>
          </w:p>
        </w:tc>
      </w:tr>
      <w:tr>
        <w:tc>
          <w:tcPr/>
          <w:p>
            <w:pPr>
              <w:pStyle w:val="Compact"/>
            </w:pPr>
            <w:r>
              <w:t xml:space="preserve">2017</w:t>
            </w:r>
          </w:p>
        </w:tc>
        <w:tc>
          <w:tcPr/>
          <w:p>
            <w:pPr>
              <w:pStyle w:val="Compact"/>
            </w:pPr>
            <w:r>
              <w:t xml:space="preserve">All</w:t>
            </w:r>
          </w:p>
        </w:tc>
        <w:tc>
          <w:tcPr/>
          <w:p>
            <w:pPr>
              <w:pStyle w:val="Compact"/>
            </w:pPr>
            <w:r>
              <w:t xml:space="preserve">735</w:t>
            </w:r>
          </w:p>
        </w:tc>
        <w:tc>
          <w:tcPr/>
          <w:p>
            <w:pPr>
              <w:pStyle w:val="Compact"/>
            </w:pPr>
            <w:r>
              <w:t xml:space="preserve">15995</w:t>
            </w:r>
          </w:p>
        </w:tc>
        <w:tc>
          <w:tcPr/>
          <w:p>
            <w:pPr>
              <w:pStyle w:val="Compact"/>
            </w:pPr>
            <w:r>
              <w:t xml:space="preserve">18 (13–25)</w:t>
            </w:r>
          </w:p>
        </w:tc>
        <w:tc>
          <w:tcPr/>
          <w:p>
            <w:pPr>
              <w:pStyle w:val="Compact"/>
            </w:pPr>
            <w:r>
              <w:t xml:space="preserve">0.278</w:t>
            </w:r>
          </w:p>
        </w:tc>
        <w:tc>
          <w:tcPr/>
          <w:p>
            <w:pPr>
              <w:pStyle w:val="Compact"/>
            </w:pPr>
            <w:r>
              <w:t xml:space="preserve">18.1</w:t>
            </w:r>
          </w:p>
        </w:tc>
        <w:tc>
          <w:tcPr/>
          <w:p>
            <w:pPr>
              <w:pStyle w:val="Compact"/>
            </w:pPr>
            <w:r>
              <w:t xml:space="preserve">23.8%</w:t>
            </w:r>
          </w:p>
        </w:tc>
        <w:tc>
          <w:tcPr/>
          <w:p>
            <w:pPr>
              <w:pStyle w:val="Compact"/>
            </w:pPr>
            <w:r>
              <w:t xml:space="preserve">38.7%</w:t>
            </w:r>
          </w:p>
        </w:tc>
        <w:tc>
          <w:tcPr/>
          <w:p>
            <w:pPr>
              <w:pStyle w:val="Compact"/>
            </w:pPr>
            <w:r>
              <w:t xml:space="preserve">31.0%</w:t>
            </w:r>
          </w:p>
        </w:tc>
      </w:tr>
      <w:tr>
        <w:tc>
          <w:tcPr/>
          <w:p>
            <w:pPr>
              <w:pStyle w:val="Compact"/>
            </w:pPr>
            <w:r>
              <w:t xml:space="preserve">2017</w:t>
            </w:r>
          </w:p>
        </w:tc>
        <w:tc>
          <w:tcPr/>
          <w:p>
            <w:pPr>
              <w:pStyle w:val="Compact"/>
            </w:pPr>
            <w:r>
              <w:t xml:space="preserve">URPS</w:t>
            </w:r>
          </w:p>
        </w:tc>
        <w:tc>
          <w:tcPr/>
          <w:p>
            <w:pPr>
              <w:pStyle w:val="Compact"/>
            </w:pPr>
            <w:r>
              <w:t xml:space="preserve">415</w:t>
            </w:r>
          </w:p>
        </w:tc>
        <w:tc>
          <w:tcPr/>
          <w:p>
            <w:pPr>
              <w:pStyle w:val="Compact"/>
            </w:pPr>
            <w:r>
              <w:t xml:space="preserve">9740</w:t>
            </w:r>
          </w:p>
        </w:tc>
        <w:tc>
          <w:tcPr/>
          <w:p>
            <w:pPr>
              <w:pStyle w:val="Compact"/>
            </w:pPr>
            <w:r>
              <w:t xml:space="preserve">19 (14–29)</w:t>
            </w:r>
          </w:p>
        </w:tc>
        <w:tc>
          <w:tcPr/>
          <w:p>
            <w:pPr>
              <w:pStyle w:val="Compact"/>
            </w:pPr>
            <w:r>
              <w:t xml:space="preserve">0.281</w:t>
            </w:r>
          </w:p>
        </w:tc>
        <w:tc>
          <w:tcPr/>
          <w:p>
            <w:pPr>
              <w:pStyle w:val="Compact"/>
            </w:pPr>
            <w:r>
              <w:t xml:space="preserve">31.4</w:t>
            </w:r>
          </w:p>
        </w:tc>
        <w:tc>
          <w:tcPr/>
          <w:p>
            <w:pPr>
              <w:pStyle w:val="Compact"/>
            </w:pPr>
            <w:r>
              <w:t xml:space="preserve">22.9%</w:t>
            </w:r>
          </w:p>
        </w:tc>
        <w:tc>
          <w:tcPr/>
          <w:p>
            <w:pPr>
              <w:pStyle w:val="Compact"/>
            </w:pPr>
            <w:r>
              <w:t xml:space="preserve">38.3%</w:t>
            </w:r>
          </w:p>
        </w:tc>
        <w:tc>
          <w:tcPr/>
          <w:p>
            <w:pPr>
              <w:pStyle w:val="Compact"/>
            </w:pPr>
            <w:r>
              <w:t xml:space="preserve">30.3%</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222</w:t>
            </w:r>
          </w:p>
        </w:tc>
        <w:tc>
          <w:tcPr/>
          <w:p>
            <w:pPr>
              <w:pStyle w:val="Compact"/>
            </w:pPr>
            <w:r>
              <w:t xml:space="preserve">4251</w:t>
            </w:r>
          </w:p>
        </w:tc>
        <w:tc>
          <w:tcPr/>
          <w:p>
            <w:pPr>
              <w:pStyle w:val="Compact"/>
            </w:pPr>
            <w:r>
              <w:t xml:space="preserve">16 (12–21)</w:t>
            </w:r>
          </w:p>
        </w:tc>
        <w:tc>
          <w:tcPr/>
          <w:p>
            <w:pPr>
              <w:pStyle w:val="Compact"/>
            </w:pPr>
            <w:r>
              <w:t xml:space="preserve">0.250</w:t>
            </w:r>
          </w:p>
        </w:tc>
        <w:tc>
          <w:tcPr/>
          <w:p>
            <w:pPr>
              <w:pStyle w:val="Compact"/>
            </w:pPr>
            <w:r>
              <w:t xml:space="preserve">60.1</w:t>
            </w:r>
          </w:p>
        </w:tc>
        <w:tc>
          <w:tcPr/>
          <w:p>
            <w:pPr>
              <w:pStyle w:val="Compact"/>
            </w:pPr>
            <w:r>
              <w:t xml:space="preserve">23.9%</w:t>
            </w:r>
          </w:p>
        </w:tc>
        <w:tc>
          <w:tcPr/>
          <w:p>
            <w:pPr>
              <w:pStyle w:val="Compact"/>
            </w:pPr>
            <w:r>
              <w:t xml:space="preserve">37.5%</w:t>
            </w:r>
          </w:p>
        </w:tc>
        <w:tc>
          <w:tcPr/>
          <w:p>
            <w:pPr>
              <w:pStyle w:val="Compact"/>
            </w:pPr>
            <w:r>
              <w:t xml:space="preserve">33.3%</w:t>
            </w:r>
          </w:p>
        </w:tc>
      </w:tr>
      <w:tr>
        <w:tc>
          <w:tcPr/>
          <w:p>
            <w:pPr>
              <w:pStyle w:val="Compact"/>
            </w:pPr>
            <w:r>
              <w:t xml:space="preserve">2018</w:t>
            </w:r>
          </w:p>
        </w:tc>
        <w:tc>
          <w:tcPr/>
          <w:p>
            <w:pPr>
              <w:pStyle w:val="Compact"/>
            </w:pPr>
            <w:r>
              <w:t xml:space="preserve">All</w:t>
            </w:r>
          </w:p>
        </w:tc>
        <w:tc>
          <w:tcPr/>
          <w:p>
            <w:pPr>
              <w:pStyle w:val="Compact"/>
            </w:pPr>
            <w:r>
              <w:t xml:space="preserve">672</w:t>
            </w:r>
          </w:p>
        </w:tc>
        <w:tc>
          <w:tcPr/>
          <w:p>
            <w:pPr>
              <w:pStyle w:val="Compact"/>
            </w:pPr>
            <w:r>
              <w:t xml:space="preserve">15002</w:t>
            </w:r>
          </w:p>
        </w:tc>
        <w:tc>
          <w:tcPr/>
          <w:p>
            <w:pPr>
              <w:pStyle w:val="Compact"/>
            </w:pPr>
            <w:r>
              <w:t xml:space="preserve">18 (14–27)</w:t>
            </w:r>
          </w:p>
        </w:tc>
        <w:tc>
          <w:tcPr/>
          <w:p>
            <w:pPr>
              <w:pStyle w:val="Compact"/>
            </w:pPr>
            <w:r>
              <w:t xml:space="preserve">0.274</w:t>
            </w:r>
          </w:p>
        </w:tc>
        <w:tc>
          <w:tcPr/>
          <w:p>
            <w:pPr>
              <w:pStyle w:val="Compact"/>
            </w:pPr>
            <w:r>
              <w:t xml:space="preserve">19.4</w:t>
            </w:r>
          </w:p>
        </w:tc>
        <w:tc>
          <w:tcPr/>
          <w:p>
            <w:pPr>
              <w:pStyle w:val="Compact"/>
            </w:pPr>
            <w:r>
              <w:t xml:space="preserve">23.1%</w:t>
            </w:r>
          </w:p>
        </w:tc>
        <w:tc>
          <w:tcPr/>
          <w:p>
            <w:pPr>
              <w:pStyle w:val="Compact"/>
            </w:pPr>
            <w:r>
              <w:t xml:space="preserve">38.1%</w:t>
            </w:r>
          </w:p>
        </w:tc>
        <w:tc>
          <w:tcPr/>
          <w:p>
            <w:pPr>
              <w:pStyle w:val="Compact"/>
            </w:pPr>
            <w:r>
              <w:t xml:space="preserve">31.2%</w:t>
            </w:r>
          </w:p>
        </w:tc>
      </w:tr>
      <w:tr>
        <w:tc>
          <w:tcPr/>
          <w:p>
            <w:pPr>
              <w:pStyle w:val="Compact"/>
            </w:pPr>
            <w:r>
              <w:t xml:space="preserve">2018</w:t>
            </w:r>
          </w:p>
        </w:tc>
        <w:tc>
          <w:tcPr/>
          <w:p>
            <w:pPr>
              <w:pStyle w:val="Compact"/>
            </w:pPr>
            <w:r>
              <w:t xml:space="preserve">URPS</w:t>
            </w:r>
          </w:p>
        </w:tc>
        <w:tc>
          <w:tcPr/>
          <w:p>
            <w:pPr>
              <w:pStyle w:val="Compact"/>
            </w:pPr>
            <w:r>
              <w:t xml:space="preserve">387</w:t>
            </w:r>
          </w:p>
        </w:tc>
        <w:tc>
          <w:tcPr/>
          <w:p>
            <w:pPr>
              <w:pStyle w:val="Compact"/>
            </w:pPr>
            <w:r>
              <w:t xml:space="preserve">9239</w:t>
            </w:r>
          </w:p>
        </w:tc>
        <w:tc>
          <w:tcPr/>
          <w:p>
            <w:pPr>
              <w:pStyle w:val="Compact"/>
            </w:pPr>
            <w:r>
              <w:t xml:space="preserve">20 (15–30)</w:t>
            </w:r>
          </w:p>
        </w:tc>
        <w:tc>
          <w:tcPr/>
          <w:p>
            <w:pPr>
              <w:pStyle w:val="Compact"/>
            </w:pPr>
            <w:r>
              <w:t xml:space="preserve">0.277</w:t>
            </w:r>
          </w:p>
        </w:tc>
        <w:tc>
          <w:tcPr/>
          <w:p>
            <w:pPr>
              <w:pStyle w:val="Compact"/>
            </w:pPr>
            <w:r>
              <w:t xml:space="preserve">33.4</w:t>
            </w:r>
          </w:p>
        </w:tc>
        <w:tc>
          <w:tcPr/>
          <w:p>
            <w:pPr>
              <w:pStyle w:val="Compact"/>
            </w:pPr>
            <w:r>
              <w:t xml:space="preserve">22.4%</w:t>
            </w:r>
          </w:p>
        </w:tc>
        <w:tc>
          <w:tcPr/>
          <w:p>
            <w:pPr>
              <w:pStyle w:val="Compact"/>
            </w:pPr>
            <w:r>
              <w:t xml:space="preserve">37.6%</w:t>
            </w:r>
          </w:p>
        </w:tc>
        <w:tc>
          <w:tcPr/>
          <w:p>
            <w:pPr>
              <w:pStyle w:val="Compact"/>
            </w:pPr>
            <w:r>
              <w:t xml:space="preserve">30.5%</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199</w:t>
            </w:r>
          </w:p>
        </w:tc>
        <w:tc>
          <w:tcPr/>
          <w:p>
            <w:pPr>
              <w:pStyle w:val="Compact"/>
            </w:pPr>
            <w:r>
              <w:t xml:space="preserve">4026</w:t>
            </w:r>
          </w:p>
        </w:tc>
        <w:tc>
          <w:tcPr/>
          <w:p>
            <w:pPr>
              <w:pStyle w:val="Compact"/>
            </w:pPr>
            <w:r>
              <w:t xml:space="preserve">16 (13–23)</w:t>
            </w:r>
          </w:p>
        </w:tc>
        <w:tc>
          <w:tcPr/>
          <w:p>
            <w:pPr>
              <w:pStyle w:val="Compact"/>
            </w:pPr>
            <w:r>
              <w:t xml:space="preserve">0.260</w:t>
            </w:r>
          </w:p>
        </w:tc>
        <w:tc>
          <w:tcPr/>
          <w:p>
            <w:pPr>
              <w:pStyle w:val="Compact"/>
            </w:pPr>
            <w:r>
              <w:t xml:space="preserve">65.5</w:t>
            </w:r>
          </w:p>
        </w:tc>
        <w:tc>
          <w:tcPr/>
          <w:p>
            <w:pPr>
              <w:pStyle w:val="Compact"/>
            </w:pPr>
            <w:r>
              <w:t xml:space="preserve">23.4%</w:t>
            </w:r>
          </w:p>
        </w:tc>
        <w:tc>
          <w:tcPr/>
          <w:p>
            <w:pPr>
              <w:pStyle w:val="Compact"/>
            </w:pPr>
            <w:r>
              <w:t xml:space="preserve">37.7%</w:t>
            </w:r>
          </w:p>
        </w:tc>
        <w:tc>
          <w:tcPr/>
          <w:p>
            <w:pPr>
              <w:pStyle w:val="Compact"/>
            </w:pPr>
            <w:r>
              <w:t xml:space="preserve">32.2%</w:t>
            </w:r>
          </w:p>
        </w:tc>
      </w:tr>
      <w:tr>
        <w:tc>
          <w:tcPr/>
          <w:p>
            <w:pPr>
              <w:pStyle w:val="Compact"/>
            </w:pPr>
            <w:r>
              <w:t xml:space="preserve">2019</w:t>
            </w:r>
          </w:p>
        </w:tc>
        <w:tc>
          <w:tcPr/>
          <w:p>
            <w:pPr>
              <w:pStyle w:val="Compact"/>
            </w:pPr>
            <w:r>
              <w:t xml:space="preserve">All</w:t>
            </w:r>
          </w:p>
        </w:tc>
        <w:tc>
          <w:tcPr/>
          <w:p>
            <w:pPr>
              <w:pStyle w:val="Compact"/>
            </w:pPr>
            <w:r>
              <w:t xml:space="preserve">650</w:t>
            </w:r>
          </w:p>
        </w:tc>
        <w:tc>
          <w:tcPr/>
          <w:p>
            <w:pPr>
              <w:pStyle w:val="Compact"/>
            </w:pPr>
            <w:r>
              <w:t xml:space="preserve">14618</w:t>
            </w:r>
          </w:p>
        </w:tc>
        <w:tc>
          <w:tcPr/>
          <w:p>
            <w:pPr>
              <w:pStyle w:val="Compact"/>
            </w:pPr>
            <w:r>
              <w:t xml:space="preserve">18 (14–27)</w:t>
            </w:r>
          </w:p>
        </w:tc>
        <w:tc>
          <w:tcPr/>
          <w:p>
            <w:pPr>
              <w:pStyle w:val="Compact"/>
            </w:pPr>
            <w:r>
              <w:t xml:space="preserve">0.274</w:t>
            </w:r>
          </w:p>
        </w:tc>
        <w:tc>
          <w:tcPr/>
          <w:p>
            <w:pPr>
              <w:pStyle w:val="Compact"/>
            </w:pPr>
            <w:r>
              <w:t xml:space="preserve">20.1</w:t>
            </w:r>
          </w:p>
        </w:tc>
        <w:tc>
          <w:tcPr/>
          <w:p>
            <w:pPr>
              <w:pStyle w:val="Compact"/>
            </w:pPr>
            <w:r>
              <w:t xml:space="preserve">23.4%</w:t>
            </w:r>
          </w:p>
        </w:tc>
        <w:tc>
          <w:tcPr/>
          <w:p>
            <w:pPr>
              <w:pStyle w:val="Compact"/>
            </w:pPr>
            <w:r>
              <w:t xml:space="preserve">38.0%</w:t>
            </w:r>
          </w:p>
        </w:tc>
        <w:tc>
          <w:tcPr/>
          <w:p>
            <w:pPr>
              <w:pStyle w:val="Compact"/>
            </w:pPr>
            <w:r>
              <w:t xml:space="preserve">31.2%</w:t>
            </w:r>
          </w:p>
        </w:tc>
      </w:tr>
      <w:tr>
        <w:tc>
          <w:tcPr/>
          <w:p>
            <w:pPr>
              <w:pStyle w:val="Compact"/>
            </w:pPr>
            <w:r>
              <w:t xml:space="preserve">2019</w:t>
            </w:r>
          </w:p>
        </w:tc>
        <w:tc>
          <w:tcPr/>
          <w:p>
            <w:pPr>
              <w:pStyle w:val="Compact"/>
            </w:pPr>
            <w:r>
              <w:t xml:space="preserve">URPS</w:t>
            </w:r>
          </w:p>
        </w:tc>
        <w:tc>
          <w:tcPr/>
          <w:p>
            <w:pPr>
              <w:pStyle w:val="Compact"/>
            </w:pPr>
            <w:r>
              <w:t xml:space="preserve">386</w:t>
            </w:r>
          </w:p>
        </w:tc>
        <w:tc>
          <w:tcPr/>
          <w:p>
            <w:pPr>
              <w:pStyle w:val="Compact"/>
            </w:pPr>
            <w:r>
              <w:t xml:space="preserve">9174</w:t>
            </w:r>
          </w:p>
        </w:tc>
        <w:tc>
          <w:tcPr/>
          <w:p>
            <w:pPr>
              <w:pStyle w:val="Compact"/>
            </w:pPr>
            <w:r>
              <w:t xml:space="preserve">20 (15–28)</w:t>
            </w:r>
          </w:p>
        </w:tc>
        <w:tc>
          <w:tcPr/>
          <w:p>
            <w:pPr>
              <w:pStyle w:val="Compact"/>
            </w:pPr>
            <w:r>
              <w:t xml:space="preserve">0.275</w:t>
            </w:r>
          </w:p>
        </w:tc>
        <w:tc>
          <w:tcPr/>
          <w:p>
            <w:pPr>
              <w:pStyle w:val="Compact"/>
            </w:pPr>
            <w:r>
              <w:t xml:space="preserve">33.5</w:t>
            </w:r>
          </w:p>
        </w:tc>
        <w:tc>
          <w:tcPr/>
          <w:p>
            <w:pPr>
              <w:pStyle w:val="Compact"/>
            </w:pPr>
            <w:r>
              <w:t xml:space="preserve">23.1%</w:t>
            </w:r>
          </w:p>
        </w:tc>
        <w:tc>
          <w:tcPr/>
          <w:p>
            <w:pPr>
              <w:pStyle w:val="Compact"/>
            </w:pPr>
            <w:r>
              <w:t xml:space="preserve">38.2%</w:t>
            </w:r>
          </w:p>
        </w:tc>
        <w:tc>
          <w:tcPr/>
          <w:p>
            <w:pPr>
              <w:pStyle w:val="Compact"/>
            </w:pPr>
            <w:r>
              <w:t xml:space="preserve">31.2%</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174</w:t>
            </w:r>
          </w:p>
        </w:tc>
        <w:tc>
          <w:tcPr/>
          <w:p>
            <w:pPr>
              <w:pStyle w:val="Compact"/>
            </w:pPr>
            <w:r>
              <w:t xml:space="preserve">3519</w:t>
            </w:r>
          </w:p>
        </w:tc>
        <w:tc>
          <w:tcPr/>
          <w:p>
            <w:pPr>
              <w:pStyle w:val="Compact"/>
            </w:pPr>
            <w:r>
              <w:t xml:space="preserve">16 (13–24)</w:t>
            </w:r>
          </w:p>
        </w:tc>
        <w:tc>
          <w:tcPr/>
          <w:p>
            <w:pPr>
              <w:pStyle w:val="Compact"/>
            </w:pPr>
            <w:r>
              <w:t xml:space="preserve">0.251</w:t>
            </w:r>
          </w:p>
        </w:tc>
        <w:tc>
          <w:tcPr/>
          <w:p>
            <w:pPr>
              <w:pStyle w:val="Compact"/>
            </w:pPr>
            <w:r>
              <w:t xml:space="preserve">73.4</w:t>
            </w:r>
          </w:p>
        </w:tc>
        <w:tc>
          <w:tcPr/>
          <w:p>
            <w:pPr>
              <w:pStyle w:val="Compact"/>
            </w:pPr>
            <w:r>
              <w:t xml:space="preserve">23.0%</w:t>
            </w:r>
          </w:p>
        </w:tc>
        <w:tc>
          <w:tcPr/>
          <w:p>
            <w:pPr>
              <w:pStyle w:val="Compact"/>
            </w:pPr>
            <w:r>
              <w:t xml:space="preserve">36.6%</w:t>
            </w:r>
          </w:p>
        </w:tc>
        <w:tc>
          <w:tcPr/>
          <w:p>
            <w:pPr>
              <w:pStyle w:val="Compact"/>
            </w:pPr>
            <w:r>
              <w:t xml:space="preserve">32.7%</w:t>
            </w:r>
          </w:p>
        </w:tc>
      </w:tr>
      <w:tr>
        <w:tc>
          <w:tcPr/>
          <w:p>
            <w:pPr>
              <w:pStyle w:val="Compact"/>
            </w:pPr>
            <w:r>
              <w:t xml:space="preserve">2020</w:t>
            </w:r>
          </w:p>
        </w:tc>
        <w:tc>
          <w:tcPr/>
          <w:p>
            <w:pPr>
              <w:pStyle w:val="Compact"/>
            </w:pPr>
            <w:r>
              <w:t xml:space="preserve">All</w:t>
            </w:r>
          </w:p>
        </w:tc>
        <w:tc>
          <w:tcPr/>
          <w:p>
            <w:pPr>
              <w:pStyle w:val="Compact"/>
            </w:pPr>
            <w:r>
              <w:t xml:space="preserve">445</w:t>
            </w:r>
          </w:p>
        </w:tc>
        <w:tc>
          <w:tcPr/>
          <w:p>
            <w:pPr>
              <w:pStyle w:val="Compact"/>
            </w:pPr>
            <w:r>
              <w:t xml:space="preserve">9228</w:t>
            </w:r>
          </w:p>
        </w:tc>
        <w:tc>
          <w:tcPr/>
          <w:p>
            <w:pPr>
              <w:pStyle w:val="Compact"/>
            </w:pPr>
            <w:r>
              <w:t xml:space="preserve">17 (13–24)</w:t>
            </w:r>
          </w:p>
        </w:tc>
        <w:tc>
          <w:tcPr/>
          <w:p>
            <w:pPr>
              <w:pStyle w:val="Compact"/>
            </w:pPr>
            <w:r>
              <w:t xml:space="preserve">0.256</w:t>
            </w:r>
          </w:p>
        </w:tc>
        <w:tc>
          <w:tcPr/>
          <w:p>
            <w:pPr>
              <w:pStyle w:val="Compact"/>
            </w:pPr>
            <w:r>
              <w:t xml:space="preserve">28.7</w:t>
            </w:r>
          </w:p>
        </w:tc>
        <w:tc>
          <w:tcPr/>
          <w:p>
            <w:pPr>
              <w:pStyle w:val="Compact"/>
            </w:pPr>
            <w:r>
              <w:t xml:space="preserve">22.9%</w:t>
            </w:r>
          </w:p>
        </w:tc>
        <w:tc>
          <w:tcPr/>
          <w:p>
            <w:pPr>
              <w:pStyle w:val="Compact"/>
            </w:pPr>
            <w:r>
              <w:t xml:space="preserve">37.0%</w:t>
            </w:r>
          </w:p>
        </w:tc>
        <w:tc>
          <w:tcPr/>
          <w:p>
            <w:pPr>
              <w:pStyle w:val="Compact"/>
            </w:pPr>
            <w:r>
              <w:t xml:space="preserve">32.5%</w:t>
            </w:r>
          </w:p>
        </w:tc>
      </w:tr>
      <w:tr>
        <w:tc>
          <w:tcPr/>
          <w:p>
            <w:pPr>
              <w:pStyle w:val="Compact"/>
            </w:pPr>
            <w:r>
              <w:t xml:space="preserve">2020</w:t>
            </w:r>
          </w:p>
        </w:tc>
        <w:tc>
          <w:tcPr/>
          <w:p>
            <w:pPr>
              <w:pStyle w:val="Compact"/>
            </w:pPr>
            <w:r>
              <w:t xml:space="preserve">URPS</w:t>
            </w:r>
          </w:p>
        </w:tc>
        <w:tc>
          <w:tcPr/>
          <w:p>
            <w:pPr>
              <w:pStyle w:val="Compact"/>
            </w:pPr>
            <w:r>
              <w:t xml:space="preserve">280</w:t>
            </w:r>
          </w:p>
        </w:tc>
        <w:tc>
          <w:tcPr/>
          <w:p>
            <w:pPr>
              <w:pStyle w:val="Compact"/>
            </w:pPr>
            <w:r>
              <w:t xml:space="preserve">6051</w:t>
            </w:r>
          </w:p>
        </w:tc>
        <w:tc>
          <w:tcPr/>
          <w:p>
            <w:pPr>
              <w:pStyle w:val="Compact"/>
            </w:pPr>
            <w:r>
              <w:t xml:space="preserve">18 (14–25)</w:t>
            </w:r>
          </w:p>
        </w:tc>
        <w:tc>
          <w:tcPr/>
          <w:p>
            <w:pPr>
              <w:pStyle w:val="Compact"/>
            </w:pPr>
            <w:r>
              <w:t xml:space="preserve">0.262</w:t>
            </w:r>
          </w:p>
        </w:tc>
        <w:tc>
          <w:tcPr/>
          <w:p>
            <w:pPr>
              <w:pStyle w:val="Compact"/>
            </w:pPr>
            <w:r>
              <w:t xml:space="preserve">45.7</w:t>
            </w:r>
          </w:p>
        </w:tc>
        <w:tc>
          <w:tcPr/>
          <w:p>
            <w:pPr>
              <w:pStyle w:val="Compact"/>
            </w:pPr>
            <w:r>
              <w:t xml:space="preserve">22.7%</w:t>
            </w:r>
          </w:p>
        </w:tc>
        <w:tc>
          <w:tcPr/>
          <w:p>
            <w:pPr>
              <w:pStyle w:val="Compact"/>
            </w:pPr>
            <w:r>
              <w:t xml:space="preserve">37.4%</w:t>
            </w:r>
          </w:p>
        </w:tc>
        <w:tc>
          <w:tcPr/>
          <w:p>
            <w:pPr>
              <w:pStyle w:val="Compact"/>
            </w:pPr>
            <w:r>
              <w:t xml:space="preserve">32.1%</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117</w:t>
            </w:r>
          </w:p>
        </w:tc>
        <w:tc>
          <w:tcPr/>
          <w:p>
            <w:pPr>
              <w:pStyle w:val="Compact"/>
            </w:pPr>
            <w:r>
              <w:t xml:space="preserve">2155</w:t>
            </w:r>
          </w:p>
        </w:tc>
        <w:tc>
          <w:tcPr/>
          <w:p>
            <w:pPr>
              <w:pStyle w:val="Compact"/>
            </w:pPr>
            <w:r>
              <w:t xml:space="preserve">15 (13–21)</w:t>
            </w:r>
          </w:p>
        </w:tc>
        <w:tc>
          <w:tcPr/>
          <w:p>
            <w:pPr>
              <w:pStyle w:val="Compact"/>
            </w:pPr>
            <w:r>
              <w:t xml:space="preserve">0.225</w:t>
            </w:r>
          </w:p>
        </w:tc>
        <w:tc>
          <w:tcPr/>
          <w:p>
            <w:pPr>
              <w:pStyle w:val="Compact"/>
            </w:pPr>
            <w:r>
              <w:t xml:space="preserve">105.6</w:t>
            </w:r>
          </w:p>
        </w:tc>
        <w:tc>
          <w:tcPr/>
          <w:p>
            <w:pPr>
              <w:pStyle w:val="Compact"/>
            </w:pPr>
            <w:r>
              <w:t xml:space="preserve">21.4%</w:t>
            </w:r>
          </w:p>
        </w:tc>
        <w:tc>
          <w:tcPr/>
          <w:p>
            <w:pPr>
              <w:pStyle w:val="Compact"/>
            </w:pPr>
            <w:r>
              <w:t xml:space="preserve">36.0%</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458</w:t>
            </w:r>
          </w:p>
        </w:tc>
        <w:tc>
          <w:tcPr/>
          <w:p>
            <w:pPr>
              <w:pStyle w:val="Compact"/>
            </w:pPr>
            <w:r>
              <w:t xml:space="preserve">9551</w:t>
            </w:r>
          </w:p>
        </w:tc>
        <w:tc>
          <w:tcPr/>
          <w:p>
            <w:pPr>
              <w:pStyle w:val="Compact"/>
            </w:pPr>
            <w:r>
              <w:t xml:space="preserve">17 (13–24)</w:t>
            </w:r>
          </w:p>
        </w:tc>
        <w:tc>
          <w:tcPr/>
          <w:p>
            <w:pPr>
              <w:pStyle w:val="Compact"/>
            </w:pPr>
            <w:r>
              <w:t xml:space="preserve">0.265</w:t>
            </w:r>
          </w:p>
        </w:tc>
        <w:tc>
          <w:tcPr/>
          <w:p>
            <w:pPr>
              <w:pStyle w:val="Compact"/>
            </w:pPr>
            <w:r>
              <w:t xml:space="preserve">28.1</w:t>
            </w:r>
          </w:p>
        </w:tc>
        <w:tc>
          <w:tcPr/>
          <w:p>
            <w:pPr>
              <w:pStyle w:val="Compact"/>
            </w:pPr>
            <w:r>
              <w:t xml:space="preserve">22.9%</w:t>
            </w:r>
          </w:p>
        </w:tc>
        <w:tc>
          <w:tcPr/>
          <w:p>
            <w:pPr>
              <w:pStyle w:val="Compact"/>
            </w:pPr>
            <w:r>
              <w:t xml:space="preserve">38.0%</w:t>
            </w:r>
          </w:p>
        </w:tc>
        <w:tc>
          <w:tcPr/>
          <w:p>
            <w:pPr>
              <w:pStyle w:val="Compact"/>
            </w:pPr>
            <w:r>
              <w:t xml:space="preserve">31.9%</w:t>
            </w:r>
          </w:p>
        </w:tc>
      </w:tr>
      <w:tr>
        <w:tc>
          <w:tcPr/>
          <w:p>
            <w:pPr>
              <w:pStyle w:val="Compact"/>
            </w:pPr>
            <w:r>
              <w:t xml:space="preserve">2021</w:t>
            </w:r>
          </w:p>
        </w:tc>
        <w:tc>
          <w:tcPr/>
          <w:p>
            <w:pPr>
              <w:pStyle w:val="Compact"/>
            </w:pPr>
            <w:r>
              <w:t xml:space="preserve">URPS</w:t>
            </w:r>
          </w:p>
        </w:tc>
        <w:tc>
          <w:tcPr/>
          <w:p>
            <w:pPr>
              <w:pStyle w:val="Compact"/>
            </w:pPr>
            <w:r>
              <w:t xml:space="preserve">282</w:t>
            </w:r>
          </w:p>
        </w:tc>
        <w:tc>
          <w:tcPr/>
          <w:p>
            <w:pPr>
              <w:pStyle w:val="Compact"/>
            </w:pPr>
            <w:r>
              <w:t xml:space="preserve">6114</w:t>
            </w:r>
          </w:p>
        </w:tc>
        <w:tc>
          <w:tcPr/>
          <w:p>
            <w:pPr>
              <w:pStyle w:val="Compact"/>
            </w:pPr>
            <w:r>
              <w:t xml:space="preserve">18 (13–25)</w:t>
            </w:r>
          </w:p>
        </w:tc>
        <w:tc>
          <w:tcPr/>
          <w:p>
            <w:pPr>
              <w:pStyle w:val="Compact"/>
            </w:pPr>
            <w:r>
              <w:t xml:space="preserve">0.270</w:t>
            </w:r>
          </w:p>
        </w:tc>
        <w:tc>
          <w:tcPr/>
          <w:p>
            <w:pPr>
              <w:pStyle w:val="Compact"/>
            </w:pPr>
            <w:r>
              <w:t xml:space="preserve">45.6</w:t>
            </w:r>
          </w:p>
        </w:tc>
        <w:tc>
          <w:tcPr/>
          <w:p>
            <w:pPr>
              <w:pStyle w:val="Compact"/>
            </w:pPr>
            <w:r>
              <w:t xml:space="preserve">23.3%</w:t>
            </w:r>
          </w:p>
        </w:tc>
        <w:tc>
          <w:tcPr/>
          <w:p>
            <w:pPr>
              <w:pStyle w:val="Compact"/>
            </w:pPr>
            <w:r>
              <w:t xml:space="preserve">38.3%</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115</w:t>
            </w:r>
          </w:p>
        </w:tc>
        <w:tc>
          <w:tcPr/>
          <w:p>
            <w:pPr>
              <w:pStyle w:val="Compact"/>
            </w:pPr>
            <w:r>
              <w:t xml:space="preserve">2264</w:t>
            </w:r>
          </w:p>
        </w:tc>
        <w:tc>
          <w:tcPr/>
          <w:p>
            <w:pPr>
              <w:pStyle w:val="Compact"/>
            </w:pPr>
            <w:r>
              <w:t xml:space="preserve">17 (13–24)</w:t>
            </w:r>
          </w:p>
        </w:tc>
        <w:tc>
          <w:tcPr/>
          <w:p>
            <w:pPr>
              <w:pStyle w:val="Compact"/>
            </w:pPr>
            <w:r>
              <w:t xml:space="preserve">0.232</w:t>
            </w:r>
          </w:p>
        </w:tc>
        <w:tc>
          <w:tcPr/>
          <w:p>
            <w:pPr>
              <w:pStyle w:val="Compact"/>
            </w:pPr>
            <w:r>
              <w:t xml:space="preserve">104.8</w:t>
            </w:r>
          </w:p>
        </w:tc>
        <w:tc>
          <w:tcPr/>
          <w:p>
            <w:pPr>
              <w:pStyle w:val="Compact"/>
            </w:pPr>
            <w:r>
              <w:t xml:space="preserve">21.1%</w:t>
            </w:r>
          </w:p>
        </w:tc>
        <w:tc>
          <w:tcPr/>
          <w:p>
            <w:pPr>
              <w:pStyle w:val="Compact"/>
            </w:pPr>
            <w:r>
              <w:t xml:space="preserve">34.9%</w:t>
            </w:r>
          </w:p>
        </w:tc>
        <w:tc>
          <w:tcPr/>
          <w:p>
            <w:pPr>
              <w:pStyle w:val="Compact"/>
            </w:pPr>
            <w:r>
              <w:t xml:space="preserve">33.6%</w:t>
            </w:r>
          </w:p>
        </w:tc>
      </w:tr>
      <w:tr>
        <w:tc>
          <w:tcPr/>
          <w:p>
            <w:pPr>
              <w:pStyle w:val="Compact"/>
            </w:pPr>
            <w:r>
              <w:t xml:space="preserve">2022</w:t>
            </w:r>
          </w:p>
        </w:tc>
        <w:tc>
          <w:tcPr/>
          <w:p>
            <w:pPr>
              <w:pStyle w:val="Compact"/>
            </w:pPr>
            <w:r>
              <w:t xml:space="preserve">All</w:t>
            </w:r>
          </w:p>
        </w:tc>
        <w:tc>
          <w:tcPr/>
          <w:p>
            <w:pPr>
              <w:pStyle w:val="Compact"/>
            </w:pPr>
            <w:r>
              <w:t xml:space="preserve">562</w:t>
            </w:r>
          </w:p>
        </w:tc>
        <w:tc>
          <w:tcPr/>
          <w:p>
            <w:pPr>
              <w:pStyle w:val="Compact"/>
            </w:pPr>
            <w:r>
              <w:t xml:space="preserve">12053</w:t>
            </w:r>
          </w:p>
        </w:tc>
        <w:tc>
          <w:tcPr/>
          <w:p>
            <w:pPr>
              <w:pStyle w:val="Compact"/>
            </w:pPr>
            <w:r>
              <w:t xml:space="preserve">17 (13–25)</w:t>
            </w:r>
          </w:p>
        </w:tc>
        <w:tc>
          <w:tcPr/>
          <w:p>
            <w:pPr>
              <w:pStyle w:val="Compact"/>
            </w:pPr>
            <w:r>
              <w:t xml:space="preserve">0.275</w:t>
            </w:r>
          </w:p>
        </w:tc>
        <w:tc>
          <w:tcPr/>
          <w:p>
            <w:pPr>
              <w:pStyle w:val="Compact"/>
            </w:pPr>
            <w:r>
              <w:t xml:space="preserve">23.6</w:t>
            </w:r>
          </w:p>
        </w:tc>
        <w:tc>
          <w:tcPr/>
          <w:p>
            <w:pPr>
              <w:pStyle w:val="Compact"/>
            </w:pPr>
            <w:r>
              <w:t xml:space="preserve">24.2%</w:t>
            </w:r>
          </w:p>
        </w:tc>
        <w:tc>
          <w:tcPr/>
          <w:p>
            <w:pPr>
              <w:pStyle w:val="Compact"/>
            </w:pPr>
            <w:r>
              <w:t xml:space="preserve">39.1%</w:t>
            </w:r>
          </w:p>
        </w:tc>
        <w:tc>
          <w:tcPr/>
          <w:p>
            <w:pPr>
              <w:pStyle w:val="Compact"/>
            </w:pPr>
            <w:r>
              <w:t xml:space="preserve">31.4%</w:t>
            </w:r>
          </w:p>
        </w:tc>
      </w:tr>
      <w:tr>
        <w:tc>
          <w:tcPr/>
          <w:p>
            <w:pPr>
              <w:pStyle w:val="Compact"/>
            </w:pPr>
            <w:r>
              <w:t xml:space="preserve">2022</w:t>
            </w:r>
          </w:p>
        </w:tc>
        <w:tc>
          <w:tcPr/>
          <w:p>
            <w:pPr>
              <w:pStyle w:val="Compact"/>
            </w:pPr>
            <w:r>
              <w:t xml:space="preserve">URPS</w:t>
            </w:r>
          </w:p>
        </w:tc>
        <w:tc>
          <w:tcPr/>
          <w:p>
            <w:pPr>
              <w:pStyle w:val="Compact"/>
            </w:pPr>
            <w:r>
              <w:t xml:space="preserve">341</w:t>
            </w:r>
          </w:p>
        </w:tc>
        <w:tc>
          <w:tcPr/>
          <w:p>
            <w:pPr>
              <w:pStyle w:val="Compact"/>
            </w:pPr>
            <w:r>
              <w:t xml:space="preserve">7612</w:t>
            </w:r>
          </w:p>
        </w:tc>
        <w:tc>
          <w:tcPr/>
          <w:p>
            <w:pPr>
              <w:pStyle w:val="Compact"/>
            </w:pPr>
            <w:r>
              <w:t xml:space="preserve">18 (14–26)</w:t>
            </w:r>
          </w:p>
        </w:tc>
        <w:tc>
          <w:tcPr/>
          <w:p>
            <w:pPr>
              <w:pStyle w:val="Compact"/>
            </w:pPr>
            <w:r>
              <w:t xml:space="preserve">0.280</w:t>
            </w:r>
          </w:p>
        </w:tc>
        <w:tc>
          <w:tcPr/>
          <w:p>
            <w:pPr>
              <w:pStyle w:val="Compact"/>
            </w:pPr>
            <w:r>
              <w:t xml:space="preserve">38.9</w:t>
            </w:r>
          </w:p>
        </w:tc>
        <w:tc>
          <w:tcPr/>
          <w:p>
            <w:pPr>
              <w:pStyle w:val="Compact"/>
            </w:pPr>
            <w:r>
              <w:t xml:space="preserve">24.3%</w:t>
            </w:r>
          </w:p>
        </w:tc>
        <w:tc>
          <w:tcPr/>
          <w:p>
            <w:pPr>
              <w:pStyle w:val="Compact"/>
            </w:pPr>
            <w:r>
              <w:t xml:space="preserve">39.4%</w:t>
            </w:r>
          </w:p>
        </w:tc>
        <w:tc>
          <w:tcPr/>
          <w:p>
            <w:pPr>
              <w:pStyle w:val="Compact"/>
            </w:pPr>
            <w:r>
              <w:t xml:space="preserve">30.9%</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155</w:t>
            </w:r>
          </w:p>
        </w:tc>
        <w:tc>
          <w:tcPr/>
          <w:p>
            <w:pPr>
              <w:pStyle w:val="Compact"/>
            </w:pPr>
            <w:r>
              <w:t xml:space="preserve">3136</w:t>
            </w:r>
          </w:p>
        </w:tc>
        <w:tc>
          <w:tcPr/>
          <w:p>
            <w:pPr>
              <w:pStyle w:val="Compact"/>
            </w:pPr>
            <w:r>
              <w:t xml:space="preserve">16 (13–24)</w:t>
            </w:r>
          </w:p>
        </w:tc>
        <w:tc>
          <w:tcPr/>
          <w:p>
            <w:pPr>
              <w:pStyle w:val="Compact"/>
            </w:pPr>
            <w:r>
              <w:t xml:space="preserve">0.261</w:t>
            </w:r>
          </w:p>
        </w:tc>
        <w:tc>
          <w:tcPr/>
          <w:p>
            <w:pPr>
              <w:pStyle w:val="Compact"/>
            </w:pPr>
            <w:r>
              <w:t xml:space="preserve">83.9</w:t>
            </w:r>
          </w:p>
        </w:tc>
        <w:tc>
          <w:tcPr/>
          <w:p>
            <w:pPr>
              <w:pStyle w:val="Compact"/>
            </w:pPr>
            <w:r>
              <w:t xml:space="preserve">23.7%</w:t>
            </w:r>
          </w:p>
        </w:tc>
        <w:tc>
          <w:tcPr/>
          <w:p>
            <w:pPr>
              <w:pStyle w:val="Compact"/>
            </w:pPr>
            <w:r>
              <w:t xml:space="preserve">37.9%</w:t>
            </w:r>
          </w:p>
        </w:tc>
        <w:tc>
          <w:tcPr/>
          <w:p>
            <w:pPr>
              <w:pStyle w:val="Compact"/>
            </w:pPr>
            <w:r>
              <w:t xml:space="preserve">32.2%</w:t>
            </w:r>
          </w:p>
        </w:tc>
      </w:tr>
      <w:tr>
        <w:tc>
          <w:tcPr/>
          <w:p>
            <w:pPr>
              <w:pStyle w:val="Compact"/>
            </w:pPr>
            <w:r>
              <w:t xml:space="preserve">2023</w:t>
            </w:r>
          </w:p>
        </w:tc>
        <w:tc>
          <w:tcPr/>
          <w:p>
            <w:pPr>
              <w:pStyle w:val="Compact"/>
            </w:pPr>
            <w:r>
              <w:t xml:space="preserve">All</w:t>
            </w:r>
          </w:p>
        </w:tc>
        <w:tc>
          <w:tcPr/>
          <w:p>
            <w:pPr>
              <w:pStyle w:val="Compact"/>
            </w:pPr>
            <w:r>
              <w:t xml:space="preserve">562</w:t>
            </w:r>
          </w:p>
        </w:tc>
        <w:tc>
          <w:tcPr/>
          <w:p>
            <w:pPr>
              <w:pStyle w:val="Compact"/>
            </w:pPr>
            <w:r>
              <w:t xml:space="preserve">12223</w:t>
            </w:r>
          </w:p>
        </w:tc>
        <w:tc>
          <w:tcPr/>
          <w:p>
            <w:pPr>
              <w:pStyle w:val="Compact"/>
            </w:pPr>
            <w:r>
              <w:t xml:space="preserve">18 (13–25)</w:t>
            </w:r>
          </w:p>
        </w:tc>
        <w:tc>
          <w:tcPr/>
          <w:p>
            <w:pPr>
              <w:pStyle w:val="Compact"/>
            </w:pPr>
            <w:r>
              <w:t xml:space="preserve">0.268</w:t>
            </w:r>
          </w:p>
        </w:tc>
        <w:tc>
          <w:tcPr/>
          <w:p>
            <w:pPr>
              <w:pStyle w:val="Compact"/>
            </w:pPr>
            <w:r>
              <w:t xml:space="preserve">23.1</w:t>
            </w:r>
          </w:p>
        </w:tc>
        <w:tc>
          <w:tcPr/>
          <w:p>
            <w:pPr>
              <w:pStyle w:val="Compact"/>
            </w:pPr>
            <w:r>
              <w:t xml:space="preserve">23.2%</w:t>
            </w:r>
          </w:p>
        </w:tc>
        <w:tc>
          <w:tcPr/>
          <w:p>
            <w:pPr>
              <w:pStyle w:val="Compact"/>
            </w:pPr>
            <w:r>
              <w:t xml:space="preserve">37.9%</w:t>
            </w:r>
          </w:p>
        </w:tc>
        <w:tc>
          <w:tcPr/>
          <w:p>
            <w:pPr>
              <w:pStyle w:val="Compact"/>
            </w:pPr>
            <w:r>
              <w:t xml:space="preserve">31.6%</w:t>
            </w:r>
          </w:p>
        </w:tc>
      </w:tr>
      <w:tr>
        <w:tc>
          <w:tcPr/>
          <w:p>
            <w:pPr>
              <w:pStyle w:val="Compact"/>
            </w:pPr>
            <w:r>
              <w:t xml:space="preserve">2023</w:t>
            </w:r>
          </w:p>
        </w:tc>
        <w:tc>
          <w:tcPr/>
          <w:p>
            <w:pPr>
              <w:pStyle w:val="Compact"/>
            </w:pPr>
            <w:r>
              <w:t xml:space="preserve">URPS</w:t>
            </w:r>
          </w:p>
        </w:tc>
        <w:tc>
          <w:tcPr/>
          <w:p>
            <w:pPr>
              <w:pStyle w:val="Compact"/>
            </w:pPr>
            <w:r>
              <w:t xml:space="preserve">338</w:t>
            </w:r>
          </w:p>
        </w:tc>
        <w:tc>
          <w:tcPr/>
          <w:p>
            <w:pPr>
              <w:pStyle w:val="Compact"/>
            </w:pPr>
            <w:r>
              <w:t xml:space="preserve">7802</w:t>
            </w:r>
          </w:p>
        </w:tc>
        <w:tc>
          <w:tcPr/>
          <w:p>
            <w:pPr>
              <w:pStyle w:val="Compact"/>
            </w:pPr>
            <w:r>
              <w:t xml:space="preserve">19 (14–27)</w:t>
            </w:r>
          </w:p>
        </w:tc>
        <w:tc>
          <w:tcPr/>
          <w:p>
            <w:pPr>
              <w:pStyle w:val="Compact"/>
            </w:pPr>
            <w:r>
              <w:t xml:space="preserve">0.272</w:t>
            </w:r>
          </w:p>
        </w:tc>
        <w:tc>
          <w:tcPr/>
          <w:p>
            <w:pPr>
              <w:pStyle w:val="Compact"/>
            </w:pPr>
            <w:r>
              <w:t xml:space="preserve">38.3</w:t>
            </w:r>
          </w:p>
        </w:tc>
        <w:tc>
          <w:tcPr/>
          <w:p>
            <w:pPr>
              <w:pStyle w:val="Compact"/>
            </w:pPr>
            <w:r>
              <w:t xml:space="preserve">22.8%</w:t>
            </w:r>
          </w:p>
        </w:tc>
        <w:tc>
          <w:tcPr/>
          <w:p>
            <w:pPr>
              <w:pStyle w:val="Compact"/>
            </w:pPr>
            <w:r>
              <w:t xml:space="preserve">38.2%</w:t>
            </w:r>
          </w:p>
        </w:tc>
        <w:tc>
          <w:tcPr/>
          <w:p>
            <w:pPr>
              <w:pStyle w:val="Compact"/>
            </w:pPr>
            <w:r>
              <w:t xml:space="preserve">31.4%</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144</w:t>
            </w:r>
          </w:p>
        </w:tc>
        <w:tc>
          <w:tcPr/>
          <w:p>
            <w:pPr>
              <w:pStyle w:val="Compact"/>
            </w:pPr>
            <w:r>
              <w:t xml:space="preserve">2822</w:t>
            </w:r>
          </w:p>
        </w:tc>
        <w:tc>
          <w:tcPr/>
          <w:p>
            <w:pPr>
              <w:pStyle w:val="Compact"/>
            </w:pPr>
            <w:r>
              <w:t xml:space="preserve">16 (13–23)</w:t>
            </w:r>
          </w:p>
        </w:tc>
        <w:tc>
          <w:tcPr/>
          <w:p>
            <w:pPr>
              <w:pStyle w:val="Compact"/>
            </w:pPr>
            <w:r>
              <w:t xml:space="preserve">0.248</w:t>
            </w:r>
          </w:p>
        </w:tc>
        <w:tc>
          <w:tcPr/>
          <w:p>
            <w:pPr>
              <w:pStyle w:val="Compact"/>
            </w:pPr>
            <w:r>
              <w:t xml:space="preserve">88.7</w:t>
            </w:r>
          </w:p>
        </w:tc>
        <w:tc>
          <w:tcPr/>
          <w:p>
            <w:pPr>
              <w:pStyle w:val="Compact"/>
            </w:pPr>
            <w:r>
              <w:t xml:space="preserve">22.7%</w:t>
            </w:r>
          </w:p>
        </w:tc>
        <w:tc>
          <w:tcPr/>
          <w:p>
            <w:pPr>
              <w:pStyle w:val="Compact"/>
            </w:pPr>
            <w:r>
              <w:t xml:space="preserve">36.2%</w:t>
            </w:r>
          </w:p>
        </w:tc>
        <w:tc>
          <w:tcPr/>
          <w:p>
            <w:pPr>
              <w:pStyle w:val="Compact"/>
            </w:pPr>
            <w:r>
              <w:t xml:space="preserve">32.9%</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16399.000</w:t>
            </w:r>
          </w:p>
        </w:tc>
        <w:tc>
          <w:tcPr/>
          <w:p>
            <w:pPr>
              <w:pStyle w:val="Compact"/>
            </w:pPr>
            <w:r>
              <w:t xml:space="preserve">12223.000</w:t>
            </w:r>
          </w:p>
        </w:tc>
        <w:tc>
          <w:tcPr/>
          <w:p>
            <w:pPr>
              <w:pStyle w:val="Compact"/>
            </w:pPr>
            <w:r>
              <w:t xml:space="preserve">-490.345</w:t>
            </w:r>
          </w:p>
        </w:tc>
        <w:tc>
          <w:tcPr/>
          <w:p>
            <w:pPr>
              <w:pStyle w:val="Compact"/>
            </w:pPr>
            <w:r>
              <w:t xml:space="preserve">0.454</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w:t>
            </w:r>
          </w:p>
        </w:tc>
        <w:tc>
          <w:tcPr/>
          <w:p>
            <w:pPr>
              <w:pStyle w:val="Compact"/>
            </w:pPr>
            <w:r>
              <w:t xml:space="preserve">8749.000</w:t>
            </w:r>
          </w:p>
        </w:tc>
        <w:tc>
          <w:tcPr/>
          <w:p>
            <w:pPr>
              <w:pStyle w:val="Compact"/>
            </w:pPr>
            <w:r>
              <w:t xml:space="preserve">7802.000</w:t>
            </w:r>
          </w:p>
        </w:tc>
        <w:tc>
          <w:tcPr/>
          <w:p>
            <w:pPr>
              <w:pStyle w:val="Compact"/>
            </w:pPr>
            <w:r>
              <w:t xml:space="preserve">-176.809</w:t>
            </w:r>
          </w:p>
        </w:tc>
        <w:tc>
          <w:tcPr/>
          <w:p>
            <w:pPr>
              <w:pStyle w:val="Compact"/>
            </w:pPr>
            <w:r>
              <w:t xml:space="preserve">0.228</w:t>
            </w:r>
          </w:p>
        </w:tc>
        <w:tc>
          <w:tcPr/>
          <w:p>
            <w:pPr>
              <w:pStyle w:val="Compact"/>
            </w:pPr>
            <w:r>
              <w:t xml:space="preserve">0.140</w:t>
            </w:r>
          </w:p>
        </w:tc>
      </w:tr>
      <w:tr>
        <w:tc>
          <w:tcPr/>
          <w:p>
            <w:pPr>
              <w:pStyle w:val="Compact"/>
            </w:pPr>
            <w:r>
              <w:t xml:space="preserve">Total procedures</w:t>
            </w:r>
          </w:p>
        </w:tc>
        <w:tc>
          <w:tcPr/>
          <w:p>
            <w:pPr>
              <w:pStyle w:val="Compact"/>
            </w:pPr>
            <w:r>
              <w:t xml:space="preserve">Urology</w:t>
            </w:r>
          </w:p>
        </w:tc>
        <w:tc>
          <w:tcPr/>
          <w:p>
            <w:pPr>
              <w:pStyle w:val="Compact"/>
            </w:pPr>
            <w:r>
              <w:t xml:space="preserve">5035.000</w:t>
            </w:r>
          </w:p>
        </w:tc>
        <w:tc>
          <w:tcPr/>
          <w:p>
            <w:pPr>
              <w:pStyle w:val="Compact"/>
            </w:pPr>
            <w:r>
              <w:t xml:space="preserve">2822.000</w:t>
            </w:r>
          </w:p>
        </w:tc>
        <w:tc>
          <w:tcPr/>
          <w:p>
            <w:pPr>
              <w:pStyle w:val="Compact"/>
            </w:pPr>
            <w:r>
              <w:t xml:space="preserve">-202.591</w:t>
            </w:r>
          </w:p>
        </w:tc>
        <w:tc>
          <w:tcPr/>
          <w:p>
            <w:pPr>
              <w:pStyle w:val="Compact"/>
            </w:pPr>
            <w:r>
              <w:t xml:space="preserve">0.607</w:t>
            </w:r>
          </w:p>
        </w:tc>
        <w:tc>
          <w:tcPr/>
          <w:p>
            <w:pPr>
              <w:pStyle w:val="Compact"/>
            </w:pPr>
            <w:r>
              <w:t xml:space="preserve">0.005</w:t>
            </w:r>
          </w:p>
        </w:tc>
      </w:tr>
      <w:tr>
        <w:tc>
          <w:tcPr/>
          <w:p>
            <w:pPr>
              <w:pStyle w:val="Compact"/>
            </w:pPr>
            <w:r>
              <w:t xml:space="preserve">Observable surgeons</w:t>
            </w:r>
          </w:p>
        </w:tc>
        <w:tc>
          <w:tcPr/>
          <w:p>
            <w:pPr>
              <w:pStyle w:val="Compact"/>
            </w:pPr>
            <w:r>
              <w:t xml:space="preserve">All</w:t>
            </w:r>
          </w:p>
        </w:tc>
        <w:tc>
          <w:tcPr/>
          <w:p>
            <w:pPr>
              <w:pStyle w:val="Compact"/>
            </w:pPr>
            <w:r>
              <w:t xml:space="preserve">812.000</w:t>
            </w:r>
          </w:p>
        </w:tc>
        <w:tc>
          <w:tcPr/>
          <w:p>
            <w:pPr>
              <w:pStyle w:val="Compact"/>
            </w:pPr>
            <w:r>
              <w:t xml:space="preserve">562.000</w:t>
            </w:r>
          </w:p>
        </w:tc>
        <w:tc>
          <w:tcPr/>
          <w:p>
            <w:pPr>
              <w:pStyle w:val="Compact"/>
            </w:pPr>
            <w:r>
              <w:t xml:space="preserve">-26.636</w:t>
            </w:r>
          </w:p>
        </w:tc>
        <w:tc>
          <w:tcPr/>
          <w:p>
            <w:pPr>
              <w:pStyle w:val="Compact"/>
            </w:pPr>
            <w:r>
              <w:t xml:space="preserve">0.609</w:t>
            </w:r>
          </w:p>
        </w:tc>
        <w:tc>
          <w:tcPr/>
          <w:p>
            <w:pPr>
              <w:pStyle w:val="Compact"/>
            </w:pPr>
            <w:r>
              <w:t xml:space="preserve">0.005</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w:t>
            </w:r>
          </w:p>
        </w:tc>
        <w:tc>
          <w:tcPr/>
          <w:p>
            <w:pPr>
              <w:pStyle w:val="Compact"/>
            </w:pPr>
            <w:r>
              <w:t xml:space="preserve">385.000</w:t>
            </w:r>
          </w:p>
        </w:tc>
        <w:tc>
          <w:tcPr/>
          <w:p>
            <w:pPr>
              <w:pStyle w:val="Compact"/>
            </w:pPr>
            <w:r>
              <w:t xml:space="preserve">338.000</w:t>
            </w:r>
          </w:p>
        </w:tc>
        <w:tc>
          <w:tcPr/>
          <w:p>
            <w:pPr>
              <w:pStyle w:val="Compact"/>
            </w:pPr>
            <w:r>
              <w:t xml:space="preserve">-6.918</w:t>
            </w:r>
          </w:p>
        </w:tc>
        <w:tc>
          <w:tcPr/>
          <w:p>
            <w:pPr>
              <w:pStyle w:val="Compact"/>
            </w:pPr>
            <w:r>
              <w:t xml:space="preserve">0.279</w:t>
            </w:r>
          </w:p>
        </w:tc>
        <w:tc>
          <w:tcPr/>
          <w:p>
            <w:pPr>
              <w:pStyle w:val="Compact"/>
            </w:pPr>
            <w:r>
              <w:t xml:space="preserve">0.100</w:t>
            </w:r>
          </w:p>
        </w:tc>
      </w:tr>
      <w:tr>
        <w:tc>
          <w:tcPr/>
          <w:p>
            <w:pPr>
              <w:pStyle w:val="Compact"/>
            </w:pPr>
            <w:r>
              <w:t xml:space="preserve">Observable surgeons</w:t>
            </w:r>
          </w:p>
        </w:tc>
        <w:tc>
          <w:tcPr/>
          <w:p>
            <w:pPr>
              <w:pStyle w:val="Compact"/>
            </w:pPr>
            <w:r>
              <w:t xml:space="preserve">Urology</w:t>
            </w:r>
          </w:p>
        </w:tc>
        <w:tc>
          <w:tcPr/>
          <w:p>
            <w:pPr>
              <w:pStyle w:val="Compact"/>
            </w:pPr>
            <w:r>
              <w:t xml:space="preserve">282.000</w:t>
            </w:r>
          </w:p>
        </w:tc>
        <w:tc>
          <w:tcPr/>
          <w:p>
            <w:pPr>
              <w:pStyle w:val="Compact"/>
            </w:pPr>
            <w:r>
              <w:t xml:space="preserve">144.000</w:t>
            </w:r>
          </w:p>
        </w:tc>
        <w:tc>
          <w:tcPr/>
          <w:p>
            <w:pPr>
              <w:pStyle w:val="Compact"/>
            </w:pPr>
            <w:r>
              <w:t xml:space="preserve">-12.809</w:t>
            </w:r>
          </w:p>
        </w:tc>
        <w:tc>
          <w:tcPr/>
          <w:p>
            <w:pPr>
              <w:pStyle w:val="Compact"/>
            </w:pPr>
            <w:r>
              <w:t xml:space="preserve">0.724</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0.105</w:t>
            </w:r>
          </w:p>
        </w:tc>
        <w:tc>
          <w:tcPr/>
          <w:p>
            <w:pPr>
              <w:pStyle w:val="Compact"/>
            </w:pPr>
            <w:r>
              <w:t xml:space="preserve">0.168</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w:t>
            </w:r>
          </w:p>
        </w:tc>
        <w:tc>
          <w:tcPr/>
          <w:p>
            <w:pPr>
              <w:pStyle w:val="Compact"/>
            </w:pPr>
            <w:r>
              <w:t xml:space="preserve">19.000</w:t>
            </w:r>
          </w:p>
        </w:tc>
        <w:tc>
          <w:tcPr/>
          <w:p>
            <w:pPr>
              <w:pStyle w:val="Compact"/>
            </w:pPr>
            <w:r>
              <w:t xml:space="preserve">19.000</w:t>
            </w:r>
          </w:p>
        </w:tc>
        <w:tc>
          <w:tcPr/>
          <w:p>
            <w:pPr>
              <w:pStyle w:val="Compact"/>
            </w:pPr>
            <w:r>
              <w:t xml:space="preserve">-0.045</w:t>
            </w:r>
          </w:p>
        </w:tc>
        <w:tc>
          <w:tcPr/>
          <w:p>
            <w:pPr>
              <w:pStyle w:val="Compact"/>
            </w:pPr>
            <w:r>
              <w:t xml:space="preserve">0.040</w:t>
            </w:r>
          </w:p>
        </w:tc>
        <w:tc>
          <w:tcPr/>
          <w:p>
            <w:pPr>
              <w:pStyle w:val="Compact"/>
            </w:pPr>
            <w:r>
              <w:t xml:space="preserve">0.550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16.000</w:t>
            </w:r>
          </w:p>
        </w:tc>
        <w:tc>
          <w:tcPr/>
          <w:p>
            <w:pPr>
              <w:pStyle w:val="Compact"/>
            </w:pPr>
            <w:r>
              <w:t xml:space="preserve">0.123</w:t>
            </w:r>
          </w:p>
        </w:tc>
        <w:tc>
          <w:tcPr/>
          <w:p>
            <w:pPr>
              <w:pStyle w:val="Compact"/>
            </w:pPr>
            <w:r>
              <w:t xml:space="preserve">0.354</w:t>
            </w:r>
          </w:p>
        </w:tc>
        <w:tc>
          <w:tcPr/>
          <w:p>
            <w:pPr>
              <w:pStyle w:val="Compact"/>
            </w:pPr>
            <w:r>
              <w:t xml:space="preserve">0.050</w:t>
            </w:r>
          </w:p>
        </w:tc>
      </w:tr>
      <w:tr>
        <w:tc>
          <w:tcPr/>
          <w:p>
            <w:pPr>
              <w:pStyle w:val="Compact"/>
            </w:pPr>
            <w:r>
              <w:t xml:space="preserve">Gini coefficient</w:t>
            </w:r>
          </w:p>
        </w:tc>
        <w:tc>
          <w:tcPr/>
          <w:p>
            <w:pPr>
              <w:pStyle w:val="Compact"/>
            </w:pPr>
            <w:r>
              <w:t xml:space="preserve">All</w:t>
            </w:r>
          </w:p>
        </w:tc>
        <w:tc>
          <w:tcPr/>
          <w:p>
            <w:pPr>
              <w:pStyle w:val="Compact"/>
            </w:pPr>
            <w:r>
              <w:t xml:space="preserve">0.272</w:t>
            </w:r>
          </w:p>
        </w:tc>
        <w:tc>
          <w:tcPr/>
          <w:p>
            <w:pPr>
              <w:pStyle w:val="Compact"/>
            </w:pPr>
            <w:r>
              <w:t xml:space="preserve">0.268</w:t>
            </w:r>
          </w:p>
        </w:tc>
        <w:tc>
          <w:tcPr/>
          <w:p>
            <w:pPr>
              <w:pStyle w:val="Compact"/>
            </w:pPr>
            <w:r>
              <w:t xml:space="preserve">0.000</w:t>
            </w:r>
          </w:p>
        </w:tc>
        <w:tc>
          <w:tcPr/>
          <w:p>
            <w:pPr>
              <w:pStyle w:val="Compact"/>
            </w:pPr>
            <w:r>
              <w:t xml:space="preserve">0.014</w:t>
            </w:r>
          </w:p>
        </w:tc>
        <w:tc>
          <w:tcPr/>
          <w:p>
            <w:pPr>
              <w:pStyle w:val="Compact"/>
            </w:pPr>
            <w:r>
              <w:t xml:space="preserve">0.730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w:t>
            </w:r>
          </w:p>
        </w:tc>
        <w:tc>
          <w:tcPr/>
          <w:p>
            <w:pPr>
              <w:pStyle w:val="Compact"/>
            </w:pPr>
            <w:r>
              <w:t xml:space="preserve">0.283</w:t>
            </w:r>
          </w:p>
        </w:tc>
        <w:tc>
          <w:tcPr/>
          <w:p>
            <w:pPr>
              <w:pStyle w:val="Compact"/>
            </w:pPr>
            <w:r>
              <w:t xml:space="preserve">0.272</w:t>
            </w:r>
          </w:p>
        </w:tc>
        <w:tc>
          <w:tcPr/>
          <w:p>
            <w:pPr>
              <w:pStyle w:val="Compact"/>
            </w:pPr>
            <w:r>
              <w:t xml:space="preserve">-0.001</w:t>
            </w:r>
          </w:p>
        </w:tc>
        <w:tc>
          <w:tcPr/>
          <w:p>
            <w:pPr>
              <w:pStyle w:val="Compact"/>
            </w:pPr>
            <w:r>
              <w:t xml:space="preserve">0.201</w:t>
            </w:r>
          </w:p>
        </w:tc>
        <w:tc>
          <w:tcPr/>
          <w:p>
            <w:pPr>
              <w:pStyle w:val="Compact"/>
            </w:pPr>
            <w:r>
              <w:t xml:space="preserve">0.170</w:t>
            </w:r>
          </w:p>
        </w:tc>
      </w:tr>
      <w:tr>
        <w:tc>
          <w:tcPr/>
          <w:p>
            <w:pPr>
              <w:pStyle w:val="Compact"/>
            </w:pPr>
            <w:r>
              <w:t xml:space="preserve">Gini coefficient</w:t>
            </w:r>
          </w:p>
        </w:tc>
        <w:tc>
          <w:tcPr/>
          <w:p>
            <w:pPr>
              <w:pStyle w:val="Compact"/>
            </w:pPr>
            <w:r>
              <w:t xml:space="preserve">Urology</w:t>
            </w:r>
          </w:p>
        </w:tc>
        <w:tc>
          <w:tcPr/>
          <w:p>
            <w:pPr>
              <w:pStyle w:val="Compact"/>
            </w:pPr>
            <w:r>
              <w:t xml:space="preserve">0.235</w:t>
            </w:r>
          </w:p>
        </w:tc>
        <w:tc>
          <w:tcPr/>
          <w:p>
            <w:pPr>
              <w:pStyle w:val="Compact"/>
            </w:pPr>
            <w:r>
              <w:t xml:space="preserve">0.248</w:t>
            </w:r>
          </w:p>
        </w:tc>
        <w:tc>
          <w:tcPr/>
          <w:p>
            <w:pPr>
              <w:pStyle w:val="Compact"/>
            </w:pPr>
            <w:r>
              <w:t xml:space="preserve">0.001</w:t>
            </w:r>
          </w:p>
        </w:tc>
        <w:tc>
          <w:tcPr/>
          <w:p>
            <w:pPr>
              <w:pStyle w:val="Compact"/>
            </w:pPr>
            <w:r>
              <w:t xml:space="preserve">0.081</w:t>
            </w:r>
          </w:p>
        </w:tc>
        <w:tc>
          <w:tcPr/>
          <w:p>
            <w:pPr>
              <w:pStyle w:val="Compact"/>
            </w:pPr>
            <w:r>
              <w:t xml:space="preserve">0.400</w:t>
            </w:r>
          </w:p>
        </w:tc>
      </w:tr>
      <w:tr>
        <w:tc>
          <w:tcPr/>
          <w:p>
            <w:pPr>
              <w:pStyle w:val="Compact"/>
            </w:pPr>
            <w:r>
              <w:t xml:space="preserve">HHI (0–10,000)</w:t>
            </w:r>
          </w:p>
        </w:tc>
        <w:tc>
          <w:tcPr/>
          <w:p>
            <w:pPr>
              <w:pStyle w:val="Compact"/>
            </w:pPr>
            <w:r>
              <w:t xml:space="preserve">All</w:t>
            </w:r>
          </w:p>
        </w:tc>
        <w:tc>
          <w:tcPr/>
          <w:p>
            <w:pPr>
              <w:pStyle w:val="Compact"/>
            </w:pPr>
            <w:r>
              <w:t xml:space="preserve">16.564</w:t>
            </w:r>
          </w:p>
        </w:tc>
        <w:tc>
          <w:tcPr/>
          <w:p>
            <w:pPr>
              <w:pStyle w:val="Compact"/>
            </w:pPr>
            <w:r>
              <w:t xml:space="preserve">23.057</w:t>
            </w:r>
          </w:p>
        </w:tc>
        <w:tc>
          <w:tcPr/>
          <w:p>
            <w:pPr>
              <w:pStyle w:val="Compact"/>
            </w:pPr>
            <w:r>
              <w:t xml:space="preserve">0.876</w:t>
            </w:r>
          </w:p>
        </w:tc>
        <w:tc>
          <w:tcPr/>
          <w:p>
            <w:pPr>
              <w:pStyle w:val="Compact"/>
            </w:pPr>
            <w:r>
              <w:t xml:space="preserve">0.530</w:t>
            </w:r>
          </w:p>
        </w:tc>
        <w:tc>
          <w:tcPr/>
          <w:p>
            <w:pPr>
              <w:pStyle w:val="Compact"/>
            </w:pPr>
            <w:r>
              <w:t xml:space="preserve">0.010</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w:t>
            </w:r>
          </w:p>
        </w:tc>
        <w:tc>
          <w:tcPr/>
          <w:p>
            <w:pPr>
              <w:pStyle w:val="Compact"/>
            </w:pPr>
            <w:r>
              <w:t xml:space="preserve">34.768</w:t>
            </w:r>
          </w:p>
        </w:tc>
        <w:tc>
          <w:tcPr/>
          <w:p>
            <w:pPr>
              <w:pStyle w:val="Compact"/>
            </w:pPr>
            <w:r>
              <w:t xml:space="preserve">38.253</w:t>
            </w:r>
          </w:p>
        </w:tc>
        <w:tc>
          <w:tcPr/>
          <w:p>
            <w:pPr>
              <w:pStyle w:val="Compact"/>
            </w:pPr>
            <w:r>
              <w:t xml:space="preserve">0.722</w:t>
            </w:r>
          </w:p>
        </w:tc>
        <w:tc>
          <w:tcPr/>
          <w:p>
            <w:pPr>
              <w:pStyle w:val="Compact"/>
            </w:pPr>
            <w:r>
              <w:t xml:space="preserve">0.257</w:t>
            </w:r>
          </w:p>
        </w:tc>
        <w:tc>
          <w:tcPr/>
          <w:p>
            <w:pPr>
              <w:pStyle w:val="Compact"/>
            </w:pPr>
            <w:r>
              <w:t xml:space="preserve">0.110</w:t>
            </w:r>
          </w:p>
        </w:tc>
      </w:tr>
      <w:tr>
        <w:tc>
          <w:tcPr/>
          <w:p>
            <w:pPr>
              <w:pStyle w:val="Compact"/>
            </w:pPr>
            <w:r>
              <w:t xml:space="preserve">HHI (0–10,000)</w:t>
            </w:r>
          </w:p>
        </w:tc>
        <w:tc>
          <w:tcPr/>
          <w:p>
            <w:pPr>
              <w:pStyle w:val="Compact"/>
            </w:pPr>
            <w:r>
              <w:t xml:space="preserve">Urology</w:t>
            </w:r>
          </w:p>
        </w:tc>
        <w:tc>
          <w:tcPr/>
          <w:p>
            <w:pPr>
              <w:pStyle w:val="Compact"/>
            </w:pPr>
            <w:r>
              <w:t xml:space="preserve">46.113</w:t>
            </w:r>
          </w:p>
        </w:tc>
        <w:tc>
          <w:tcPr/>
          <w:p>
            <w:pPr>
              <w:pStyle w:val="Compact"/>
            </w:pPr>
            <w:r>
              <w:t xml:space="preserve">88.690</w:t>
            </w:r>
          </w:p>
        </w:tc>
        <w:tc>
          <w:tcPr/>
          <w:p>
            <w:pPr>
              <w:pStyle w:val="Compact"/>
            </w:pPr>
            <w:r>
              <w:t xml:space="preserve">4.821</w:t>
            </w:r>
          </w:p>
        </w:tc>
        <w:tc>
          <w:tcPr/>
          <w:p>
            <w:pPr>
              <w:pStyle w:val="Compact"/>
            </w:pPr>
            <w:r>
              <w:t xml:space="preserve">0.676</w:t>
            </w:r>
          </w:p>
        </w:tc>
        <w:tc>
          <w:tcPr/>
          <w:p>
            <w:pPr>
              <w:pStyle w:val="Compact"/>
            </w:pPr>
            <w:r>
              <w:t xml:space="preserve">0.002</w:t>
            </w:r>
          </w:p>
        </w:tc>
      </w:tr>
      <w:tr>
        <w:tc>
          <w:tcPr/>
          <w:p>
            <w:pPr>
              <w:pStyle w:val="Compact"/>
            </w:pPr>
            <w:r>
              <w:t xml:space="preserve">Share by top 10% (%)</w:t>
            </w:r>
          </w:p>
        </w:tc>
        <w:tc>
          <w:tcPr/>
          <w:p>
            <w:pPr>
              <w:pStyle w:val="Compact"/>
            </w:pPr>
            <w:r>
              <w:t xml:space="preserve">All</w:t>
            </w:r>
          </w:p>
        </w:tc>
        <w:tc>
          <w:tcPr/>
          <w:p>
            <w:pPr>
              <w:pStyle w:val="Compact"/>
            </w:pPr>
            <w:r>
              <w:t xml:space="preserve">24.538</w:t>
            </w:r>
          </w:p>
        </w:tc>
        <w:tc>
          <w:tcPr/>
          <w:p>
            <w:pPr>
              <w:pStyle w:val="Compact"/>
            </w:pPr>
            <w:r>
              <w:t xml:space="preserve">23.202</w:t>
            </w:r>
          </w:p>
        </w:tc>
        <w:tc>
          <w:tcPr/>
          <w:p>
            <w:pPr>
              <w:pStyle w:val="Compact"/>
            </w:pPr>
            <w:r>
              <w:t xml:space="preserve">-0.056</w:t>
            </w:r>
          </w:p>
        </w:tc>
        <w:tc>
          <w:tcPr/>
          <w:p>
            <w:pPr>
              <w:pStyle w:val="Compact"/>
            </w:pPr>
            <w:r>
              <w:t xml:space="preserve">0.123</w:t>
            </w:r>
          </w:p>
        </w:tc>
        <w:tc>
          <w:tcPr/>
          <w:p>
            <w:pPr>
              <w:pStyle w:val="Compact"/>
            </w:pPr>
            <w:r>
              <w:t xml:space="preserve">0.290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w:t>
            </w:r>
          </w:p>
        </w:tc>
        <w:tc>
          <w:tcPr/>
          <w:p>
            <w:pPr>
              <w:pStyle w:val="Compact"/>
            </w:pPr>
            <w:r>
              <w:t xml:space="preserve">24.117</w:t>
            </w:r>
          </w:p>
        </w:tc>
        <w:tc>
          <w:tcPr/>
          <w:p>
            <w:pPr>
              <w:pStyle w:val="Compact"/>
            </w:pPr>
            <w:r>
              <w:t xml:space="preserve">22.776</w:t>
            </w:r>
          </w:p>
        </w:tc>
        <w:tc>
          <w:tcPr/>
          <w:p>
            <w:pPr>
              <w:pStyle w:val="Compact"/>
            </w:pPr>
            <w:r>
              <w:t xml:space="preserve">-0.018</w:t>
            </w:r>
          </w:p>
        </w:tc>
        <w:tc>
          <w:tcPr/>
          <w:p>
            <w:pPr>
              <w:pStyle w:val="Compact"/>
            </w:pPr>
            <w:r>
              <w:t xml:space="preserve">0.011</w:t>
            </w:r>
          </w:p>
        </w:tc>
        <w:tc>
          <w:tcPr/>
          <w:p>
            <w:pPr>
              <w:pStyle w:val="Compact"/>
            </w:pPr>
            <w:r>
              <w:t xml:space="preserve">0.760</w:t>
            </w:r>
          </w:p>
        </w:tc>
      </w:tr>
      <w:tr>
        <w:tc>
          <w:tcPr/>
          <w:p>
            <w:pPr>
              <w:pStyle w:val="Compact"/>
            </w:pPr>
            <w:r>
              <w:t xml:space="preserve">Share by top 10% (%)</w:t>
            </w:r>
          </w:p>
        </w:tc>
        <w:tc>
          <w:tcPr/>
          <w:p>
            <w:pPr>
              <w:pStyle w:val="Compact"/>
            </w:pPr>
            <w:r>
              <w:t xml:space="preserve">Urology</w:t>
            </w:r>
          </w:p>
        </w:tc>
        <w:tc>
          <w:tcPr/>
          <w:p>
            <w:pPr>
              <w:pStyle w:val="Compact"/>
            </w:pPr>
            <w:r>
              <w:t xml:space="preserve">23.952</w:t>
            </w:r>
          </w:p>
        </w:tc>
        <w:tc>
          <w:tcPr/>
          <w:p>
            <w:pPr>
              <w:pStyle w:val="Compact"/>
            </w:pPr>
            <w:r>
              <w:t xml:space="preserve">22.679</w:t>
            </w:r>
          </w:p>
        </w:tc>
        <w:tc>
          <w:tcPr/>
          <w:p>
            <w:pPr>
              <w:pStyle w:val="Compact"/>
            </w:pPr>
            <w:r>
              <w:t xml:space="preserve">-0.114</w:t>
            </w:r>
          </w:p>
        </w:tc>
        <w:tc>
          <w:tcPr/>
          <w:p>
            <w:pPr>
              <w:pStyle w:val="Compact"/>
            </w:pPr>
            <w:r>
              <w:t xml:space="preserve">0.142</w:t>
            </w:r>
          </w:p>
        </w:tc>
        <w:tc>
          <w:tcPr/>
          <w:p>
            <w:pPr>
              <w:pStyle w:val="Compact"/>
            </w:pPr>
            <w:r>
              <w:t xml:space="preserve">0.250</w:t>
            </w:r>
          </w:p>
        </w:tc>
      </w:tr>
      <w:tr>
        <w:tc>
          <w:tcPr/>
          <w:p>
            <w:pPr>
              <w:pStyle w:val="Compact"/>
            </w:pPr>
            <w:r>
              <w:t xml:space="preserve">Share by top 20% (%)</w:t>
            </w:r>
          </w:p>
        </w:tc>
        <w:tc>
          <w:tcPr/>
          <w:p>
            <w:pPr>
              <w:pStyle w:val="Compact"/>
            </w:pPr>
            <w:r>
              <w:t xml:space="preserve">All</w:t>
            </w:r>
          </w:p>
        </w:tc>
        <w:tc>
          <w:tcPr/>
          <w:p>
            <w:pPr>
              <w:pStyle w:val="Compact"/>
            </w:pPr>
            <w:r>
              <w:t xml:space="preserve">39.210</w:t>
            </w:r>
          </w:p>
        </w:tc>
        <w:tc>
          <w:tcPr/>
          <w:p>
            <w:pPr>
              <w:pStyle w:val="Compact"/>
            </w:pPr>
            <w:r>
              <w:t xml:space="preserve">37.945</w:t>
            </w:r>
          </w:p>
        </w:tc>
        <w:tc>
          <w:tcPr/>
          <w:p>
            <w:pPr>
              <w:pStyle w:val="Compact"/>
            </w:pPr>
            <w:r>
              <w:t xml:space="preserve">-0.055</w:t>
            </w:r>
          </w:p>
        </w:tc>
        <w:tc>
          <w:tcPr/>
          <w:p>
            <w:pPr>
              <w:pStyle w:val="Compact"/>
            </w:pPr>
            <w:r>
              <w:t xml:space="preserve">0.092</w:t>
            </w:r>
          </w:p>
        </w:tc>
        <w:tc>
          <w:tcPr/>
          <w:p>
            <w:pPr>
              <w:pStyle w:val="Compact"/>
            </w:pPr>
            <w:r>
              <w:t xml:space="preserve">0.370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w:t>
            </w:r>
          </w:p>
        </w:tc>
        <w:tc>
          <w:tcPr/>
          <w:p>
            <w:pPr>
              <w:pStyle w:val="Compact"/>
            </w:pPr>
            <w:r>
              <w:t xml:space="preserve">39.102</w:t>
            </w:r>
          </w:p>
        </w:tc>
        <w:tc>
          <w:tcPr/>
          <w:p>
            <w:pPr>
              <w:pStyle w:val="Compact"/>
            </w:pPr>
            <w:r>
              <w:t xml:space="preserve">38.170</w:t>
            </w:r>
          </w:p>
        </w:tc>
        <w:tc>
          <w:tcPr/>
          <w:p>
            <w:pPr>
              <w:pStyle w:val="Compact"/>
            </w:pPr>
            <w:r>
              <w:t xml:space="preserve">-0.020</w:t>
            </w:r>
          </w:p>
        </w:tc>
        <w:tc>
          <w:tcPr/>
          <w:p>
            <w:pPr>
              <w:pStyle w:val="Compact"/>
            </w:pPr>
            <w:r>
              <w:t xml:space="preserve">0.014</w:t>
            </w:r>
          </w:p>
        </w:tc>
        <w:tc>
          <w:tcPr/>
          <w:p>
            <w:pPr>
              <w:pStyle w:val="Compact"/>
            </w:pPr>
            <w:r>
              <w:t xml:space="preserve">0.730</w:t>
            </w:r>
          </w:p>
        </w:tc>
      </w:tr>
      <w:tr>
        <w:tc>
          <w:tcPr/>
          <w:p>
            <w:pPr>
              <w:pStyle w:val="Compact"/>
            </w:pPr>
            <w:r>
              <w:t xml:space="preserve">Share by top 20% (%)</w:t>
            </w:r>
          </w:p>
        </w:tc>
        <w:tc>
          <w:tcPr/>
          <w:p>
            <w:pPr>
              <w:pStyle w:val="Compact"/>
            </w:pPr>
            <w:r>
              <w:t xml:space="preserve">Urology</w:t>
            </w:r>
          </w:p>
        </w:tc>
        <w:tc>
          <w:tcPr/>
          <w:p>
            <w:pPr>
              <w:pStyle w:val="Compact"/>
            </w:pPr>
            <w:r>
              <w:t xml:space="preserve">36.822</w:t>
            </w:r>
          </w:p>
        </w:tc>
        <w:tc>
          <w:tcPr/>
          <w:p>
            <w:pPr>
              <w:pStyle w:val="Compact"/>
            </w:pPr>
            <w:r>
              <w:t xml:space="preserve">36.180</w:t>
            </w:r>
          </w:p>
        </w:tc>
        <w:tc>
          <w:tcPr/>
          <w:p>
            <w:pPr>
              <w:pStyle w:val="Compact"/>
            </w:pPr>
            <w:r>
              <w:t xml:space="preserve">-0.032</w:t>
            </w:r>
          </w:p>
        </w:tc>
        <w:tc>
          <w:tcPr/>
          <w:p>
            <w:pPr>
              <w:pStyle w:val="Compact"/>
            </w:pPr>
            <w:r>
              <w:t xml:space="preserve">0.010</w:t>
            </w:r>
          </w:p>
        </w:tc>
        <w:tc>
          <w:tcPr/>
          <w:p>
            <w:pPr>
              <w:pStyle w:val="Compact"/>
            </w:pPr>
            <w:r>
              <w:t xml:space="preserve">0.770</w:t>
            </w:r>
          </w:p>
        </w:tc>
      </w:tr>
      <w:tr>
        <w:tc>
          <w:tcPr/>
          <w:p>
            <w:pPr>
              <w:pStyle w:val="Compact"/>
            </w:pPr>
            <w:r>
              <w:t xml:space="preserve">Share by bottom 50% (%)</w:t>
            </w:r>
          </w:p>
        </w:tc>
        <w:tc>
          <w:tcPr/>
          <w:p>
            <w:pPr>
              <w:pStyle w:val="Compact"/>
            </w:pPr>
            <w:r>
              <w:t xml:space="preserve">All</w:t>
            </w:r>
          </w:p>
        </w:tc>
        <w:tc>
          <w:tcPr/>
          <w:p>
            <w:pPr>
              <w:pStyle w:val="Compact"/>
            </w:pPr>
            <w:r>
              <w:t xml:space="preserve">31.734</w:t>
            </w:r>
          </w:p>
        </w:tc>
        <w:tc>
          <w:tcPr/>
          <w:p>
            <w:pPr>
              <w:pStyle w:val="Compact"/>
            </w:pPr>
            <w:r>
              <w:t xml:space="preserve">31.604</w:t>
            </w:r>
          </w:p>
        </w:tc>
        <w:tc>
          <w:tcPr/>
          <w:p>
            <w:pPr>
              <w:pStyle w:val="Compact"/>
            </w:pPr>
            <w:r>
              <w:t xml:space="preserve">0.007</w:t>
            </w:r>
          </w:p>
        </w:tc>
        <w:tc>
          <w:tcPr/>
          <w:p>
            <w:pPr>
              <w:pStyle w:val="Compact"/>
            </w:pPr>
            <w:r>
              <w:t xml:space="preserve">0.003</w:t>
            </w:r>
          </w:p>
        </w:tc>
        <w:tc>
          <w:tcPr/>
          <w:p>
            <w:pPr>
              <w:pStyle w:val="Compact"/>
            </w:pPr>
            <w:r>
              <w:t xml:space="preserve">0.870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w:t>
            </w:r>
          </w:p>
        </w:tc>
        <w:tc>
          <w:tcPr/>
          <w:p>
            <w:pPr>
              <w:pStyle w:val="Compact"/>
            </w:pPr>
            <w:r>
              <w:t xml:space="preserve">30.552</w:t>
            </w:r>
          </w:p>
        </w:tc>
        <w:tc>
          <w:tcPr/>
          <w:p>
            <w:pPr>
              <w:pStyle w:val="Compact"/>
            </w:pPr>
            <w:r>
              <w:t xml:space="preserve">31.364</w:t>
            </w:r>
          </w:p>
        </w:tc>
        <w:tc>
          <w:tcPr/>
          <w:p>
            <w:pPr>
              <w:pStyle w:val="Compact"/>
            </w:pPr>
            <w:r>
              <w:t xml:space="preserve">0.085</w:t>
            </w:r>
          </w:p>
        </w:tc>
        <w:tc>
          <w:tcPr/>
          <w:p>
            <w:pPr>
              <w:pStyle w:val="Compact"/>
            </w:pPr>
            <w:r>
              <w:t xml:space="preserve">0.308</w:t>
            </w:r>
          </w:p>
        </w:tc>
        <w:tc>
          <w:tcPr/>
          <w:p>
            <w:pPr>
              <w:pStyle w:val="Compact"/>
            </w:pPr>
            <w:r>
              <w:t xml:space="preserve">0.080</w:t>
            </w:r>
          </w:p>
        </w:tc>
      </w:tr>
      <w:tr>
        <w:tc>
          <w:tcPr/>
          <w:p>
            <w:pPr>
              <w:pStyle w:val="Compact"/>
            </w:pPr>
            <w:r>
              <w:t xml:space="preserve">Share by bottom 50% (%)</w:t>
            </w:r>
          </w:p>
        </w:tc>
        <w:tc>
          <w:tcPr/>
          <w:p>
            <w:pPr>
              <w:pStyle w:val="Compact"/>
            </w:pPr>
            <w:r>
              <w:t xml:space="preserve">Urology</w:t>
            </w:r>
          </w:p>
        </w:tc>
        <w:tc>
          <w:tcPr/>
          <w:p>
            <w:pPr>
              <w:pStyle w:val="Compact"/>
            </w:pPr>
            <w:r>
              <w:t xml:space="preserve">34.598</w:t>
            </w:r>
          </w:p>
        </w:tc>
        <w:tc>
          <w:tcPr/>
          <w:p>
            <w:pPr>
              <w:pStyle w:val="Compact"/>
            </w:pPr>
            <w:r>
              <w:t xml:space="preserve">32.884</w:t>
            </w:r>
          </w:p>
        </w:tc>
        <w:tc>
          <w:tcPr/>
          <w:p>
            <w:pPr>
              <w:pStyle w:val="Compact"/>
            </w:pPr>
            <w:r>
              <w:t xml:space="preserve">-0.161</w:t>
            </w:r>
          </w:p>
        </w:tc>
        <w:tc>
          <w:tcPr/>
          <w:p>
            <w:pPr>
              <w:pStyle w:val="Compact"/>
            </w:pPr>
            <w:r>
              <w:t xml:space="preserve">0.324</w:t>
            </w:r>
          </w:p>
        </w:tc>
        <w:tc>
          <w:tcPr/>
          <w:p>
            <w:pPr>
              <w:pStyle w:val="Compact"/>
            </w:pPr>
            <w:r>
              <w:t xml:space="preserve">0.070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760"/>
        <w:gridCol w:w="1760"/>
        <w:gridCol w:w="1760"/>
        <w:gridCol w:w="1650"/>
        <w:gridCol w:w="990"/>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15.7</w:t>
            </w:r>
          </w:p>
        </w:tc>
        <w:tc>
          <w:tcPr/>
          <w:p>
            <w:pPr>
              <w:pStyle w:val="Compact"/>
            </w:pPr>
            <w:r>
              <w:t xml:space="preserve">12.3</w:t>
            </w:r>
          </w:p>
        </w:tc>
        <w:tc>
          <w:tcPr/>
          <w:p>
            <w:pPr>
              <w:pStyle w:val="Compact"/>
            </w:pPr>
            <w:r>
              <w:t xml:space="preserve">-0.421</w:t>
            </w:r>
          </w:p>
        </w:tc>
        <w:tc>
          <w:tcPr/>
          <w:p>
            <w:pPr>
              <w:pStyle w:val="Compact"/>
            </w:pPr>
            <w:r>
              <w:t xml:space="preserve">0.006</w:t>
            </w:r>
          </w:p>
        </w:tc>
      </w:tr>
      <w:tr>
        <w:tc>
          <w:tcPr/>
          <w:p>
            <w:pPr>
              <w:pStyle w:val="Compact"/>
            </w:pPr>
            <w:r>
              <w:t xml:space="preserve">MIGS</w:t>
            </w:r>
          </w:p>
        </w:tc>
        <w:tc>
          <w:tcPr/>
          <w:p>
            <w:pPr>
              <w:pStyle w:val="Compact"/>
            </w:pPr>
            <w:r>
              <w:t xml:space="preserve">0.2</w:t>
            </w:r>
          </w:p>
        </w:tc>
        <w:tc>
          <w:tcPr/>
          <w:p>
            <w:pPr>
              <w:pStyle w:val="Compact"/>
            </w:pPr>
            <w:r>
              <w:t xml:space="preserve">0.8</w:t>
            </w:r>
          </w:p>
        </w:tc>
        <w:tc>
          <w:tcPr/>
          <w:p>
            <w:pPr>
              <w:pStyle w:val="Compact"/>
            </w:pPr>
            <w:r>
              <w:t xml:space="preserve">0.071</w:t>
            </w:r>
          </w:p>
        </w:tc>
        <w:tc>
          <w:tcPr/>
          <w:p>
            <w:pPr>
              <w:pStyle w:val="Compact"/>
            </w:pPr>
            <w:r>
              <w:t xml:space="preserve">0.008</w:t>
            </w:r>
          </w:p>
        </w:tc>
      </w:tr>
      <w:tr>
        <w:tc>
          <w:tcPr/>
          <w:p>
            <w:pPr>
              <w:pStyle w:val="Compact"/>
            </w:pPr>
            <w:r>
              <w:t xml:space="preserve">URPS</w:t>
            </w:r>
          </w:p>
        </w:tc>
        <w:tc>
          <w:tcPr/>
          <w:p>
            <w:pPr>
              <w:pStyle w:val="Compact"/>
            </w:pPr>
            <w:r>
              <w:t xml:space="preserve">53.4</w:t>
            </w:r>
          </w:p>
        </w:tc>
        <w:tc>
          <w:tcPr/>
          <w:p>
            <w:pPr>
              <w:pStyle w:val="Compact"/>
            </w:pPr>
            <w:r>
              <w:t xml:space="preserve">63.8</w:t>
            </w:r>
          </w:p>
        </w:tc>
        <w:tc>
          <w:tcPr/>
          <w:p>
            <w:pPr>
              <w:pStyle w:val="Compact"/>
            </w:pPr>
            <w:r>
              <w:t xml:space="preserve">0.901</w:t>
            </w:r>
          </w:p>
        </w:tc>
        <w:tc>
          <w:tcPr/>
          <w:p>
            <w:pPr>
              <w:pStyle w:val="Compact"/>
            </w:pPr>
            <w:r>
              <w:t xml:space="preserve">&lt;0.001</w:t>
            </w:r>
          </w:p>
        </w:tc>
      </w:tr>
      <w:tr>
        <w:tc>
          <w:tcPr/>
          <w:p>
            <w:pPr>
              <w:pStyle w:val="Compact"/>
            </w:pPr>
            <w:r>
              <w:t xml:space="preserve">Urology</w:t>
            </w:r>
          </w:p>
        </w:tc>
        <w:tc>
          <w:tcPr/>
          <w:p>
            <w:pPr>
              <w:pStyle w:val="Compact"/>
            </w:pPr>
            <w:r>
              <w:t xml:space="preserve">30.7</w:t>
            </w:r>
          </w:p>
        </w:tc>
        <w:tc>
          <w:tcPr/>
          <w:p>
            <w:pPr>
              <w:pStyle w:val="Compact"/>
            </w:pPr>
            <w:r>
              <w:t xml:space="preserve">23.1</w:t>
            </w:r>
          </w:p>
        </w:tc>
        <w:tc>
          <w:tcPr/>
          <w:p>
            <w:pPr>
              <w:pStyle w:val="Compact"/>
            </w:pPr>
            <w:r>
              <w:t xml:space="preserve">-0.550</w:t>
            </w:r>
          </w:p>
        </w:tc>
        <w:tc>
          <w:tcPr/>
          <w:p>
            <w:pPr>
              <w:pStyle w:val="Compact"/>
            </w:pPr>
            <w:r>
              <w:t xml:space="preserve">0.004</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21.23 (19.63-22.97)</w:t>
            </w:r>
          </w:p>
        </w:tc>
        <w:tc>
          <w:tcPr/>
          <w:p>
            <w:pPr>
              <w:pStyle w:val="Compact"/>
            </w:pPr>
            <w:r>
              <w:t xml:space="preserve">n/a</w:t>
            </w:r>
          </w:p>
        </w:tc>
      </w:tr>
      <w:tr>
        <w:tc>
          <w:tcPr/>
          <w:p>
            <w:pPr>
              <w:pStyle w:val="Compact"/>
            </w:pPr>
            <w:r>
              <w:t xml:space="preserve">Specialty: General OB/GYN</w:t>
            </w:r>
          </w:p>
        </w:tc>
        <w:tc>
          <w:tcPr/>
          <w:p>
            <w:pPr>
              <w:pStyle w:val="Compact"/>
            </w:pPr>
            <w:r>
              <w:t xml:space="preserve">0.69 (0.53-0.89)</w:t>
            </w:r>
          </w:p>
        </w:tc>
        <w:tc>
          <w:tcPr/>
          <w:p>
            <w:pPr>
              <w:pStyle w:val="Compact"/>
            </w:pPr>
            <w:r>
              <w:t xml:space="preserve">0.004</w:t>
            </w:r>
          </w:p>
        </w:tc>
      </w:tr>
      <w:tr>
        <w:tc>
          <w:tcPr/>
          <w:p>
            <w:pPr>
              <w:pStyle w:val="Compact"/>
            </w:pPr>
            <w:r>
              <w:t xml:space="preserve">Specialty: MIGS</w:t>
            </w:r>
          </w:p>
        </w:tc>
        <w:tc>
          <w:tcPr/>
          <w:p>
            <w:pPr>
              <w:pStyle w:val="Compact"/>
            </w:pPr>
            <w:r>
              <w:t xml:space="preserve">0.60 (0.44-0.83)</w:t>
            </w:r>
          </w:p>
        </w:tc>
        <w:tc>
          <w:tcPr/>
          <w:p>
            <w:pPr>
              <w:pStyle w:val="Compact"/>
            </w:pPr>
            <w:r>
              <w:t xml:space="preserve">0.002</w:t>
            </w:r>
          </w:p>
        </w:tc>
      </w:tr>
      <w:tr>
        <w:tc>
          <w:tcPr/>
          <w:p>
            <w:pPr>
              <w:pStyle w:val="Compact"/>
            </w:pPr>
            <w:r>
              <w:t xml:space="preserve">Specialty: Urology</w:t>
            </w:r>
          </w:p>
        </w:tc>
        <w:tc>
          <w:tcPr/>
          <w:p>
            <w:pPr>
              <w:pStyle w:val="Compact"/>
            </w:pPr>
            <w:r>
              <w:t xml:space="preserve">0.81 (0.69-0.94)</w:t>
            </w:r>
          </w:p>
        </w:tc>
        <w:tc>
          <w:tcPr/>
          <w:p>
            <w:pPr>
              <w:pStyle w:val="Compact"/>
            </w:pPr>
            <w:r>
              <w:t xml:space="preserve">0.007</w:t>
            </w:r>
          </w:p>
        </w:tc>
      </w:tr>
      <w:tr>
        <w:tc>
          <w:tcPr/>
          <w:p>
            <w:pPr>
              <w:pStyle w:val="Compact"/>
            </w:pPr>
            <w:r>
              <w:t xml:space="preserve">year_c</w:t>
            </w:r>
          </w:p>
        </w:tc>
        <w:tc>
          <w:tcPr/>
          <w:p>
            <w:pPr>
              <w:pStyle w:val="Compact"/>
            </w:pPr>
            <w:r>
              <w:t xml:space="preserve">1.00 (0.99-1.01)</w:t>
            </w:r>
          </w:p>
        </w:tc>
        <w:tc>
          <w:tcPr/>
          <w:p>
            <w:pPr>
              <w:pStyle w:val="Compact"/>
            </w:pPr>
            <w:r>
              <w:t xml:space="preserve">0.620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0.840</w:t>
            </w:r>
          </w:p>
        </w:tc>
      </w:tr>
      <w:tr>
        <w:tc>
          <w:tcPr/>
          <w:p>
            <w:pPr>
              <w:pStyle w:val="Compact"/>
            </w:pPr>
            <w:r>
              <w:t xml:space="preserve">Specialty: MIGS:year_c</w:t>
            </w:r>
          </w:p>
        </w:tc>
        <w:tc>
          <w:tcPr/>
          <w:p>
            <w:pPr>
              <w:pStyle w:val="Compact"/>
            </w:pPr>
            <w:r>
              <w:t xml:space="preserve">1.08 (1.02-1.15)</w:t>
            </w:r>
          </w:p>
        </w:tc>
        <w:tc>
          <w:tcPr/>
          <w:p>
            <w:pPr>
              <w:pStyle w:val="Compact"/>
            </w:pPr>
            <w:r>
              <w:t xml:space="preserve">0.010</w:t>
            </w:r>
          </w:p>
        </w:tc>
      </w:tr>
      <w:tr>
        <w:tc>
          <w:tcPr/>
          <w:p>
            <w:pPr>
              <w:pStyle w:val="Compact"/>
            </w:pPr>
            <w:r>
              <w:t xml:space="preserve">Specialty: Urology:year_c</w:t>
            </w:r>
          </w:p>
        </w:tc>
        <w:tc>
          <w:tcPr/>
          <w:p>
            <w:pPr>
              <w:pStyle w:val="Compact"/>
            </w:pPr>
            <w:r>
              <w:t xml:space="preserve">0.99 (0.97-1.01)</w:t>
            </w:r>
          </w:p>
        </w:tc>
        <w:tc>
          <w:tcPr/>
          <w:p>
            <w:pPr>
              <w:pStyle w:val="Compact"/>
            </w:pPr>
            <w:r>
              <w:t xml:space="preserve">0.220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784"/>
        <w:gridCol w:w="978"/>
        <w:gridCol w:w="355"/>
        <w:gridCol w:w="800"/>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66.10</w:t>
            </w:r>
          </w:p>
        </w:tc>
        <w:tc>
          <w:tcPr/>
          <w:p>
            <w:pPr>
              <w:pStyle w:val="Compact"/>
            </w:pPr>
            <w:r>
              <w:t xml:space="preserve">3</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0.82</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vs Urology</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55"/>
        <w:gridCol w:w="1306"/>
        <w:gridCol w:w="1061"/>
        <w:gridCol w:w="979"/>
        <w:gridCol w:w="816"/>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330</w:t>
            </w:r>
          </w:p>
        </w:tc>
        <w:tc>
          <w:tcPr/>
          <w:p>
            <w:pPr>
              <w:pStyle w:val="Compact"/>
            </w:pPr>
            <w:r>
              <w:t xml:space="preserve">16391</w:t>
            </w:r>
          </w:p>
        </w:tc>
        <w:tc>
          <w:tcPr/>
          <w:p>
            <w:pPr>
              <w:pStyle w:val="Compact"/>
            </w:pPr>
            <w:r>
              <w:t xml:space="preserve">12.5%</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Time-varying (per physician-year)</w:t>
            </w:r>
          </w:p>
        </w:tc>
        <w:tc>
          <w:tcPr/>
          <w:p>
            <w:pPr>
              <w:pStyle w:val="Compact"/>
            </w:pPr>
            <w:r>
              <w:t xml:space="preserve">URPS</w:t>
            </w:r>
          </w:p>
        </w:tc>
        <w:tc>
          <w:tcPr/>
          <w:p>
            <w:pPr>
              <w:pStyle w:val="Compact"/>
            </w:pPr>
            <w:r>
              <w:t xml:space="preserve">753</w:t>
            </w:r>
          </w:p>
        </w:tc>
        <w:tc>
          <w:tcPr/>
          <w:p>
            <w:pPr>
              <w:pStyle w:val="Compact"/>
            </w:pPr>
            <w:r>
              <w:t xml:space="preserve">80033</w:t>
            </w:r>
          </w:p>
        </w:tc>
        <w:tc>
          <w:tcPr/>
          <w:p>
            <w:pPr>
              <w:pStyle w:val="Compact"/>
            </w:pPr>
            <w:r>
              <w:t xml:space="preserve">60.8%</w:t>
            </w:r>
          </w:p>
        </w:tc>
      </w:tr>
      <w:tr>
        <w:tc>
          <w:tcPr/>
          <w:p>
            <w:pPr>
              <w:pStyle w:val="Compact"/>
            </w:pPr>
            <w:r>
              <w:t xml:space="preserve">Time-varying (per physician-year)</w:t>
            </w:r>
          </w:p>
        </w:tc>
        <w:tc>
          <w:tcPr/>
          <w:p>
            <w:pPr>
              <w:pStyle w:val="Compact"/>
            </w:pPr>
            <w:r>
              <w:t xml:space="preserve">Urology</w:t>
            </w:r>
          </w:p>
        </w:tc>
        <w:tc>
          <w:tcPr/>
          <w:p>
            <w:pPr>
              <w:pStyle w:val="Compact"/>
            </w:pPr>
            <w:r>
              <w:t xml:space="preserve">665</w:t>
            </w:r>
          </w:p>
        </w:tc>
        <w:tc>
          <w:tcPr/>
          <w:p>
            <w:pPr>
              <w:pStyle w:val="Compact"/>
            </w:pPr>
            <w:r>
              <w:t xml:space="preserve">34351</w:t>
            </w:r>
          </w:p>
        </w:tc>
        <w:tc>
          <w:tcPr/>
          <w:p>
            <w:pPr>
              <w:pStyle w:val="Compact"/>
            </w:pPr>
            <w:r>
              <w:t xml:space="preserve">26.1%</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752</w:t>
            </w:r>
          </w:p>
        </w:tc>
        <w:tc>
          <w:tcPr/>
          <w:p>
            <w:pPr>
              <w:pStyle w:val="Compact"/>
            </w:pPr>
            <w:r>
              <w:t xml:space="preserve">80312</w:t>
            </w:r>
          </w:p>
        </w:tc>
        <w:tc>
          <w:tcPr/>
          <w:p>
            <w:pPr>
              <w:pStyle w:val="Compact"/>
            </w:pPr>
            <w:r>
              <w:t xml:space="preserve">61.0%</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657</w:t>
            </w:r>
          </w:p>
        </w:tc>
        <w:tc>
          <w:tcPr/>
          <w:p>
            <w:pPr>
              <w:pStyle w:val="Compact"/>
            </w:pPr>
            <w:r>
              <w:t xml:space="preserve">34101</w:t>
            </w:r>
          </w:p>
        </w:tc>
        <w:tc>
          <w:tcPr/>
          <w:p>
            <w:pPr>
              <w:pStyle w:val="Compact"/>
            </w:pPr>
            <w:r>
              <w:t xml:space="preserve">25.9%</w:t>
            </w:r>
          </w:p>
        </w:tc>
      </w:tr>
      <w:tr>
        <w:tc>
          <w:tcPr/>
          <w:p>
            <w:pPr>
              <w:pStyle w:val="Compact"/>
            </w:pPr>
            <w:r>
              <w:t xml:space="preserve">Ever URPS/MIGS</w:t>
            </w:r>
          </w:p>
        </w:tc>
        <w:tc>
          <w:tcPr/>
          <w:p>
            <w:pPr>
              <w:pStyle w:val="Compact"/>
            </w:pPr>
            <w:r>
              <w:t xml:space="preserve">General OB/GYN</w:t>
            </w:r>
          </w:p>
        </w:tc>
        <w:tc>
          <w:tcPr/>
          <w:p>
            <w:pPr>
              <w:pStyle w:val="Compact"/>
            </w:pPr>
            <w:r>
              <w:t xml:space="preserve">326</w:t>
            </w:r>
          </w:p>
        </w:tc>
        <w:tc>
          <w:tcPr/>
          <w:p>
            <w:pPr>
              <w:pStyle w:val="Compact"/>
            </w:pPr>
            <w:r>
              <w:t xml:space="preserve">16362</w:t>
            </w:r>
          </w:p>
        </w:tc>
        <w:tc>
          <w:tcPr/>
          <w:p>
            <w:pPr>
              <w:pStyle w:val="Compact"/>
            </w:pPr>
            <w:r>
              <w:t xml:space="preserve">12.4%</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862</w:t>
            </w:r>
          </w:p>
        </w:tc>
        <w:tc>
          <w:tcPr/>
          <w:p>
            <w:pPr>
              <w:pStyle w:val="Compact"/>
            </w:pPr>
            <w:r>
              <w:t xml:space="preserve">0.7%</w:t>
            </w:r>
          </w:p>
        </w:tc>
      </w:tr>
      <w:tr>
        <w:tc>
          <w:tcPr/>
          <w:p>
            <w:pPr>
              <w:pStyle w:val="Compact"/>
            </w:pPr>
            <w:r>
              <w:t xml:space="preserve">Ever URPS/MIGS</w:t>
            </w:r>
          </w:p>
        </w:tc>
        <w:tc>
          <w:tcPr/>
          <w:p>
            <w:pPr>
              <w:pStyle w:val="Compact"/>
            </w:pPr>
            <w:r>
              <w:t xml:space="preserve">URPS</w:t>
            </w:r>
          </w:p>
        </w:tc>
        <w:tc>
          <w:tcPr/>
          <w:p>
            <w:pPr>
              <w:pStyle w:val="Compact"/>
            </w:pPr>
            <w:r>
              <w:t xml:space="preserve">753</w:t>
            </w:r>
          </w:p>
        </w:tc>
        <w:tc>
          <w:tcPr/>
          <w:p>
            <w:pPr>
              <w:pStyle w:val="Compact"/>
            </w:pPr>
            <w:r>
              <w:t xml:space="preserve">80803</w:t>
            </w:r>
          </w:p>
        </w:tc>
        <w:tc>
          <w:tcPr/>
          <w:p>
            <w:pPr>
              <w:pStyle w:val="Compact"/>
            </w:pPr>
            <w:r>
              <w:t xml:space="preserve">61.4%</w:t>
            </w:r>
          </w:p>
        </w:tc>
      </w:tr>
      <w:tr>
        <w:tc>
          <w:tcPr/>
          <w:p>
            <w:pPr>
              <w:pStyle w:val="Compact"/>
            </w:pPr>
            <w:r>
              <w:t xml:space="preserve">Ever URPS/MIGS</w:t>
            </w:r>
          </w:p>
        </w:tc>
        <w:tc>
          <w:tcPr/>
          <w:p>
            <w:pPr>
              <w:pStyle w:val="Compact"/>
            </w:pPr>
            <w:r>
              <w:t xml:space="preserve">Urology</w:t>
            </w:r>
          </w:p>
        </w:tc>
        <w:tc>
          <w:tcPr/>
          <w:p>
            <w:pPr>
              <w:pStyle w:val="Compact"/>
            </w:pPr>
            <w:r>
              <w:t xml:space="preserve">656</w:t>
            </w:r>
          </w:p>
        </w:tc>
        <w:tc>
          <w:tcPr/>
          <w:p>
            <w:pPr>
              <w:pStyle w:val="Compact"/>
            </w:pPr>
            <w:r>
              <w:t xml:space="preserve">33610</w:t>
            </w:r>
          </w:p>
        </w:tc>
        <w:tc>
          <w:tcPr/>
          <w:p>
            <w:pPr>
              <w:pStyle w:val="Compact"/>
            </w:pPr>
            <w:r>
              <w:t xml:space="preserve">25.5%</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520</w:t>
            </w:r>
          </w:p>
        </w:tc>
        <w:tc>
          <w:tcPr/>
          <w:p>
            <w:pPr>
              <w:pStyle w:val="Compact"/>
            </w:pPr>
            <w:r>
              <w:t xml:space="preserve">24505</w:t>
            </w:r>
          </w:p>
        </w:tc>
        <w:tc>
          <w:tcPr/>
          <w:p>
            <w:pPr>
              <w:pStyle w:val="Compact"/>
            </w:pPr>
            <w:r>
              <w:t xml:space="preserve">18.6%</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0.2%</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706</w:t>
            </w:r>
          </w:p>
        </w:tc>
        <w:tc>
          <w:tcPr/>
          <w:p>
            <w:pPr>
              <w:pStyle w:val="Compact"/>
            </w:pPr>
            <w:r>
              <w:t xml:space="preserve">74238</w:t>
            </w:r>
          </w:p>
        </w:tc>
        <w:tc>
          <w:tcPr/>
          <w:p>
            <w:pPr>
              <w:pStyle w:val="Compact"/>
            </w:pPr>
            <w:r>
              <w:t xml:space="preserve">56.4%</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651</w:t>
            </w:r>
          </w:p>
        </w:tc>
        <w:tc>
          <w:tcPr/>
          <w:p>
            <w:pPr>
              <w:pStyle w:val="Compact"/>
            </w:pPr>
            <w:r>
              <w:t xml:space="preserve">32693</w:t>
            </w:r>
          </w:p>
        </w:tc>
        <w:tc>
          <w:tcPr/>
          <w:p>
            <w:pPr>
              <w:pStyle w:val="Compact"/>
            </w:pPr>
            <w:r>
              <w:t xml:space="preserve">24.8%</w:t>
            </w:r>
          </w:p>
        </w:tc>
      </w:tr>
    </w:tbl>
    <w:p>
      <w:pPr>
        <w:pStyle w:val="BodyText"/>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43"/>
        <w:gridCol w:w="1584"/>
        <w:gridCol w:w="633"/>
        <w:gridCol w:w="1504"/>
        <w:gridCol w:w="554"/>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0.901</w:t>
            </w:r>
          </w:p>
        </w:tc>
        <w:tc>
          <w:tcPr/>
          <w:p>
            <w:pPr>
              <w:pStyle w:val="Compact"/>
            </w:pPr>
            <w:r>
              <w:t xml:space="preserve">&lt;0.001</w:t>
            </w:r>
          </w:p>
        </w:tc>
        <w:tc>
          <w:tcPr/>
          <w:p>
            <w:pPr>
              <w:pStyle w:val="Compact"/>
            </w:pPr>
            <w:r>
              <w:t xml:space="preserve">0.550</w:t>
            </w:r>
          </w:p>
        </w:tc>
        <w:tc>
          <w:tcPr/>
          <w:p>
            <w:pPr>
              <w:pStyle w:val="Compact"/>
            </w:pPr>
            <w:r>
              <w:t xml:space="preserve">0.004</w:t>
            </w:r>
          </w:p>
        </w:tc>
      </w:tr>
      <w:tr>
        <w:tc>
          <w:tcPr/>
          <w:p>
            <w:pPr>
              <w:pStyle w:val="Compact"/>
            </w:pPr>
            <w:r>
              <w:t xml:space="preserve">Modal (single most-frequent specialty)</w:t>
            </w:r>
          </w:p>
        </w:tc>
        <w:tc>
          <w:tcPr/>
          <w:p>
            <w:pPr>
              <w:pStyle w:val="Compact"/>
            </w:pPr>
            <w:r>
              <w:t xml:space="preserve">0.982</w:t>
            </w:r>
          </w:p>
        </w:tc>
        <w:tc>
          <w:tcPr/>
          <w:p>
            <w:pPr>
              <w:pStyle w:val="Compact"/>
            </w:pPr>
            <w:r>
              <w:t xml:space="preserve">&lt;0.001</w:t>
            </w:r>
          </w:p>
        </w:tc>
        <w:tc>
          <w:tcPr/>
          <w:p>
            <w:pPr>
              <w:pStyle w:val="Compact"/>
            </w:pPr>
            <w:r>
              <w:t xml:space="preserve">0.657</w:t>
            </w:r>
          </w:p>
        </w:tc>
        <w:tc>
          <w:tcPr/>
          <w:p>
            <w:pPr>
              <w:pStyle w:val="Compact"/>
            </w:pPr>
            <w:r>
              <w:t xml:space="preserve">0.002</w:t>
            </w:r>
          </w:p>
        </w:tc>
      </w:tr>
      <w:tr>
        <w:tc>
          <w:tcPr/>
          <w:p>
            <w:pPr>
              <w:pStyle w:val="Compact"/>
            </w:pPr>
            <w:r>
              <w:t xml:space="preserve">Ever URPS/MIGS</w:t>
            </w:r>
          </w:p>
        </w:tc>
        <w:tc>
          <w:tcPr/>
          <w:p>
            <w:pPr>
              <w:pStyle w:val="Compact"/>
            </w:pPr>
            <w:r>
              <w:t xml:space="preserve">0.958</w:t>
            </w:r>
          </w:p>
        </w:tc>
        <w:tc>
          <w:tcPr/>
          <w:p>
            <w:pPr>
              <w:pStyle w:val="Compact"/>
            </w:pPr>
            <w:r>
              <w:t xml:space="preserve">0.001</w:t>
            </w:r>
          </w:p>
        </w:tc>
        <w:tc>
          <w:tcPr/>
          <w:p>
            <w:pPr>
              <w:pStyle w:val="Compact"/>
            </w:pPr>
            <w:r>
              <w:t xml:space="preserve">0.633</w:t>
            </w:r>
          </w:p>
        </w:tc>
        <w:tc>
          <w:tcPr/>
          <w:p>
            <w:pPr>
              <w:pStyle w:val="Compact"/>
            </w:pPr>
            <w:r>
              <w:t xml:space="preserve">0.002</w:t>
            </w:r>
          </w:p>
        </w:tc>
      </w:tr>
      <w:tr>
        <w:tc>
          <w:tcPr/>
          <w:p>
            <w:pPr>
              <w:pStyle w:val="Compact"/>
            </w:pPr>
            <w:r>
              <w:t xml:space="preserve">Time-varying cert-gated (ABOG sub1startdate)</w:t>
            </w:r>
          </w:p>
        </w:tc>
        <w:tc>
          <w:tcPr/>
          <w:p>
            <w:pPr>
              <w:pStyle w:val="Compact"/>
            </w:pPr>
            <w:r>
              <w:t xml:space="preserve">1.539</w:t>
            </w:r>
          </w:p>
        </w:tc>
        <w:tc>
          <w:tcPr/>
          <w:p>
            <w:pPr>
              <w:pStyle w:val="Compact"/>
            </w:pPr>
            <w:r>
              <w:t xml:space="preserve">&lt;0.001</w:t>
            </w:r>
          </w:p>
        </w:tc>
        <w:tc>
          <w:tcPr/>
          <w:p>
            <w:pPr>
              <w:pStyle w:val="Compact"/>
            </w:pPr>
            <w:r>
              <w:t xml:space="preserve">0.550</w:t>
            </w:r>
          </w:p>
        </w:tc>
        <w:tc>
          <w:tcPr/>
          <w:p>
            <w:pPr>
              <w:pStyle w:val="Compact"/>
            </w:pPr>
            <w:r>
              <w:t xml:space="preserve">0.009</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150</w:t>
            </w:r>
          </w:p>
        </w:tc>
        <w:tc>
          <w:tcPr/>
          <w:p>
            <w:pPr>
              <w:pStyle w:val="Compact"/>
            </w:pPr>
            <w:r>
              <w:t xml:space="preserve">50</w:t>
            </w:r>
          </w:p>
        </w:tc>
        <w:tc>
          <w:tcPr/>
          <w:p>
            <w:pPr>
              <w:pStyle w:val="Compact"/>
            </w:pPr>
            <w:r>
              <w:t xml:space="preserve">33.3%</w:t>
            </w:r>
          </w:p>
        </w:tc>
        <w:tc>
          <w:tcPr/>
          <w:p>
            <w:pPr>
              <w:pStyle w:val="Compact"/>
            </w:pPr>
            <w:r>
              <w:t xml:space="preserve">Yes</w:t>
            </w:r>
          </w:p>
        </w:tc>
      </w:tr>
      <w:tr>
        <w:tc>
          <w:tcPr/>
          <w:p>
            <w:pPr>
              <w:pStyle w:val="Compact"/>
            </w:pPr>
            <w:r>
              <w:t xml:space="preserve">TX</w:t>
            </w:r>
          </w:p>
        </w:tc>
        <w:tc>
          <w:tcPr/>
          <w:p>
            <w:pPr>
              <w:pStyle w:val="Compact"/>
            </w:pPr>
            <w:r>
              <w:t xml:space="preserve">144</w:t>
            </w:r>
          </w:p>
        </w:tc>
        <w:tc>
          <w:tcPr/>
          <w:p>
            <w:pPr>
              <w:pStyle w:val="Compact"/>
            </w:pPr>
            <w:r>
              <w:t xml:space="preserve">47</w:t>
            </w:r>
          </w:p>
        </w:tc>
        <w:tc>
          <w:tcPr/>
          <w:p>
            <w:pPr>
              <w:pStyle w:val="Compact"/>
            </w:pPr>
            <w:r>
              <w:t xml:space="preserve">32.6%</w:t>
            </w:r>
          </w:p>
        </w:tc>
        <w:tc>
          <w:tcPr/>
          <w:p>
            <w:pPr>
              <w:pStyle w:val="Compact"/>
            </w:pPr>
            <w:r>
              <w:t xml:space="preserve">Yes</w:t>
            </w:r>
          </w:p>
        </w:tc>
      </w:tr>
      <w:tr>
        <w:tc>
          <w:tcPr/>
          <w:p>
            <w:pPr>
              <w:pStyle w:val="Compact"/>
            </w:pPr>
            <w:r>
              <w:t xml:space="preserve">FL</w:t>
            </w:r>
          </w:p>
        </w:tc>
        <w:tc>
          <w:tcPr/>
          <w:p>
            <w:pPr>
              <w:pStyle w:val="Compact"/>
            </w:pPr>
            <w:r>
              <w:t xml:space="preserve">139</w:t>
            </w:r>
          </w:p>
        </w:tc>
        <w:tc>
          <w:tcPr/>
          <w:p>
            <w:pPr>
              <w:pStyle w:val="Compact"/>
            </w:pPr>
            <w:r>
              <w:t xml:space="preserve">49</w:t>
            </w:r>
          </w:p>
        </w:tc>
        <w:tc>
          <w:tcPr/>
          <w:p>
            <w:pPr>
              <w:pStyle w:val="Compact"/>
            </w:pPr>
            <w:r>
              <w:t xml:space="preserve">35.3%</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64</w:t>
            </w:r>
          </w:p>
        </w:tc>
        <w:tc>
          <w:tcPr/>
          <w:p>
            <w:pPr>
              <w:pStyle w:val="Compact"/>
            </w:pPr>
            <w:r>
              <w:t xml:space="preserve">39</w:t>
            </w:r>
          </w:p>
        </w:tc>
        <w:tc>
          <w:tcPr/>
          <w:p>
            <w:pPr>
              <w:pStyle w:val="Compact"/>
            </w:pPr>
            <w:r>
              <w:t xml:space="preserve">60.9%</w:t>
            </w:r>
          </w:p>
        </w:tc>
        <w:tc>
          <w:tcPr/>
          <w:p>
            <w:pPr>
              <w:pStyle w:val="Compact"/>
            </w:pPr>
            <w:r>
              <w:t xml:space="preserve">Yes</w:t>
            </w:r>
          </w:p>
        </w:tc>
      </w:tr>
      <w:tr>
        <w:tc>
          <w:tcPr/>
          <w:p>
            <w:pPr>
              <w:pStyle w:val="Compact"/>
            </w:pPr>
            <w:r>
              <w:t xml:space="preserve">OH</w:t>
            </w:r>
          </w:p>
        </w:tc>
        <w:tc>
          <w:tcPr/>
          <w:p>
            <w:pPr>
              <w:pStyle w:val="Compact"/>
            </w:pPr>
            <w:r>
              <w:t xml:space="preserve">61</w:t>
            </w:r>
          </w:p>
        </w:tc>
        <w:tc>
          <w:tcPr/>
          <w:p>
            <w:pPr>
              <w:pStyle w:val="Compact"/>
            </w:pPr>
            <w:r>
              <w:t xml:space="preserve">44</w:t>
            </w:r>
          </w:p>
        </w:tc>
        <w:tc>
          <w:tcPr/>
          <w:p>
            <w:pPr>
              <w:pStyle w:val="Compact"/>
            </w:pPr>
            <w:r>
              <w:t xml:space="preserve">72.1%</w:t>
            </w:r>
          </w:p>
        </w:tc>
        <w:tc>
          <w:tcPr/>
          <w:p>
            <w:pPr>
              <w:pStyle w:val="Compact"/>
            </w:pPr>
            <w:r>
              <w:t xml:space="preserve">Yes</w:t>
            </w:r>
          </w:p>
        </w:tc>
      </w:tr>
      <w:tr>
        <w:tc>
          <w:tcPr/>
          <w:p>
            <w:pPr>
              <w:pStyle w:val="Compact"/>
            </w:pPr>
            <w:r>
              <w:t xml:space="preserve">PA</w:t>
            </w:r>
          </w:p>
        </w:tc>
        <w:tc>
          <w:tcPr/>
          <w:p>
            <w:pPr>
              <w:pStyle w:val="Compact"/>
            </w:pPr>
            <w:r>
              <w:t xml:space="preserve">61</w:t>
            </w:r>
          </w:p>
        </w:tc>
        <w:tc>
          <w:tcPr/>
          <w:p>
            <w:pPr>
              <w:pStyle w:val="Compact"/>
            </w:pPr>
            <w:r>
              <w:t xml:space="preserve">33</w:t>
            </w:r>
          </w:p>
        </w:tc>
        <w:tc>
          <w:tcPr/>
          <w:p>
            <w:pPr>
              <w:pStyle w:val="Compact"/>
            </w:pPr>
            <w:r>
              <w:t xml:space="preserve">54.1%</w:t>
            </w:r>
          </w:p>
        </w:tc>
        <w:tc>
          <w:tcPr/>
          <w:p>
            <w:pPr>
              <w:pStyle w:val="Compact"/>
            </w:pPr>
            <w:r>
              <w:t xml:space="preserve">Yes</w:t>
            </w:r>
          </w:p>
        </w:tc>
      </w:tr>
      <w:tr>
        <w:tc>
          <w:tcPr/>
          <w:p>
            <w:pPr>
              <w:pStyle w:val="Compact"/>
            </w:pPr>
            <w:r>
              <w:t xml:space="preserve">AZ</w:t>
            </w:r>
          </w:p>
        </w:tc>
        <w:tc>
          <w:tcPr/>
          <w:p>
            <w:pPr>
              <w:pStyle w:val="Compact"/>
            </w:pPr>
            <w:r>
              <w:t xml:space="preserve">59</w:t>
            </w:r>
          </w:p>
        </w:tc>
        <w:tc>
          <w:tcPr/>
          <w:p>
            <w:pPr>
              <w:pStyle w:val="Compact"/>
            </w:pPr>
            <w:r>
              <w:t xml:space="preserve">19</w:t>
            </w:r>
          </w:p>
        </w:tc>
        <w:tc>
          <w:tcPr/>
          <w:p>
            <w:pPr>
              <w:pStyle w:val="Compact"/>
            </w:pPr>
            <w:r>
              <w:t xml:space="preserve">32.2%</w:t>
            </w:r>
          </w:p>
        </w:tc>
        <w:tc>
          <w:tcPr/>
          <w:p>
            <w:pPr>
              <w:pStyle w:val="Compact"/>
            </w:pPr>
            <w:r>
              <w:t xml:space="preserve">Yes</w:t>
            </w:r>
          </w:p>
        </w:tc>
      </w:tr>
      <w:tr>
        <w:tc>
          <w:tcPr/>
          <w:p>
            <w:pPr>
              <w:pStyle w:val="Compact"/>
            </w:pPr>
            <w:r>
              <w:t xml:space="preserve">NJ</w:t>
            </w:r>
          </w:p>
        </w:tc>
        <w:tc>
          <w:tcPr/>
          <w:p>
            <w:pPr>
              <w:pStyle w:val="Compact"/>
            </w:pPr>
            <w:r>
              <w:t xml:space="preserve">57</w:t>
            </w:r>
          </w:p>
        </w:tc>
        <w:tc>
          <w:tcPr/>
          <w:p>
            <w:pPr>
              <w:pStyle w:val="Compact"/>
            </w:pPr>
            <w:r>
              <w:t xml:space="preserve">28</w:t>
            </w:r>
          </w:p>
        </w:tc>
        <w:tc>
          <w:tcPr/>
          <w:p>
            <w:pPr>
              <w:pStyle w:val="Compact"/>
            </w:pPr>
            <w:r>
              <w:t xml:space="preserve">49.1%</w:t>
            </w:r>
          </w:p>
        </w:tc>
        <w:tc>
          <w:tcPr/>
          <w:p>
            <w:pPr>
              <w:pStyle w:val="Compact"/>
            </w:pPr>
            <w:r>
              <w:t xml:space="preserve">Yes</w:t>
            </w:r>
          </w:p>
        </w:tc>
      </w:tr>
      <w:tr>
        <w:tc>
          <w:tcPr/>
          <w:p>
            <w:pPr>
              <w:pStyle w:val="Compact"/>
            </w:pPr>
            <w:r>
              <w:t xml:space="preserve">TN</w:t>
            </w:r>
          </w:p>
        </w:tc>
        <w:tc>
          <w:tcPr/>
          <w:p>
            <w:pPr>
              <w:pStyle w:val="Compact"/>
            </w:pPr>
            <w:r>
              <w:t xml:space="preserve">57</w:t>
            </w:r>
          </w:p>
        </w:tc>
        <w:tc>
          <w:tcPr/>
          <w:p>
            <w:pPr>
              <w:pStyle w:val="Compact"/>
            </w:pPr>
            <w:r>
              <w:t xml:space="preserve">20</w:t>
            </w:r>
          </w:p>
        </w:tc>
        <w:tc>
          <w:tcPr/>
          <w:p>
            <w:pPr>
              <w:pStyle w:val="Compact"/>
            </w:pPr>
            <w:r>
              <w:t xml:space="preserve">35.1%</w:t>
            </w:r>
          </w:p>
        </w:tc>
        <w:tc>
          <w:tcPr/>
          <w:p>
            <w:pPr>
              <w:pStyle w:val="Compact"/>
            </w:pPr>
            <w:r>
              <w:t xml:space="preserve">Yes</w:t>
            </w:r>
          </w:p>
        </w:tc>
      </w:tr>
      <w:tr>
        <w:tc>
          <w:tcPr/>
          <w:p>
            <w:pPr>
              <w:pStyle w:val="Compact"/>
            </w:pPr>
            <w:r>
              <w:t xml:space="preserve">MI</w:t>
            </w:r>
          </w:p>
        </w:tc>
        <w:tc>
          <w:tcPr/>
          <w:p>
            <w:pPr>
              <w:pStyle w:val="Compact"/>
            </w:pPr>
            <w:r>
              <w:t xml:space="preserve">56</w:t>
            </w:r>
          </w:p>
        </w:tc>
        <w:tc>
          <w:tcPr/>
          <w:p>
            <w:pPr>
              <w:pStyle w:val="Compact"/>
            </w:pPr>
            <w:r>
              <w:t xml:space="preserve">22</w:t>
            </w:r>
          </w:p>
        </w:tc>
        <w:tc>
          <w:tcPr/>
          <w:p>
            <w:pPr>
              <w:pStyle w:val="Compact"/>
            </w:pPr>
            <w:r>
              <w:t xml:space="preserve">39.3%</w:t>
            </w:r>
          </w:p>
        </w:tc>
        <w:tc>
          <w:tcPr/>
          <w:p>
            <w:pPr>
              <w:pStyle w:val="Compact"/>
            </w:pPr>
            <w:r>
              <w:t xml:space="preserve">Yes</w:t>
            </w:r>
          </w:p>
        </w:tc>
      </w:tr>
      <w:tr>
        <w:tc>
          <w:tcPr/>
          <w:p>
            <w:pPr>
              <w:pStyle w:val="Compact"/>
            </w:pPr>
            <w:r>
              <w:t xml:space="preserve">NC</w:t>
            </w:r>
          </w:p>
        </w:tc>
        <w:tc>
          <w:tcPr/>
          <w:p>
            <w:pPr>
              <w:pStyle w:val="Compact"/>
            </w:pPr>
            <w:r>
              <w:t xml:space="preserve">54</w:t>
            </w:r>
          </w:p>
        </w:tc>
        <w:tc>
          <w:tcPr/>
          <w:p>
            <w:pPr>
              <w:pStyle w:val="Compact"/>
            </w:pPr>
            <w:r>
              <w:t xml:space="preserve">35</w:t>
            </w:r>
          </w:p>
        </w:tc>
        <w:tc>
          <w:tcPr/>
          <w:p>
            <w:pPr>
              <w:pStyle w:val="Compact"/>
            </w:pPr>
            <w:r>
              <w:t xml:space="preserve">64.8%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WA</w:t>
            </w:r>
          </w:p>
        </w:tc>
        <w:tc>
          <w:tcPr/>
          <w:p>
            <w:pPr>
              <w:pStyle w:val="Compact"/>
            </w:pPr>
            <w:r>
              <w:t xml:space="preserve">45</w:t>
            </w:r>
          </w:p>
        </w:tc>
        <w:tc>
          <w:tcPr/>
          <w:p>
            <w:pPr>
              <w:pStyle w:val="Compact"/>
            </w:pPr>
            <w:r>
              <w:t xml:space="preserve">19</w:t>
            </w:r>
          </w:p>
        </w:tc>
        <w:tc>
          <w:tcPr/>
          <w:p>
            <w:pPr>
              <w:pStyle w:val="Compact"/>
            </w:pPr>
            <w:r>
              <w:t xml:space="preserve">42.2%</w:t>
            </w:r>
          </w:p>
        </w:tc>
        <w:tc>
          <w:tcPr/>
          <w:p>
            <w:pPr>
              <w:pStyle w:val="Compact"/>
            </w:pPr>
            <w:r>
              <w:t xml:space="preserve">Yes</w:t>
            </w:r>
          </w:p>
        </w:tc>
      </w:tr>
      <w:tr>
        <w:tc>
          <w:tcPr/>
          <w:p>
            <w:pPr>
              <w:pStyle w:val="Compact"/>
            </w:pPr>
            <w:r>
              <w:t xml:space="preserve">IN</w:t>
            </w:r>
          </w:p>
        </w:tc>
        <w:tc>
          <w:tcPr/>
          <w:p>
            <w:pPr>
              <w:pStyle w:val="Compact"/>
            </w:pPr>
            <w:r>
              <w:t xml:space="preserve">44</w:t>
            </w:r>
          </w:p>
        </w:tc>
        <w:tc>
          <w:tcPr/>
          <w:p>
            <w:pPr>
              <w:pStyle w:val="Compact"/>
            </w:pPr>
            <w:r>
              <w:t xml:space="preserve">13</w:t>
            </w:r>
          </w:p>
        </w:tc>
        <w:tc>
          <w:tcPr/>
          <w:p>
            <w:pPr>
              <w:pStyle w:val="Compact"/>
            </w:pPr>
            <w:r>
              <w:t xml:space="preserve">29.5%</w:t>
            </w:r>
          </w:p>
        </w:tc>
        <w:tc>
          <w:tcPr/>
          <w:p>
            <w:pPr>
              <w:pStyle w:val="Compact"/>
            </w:pPr>
            <w:r>
              <w:t xml:space="preserve">Yes</w:t>
            </w:r>
          </w:p>
        </w:tc>
      </w:tr>
      <w:tr>
        <w:tc>
          <w:tcPr/>
          <w:p>
            <w:pPr>
              <w:pStyle w:val="Compact"/>
            </w:pPr>
            <w:r>
              <w:t xml:space="preserve">VA</w:t>
            </w:r>
          </w:p>
        </w:tc>
        <w:tc>
          <w:tcPr/>
          <w:p>
            <w:pPr>
              <w:pStyle w:val="Compact"/>
            </w:pPr>
            <w:r>
              <w:t xml:space="preserve">43</w:t>
            </w:r>
          </w:p>
        </w:tc>
        <w:tc>
          <w:tcPr/>
          <w:p>
            <w:pPr>
              <w:pStyle w:val="Compact"/>
            </w:pPr>
            <w:r>
              <w:t xml:space="preserve">27</w:t>
            </w:r>
          </w:p>
        </w:tc>
        <w:tc>
          <w:tcPr/>
          <w:p>
            <w:pPr>
              <w:pStyle w:val="Compact"/>
            </w:pPr>
            <w:r>
              <w:t xml:space="preserve">62.8%</w:t>
            </w:r>
          </w:p>
        </w:tc>
        <w:tc>
          <w:tcPr/>
          <w:p>
            <w:pPr>
              <w:pStyle w:val="Compact"/>
            </w:pPr>
            <w:r>
              <w:t xml:space="preserve">Yes</w:t>
            </w:r>
          </w:p>
        </w:tc>
      </w:tr>
      <w:tr>
        <w:tc>
          <w:tcPr/>
          <w:p>
            <w:pPr>
              <w:pStyle w:val="Compact"/>
            </w:pPr>
            <w:r>
              <w:t xml:space="preserve">GA</w:t>
            </w:r>
          </w:p>
        </w:tc>
        <w:tc>
          <w:tcPr/>
          <w:p>
            <w:pPr>
              <w:pStyle w:val="Compact"/>
            </w:pPr>
            <w:r>
              <w:t xml:space="preserve">42</w:t>
            </w:r>
          </w:p>
        </w:tc>
        <w:tc>
          <w:tcPr/>
          <w:p>
            <w:pPr>
              <w:pStyle w:val="Compact"/>
            </w:pPr>
            <w:r>
              <w:t xml:space="preserve">17</w:t>
            </w:r>
          </w:p>
        </w:tc>
        <w:tc>
          <w:tcPr/>
          <w:p>
            <w:pPr>
              <w:pStyle w:val="Compact"/>
            </w:pPr>
            <w:r>
              <w:t xml:space="preserve">40.5%</w:t>
            </w:r>
          </w:p>
        </w:tc>
        <w:tc>
          <w:tcPr/>
          <w:p>
            <w:pPr>
              <w:pStyle w:val="Compact"/>
            </w:pPr>
            <w:r>
              <w:t xml:space="preserve">Yes</w:t>
            </w:r>
          </w:p>
        </w:tc>
      </w:tr>
      <w:tr>
        <w:tc>
          <w:tcPr/>
          <w:p>
            <w:pPr>
              <w:pStyle w:val="Compact"/>
            </w:pPr>
            <w:r>
              <w:t xml:space="preserve">MO</w:t>
            </w:r>
          </w:p>
        </w:tc>
        <w:tc>
          <w:tcPr/>
          <w:p>
            <w:pPr>
              <w:pStyle w:val="Compact"/>
            </w:pPr>
            <w:r>
              <w:t xml:space="preserve">42</w:t>
            </w:r>
          </w:p>
        </w:tc>
        <w:tc>
          <w:tcPr/>
          <w:p>
            <w:pPr>
              <w:pStyle w:val="Compact"/>
            </w:pPr>
            <w:r>
              <w:t xml:space="preserve">16</w:t>
            </w:r>
          </w:p>
        </w:tc>
        <w:tc>
          <w:tcPr/>
          <w:p>
            <w:pPr>
              <w:pStyle w:val="Compact"/>
            </w:pPr>
            <w:r>
              <w:t xml:space="preserve">38.1%</w:t>
            </w:r>
          </w:p>
        </w:tc>
        <w:tc>
          <w:tcPr/>
          <w:p>
            <w:pPr>
              <w:pStyle w:val="Compact"/>
            </w:pPr>
            <w:r>
              <w:t xml:space="preserve">Yes</w:t>
            </w:r>
          </w:p>
        </w:tc>
      </w:tr>
      <w:tr>
        <w:tc>
          <w:tcPr/>
          <w:p>
            <w:pPr>
              <w:pStyle w:val="Compact"/>
            </w:pPr>
            <w:r>
              <w:t xml:space="preserve">AL</w:t>
            </w:r>
          </w:p>
        </w:tc>
        <w:tc>
          <w:tcPr/>
          <w:p>
            <w:pPr>
              <w:pStyle w:val="Compact"/>
            </w:pPr>
            <w:r>
              <w:t xml:space="preserve">36</w:t>
            </w:r>
          </w:p>
        </w:tc>
        <w:tc>
          <w:tcPr/>
          <w:p>
            <w:pPr>
              <w:pStyle w:val="Compact"/>
            </w:pPr>
            <w:r>
              <w:t xml:space="preserve">12</w:t>
            </w:r>
          </w:p>
        </w:tc>
        <w:tc>
          <w:tcPr/>
          <w:p>
            <w:pPr>
              <w:pStyle w:val="Compact"/>
            </w:pPr>
            <w:r>
              <w:t xml:space="preserve">33.3%</w:t>
            </w:r>
          </w:p>
        </w:tc>
        <w:tc>
          <w:tcPr/>
          <w:p>
            <w:pPr>
              <w:pStyle w:val="Compact"/>
            </w:pPr>
            <w:r>
              <w:t xml:space="preserve">Yes</w:t>
            </w:r>
          </w:p>
        </w:tc>
      </w:tr>
      <w:tr>
        <w:tc>
          <w:tcPr/>
          <w:p>
            <w:pPr>
              <w:pStyle w:val="Compact"/>
            </w:pPr>
            <w:r>
              <w:t xml:space="preserve">MD</w:t>
            </w:r>
          </w:p>
        </w:tc>
        <w:tc>
          <w:tcPr/>
          <w:p>
            <w:pPr>
              <w:pStyle w:val="Compact"/>
            </w:pPr>
            <w:r>
              <w:t xml:space="preserve">34</w:t>
            </w:r>
          </w:p>
        </w:tc>
        <w:tc>
          <w:tcPr/>
          <w:p>
            <w:pPr>
              <w:pStyle w:val="Compact"/>
            </w:pPr>
            <w:r>
              <w:t xml:space="preserve">14</w:t>
            </w:r>
          </w:p>
        </w:tc>
        <w:tc>
          <w:tcPr/>
          <w:p>
            <w:pPr>
              <w:pStyle w:val="Compact"/>
            </w:pPr>
            <w:r>
              <w:t xml:space="preserve">41.2%</w:t>
            </w:r>
          </w:p>
        </w:tc>
        <w:tc>
          <w:tcPr/>
          <w:p>
            <w:pPr>
              <w:pStyle w:val="Compact"/>
            </w:pPr>
            <w:r>
              <w:t xml:space="preserve">Yes</w:t>
            </w:r>
          </w:p>
        </w:tc>
      </w:tr>
      <w:tr>
        <w:tc>
          <w:tcPr/>
          <w:p>
            <w:pPr>
              <w:pStyle w:val="Compact"/>
            </w:pPr>
            <w:r>
              <w:t xml:space="preserve">SC</w:t>
            </w:r>
          </w:p>
        </w:tc>
        <w:tc>
          <w:tcPr/>
          <w:p>
            <w:pPr>
              <w:pStyle w:val="Compact"/>
            </w:pPr>
            <w:r>
              <w:t xml:space="preserve">34</w:t>
            </w:r>
          </w:p>
        </w:tc>
        <w:tc>
          <w:tcPr/>
          <w:p>
            <w:pPr>
              <w:pStyle w:val="Compact"/>
            </w:pPr>
            <w:r>
              <w:t xml:space="preserve">11</w:t>
            </w:r>
          </w:p>
        </w:tc>
        <w:tc>
          <w:tcPr/>
          <w:p>
            <w:pPr>
              <w:pStyle w:val="Compact"/>
            </w:pPr>
            <w:r>
              <w:t xml:space="preserve">32.4%</w:t>
            </w:r>
          </w:p>
        </w:tc>
        <w:tc>
          <w:tcPr/>
          <w:p>
            <w:pPr>
              <w:pStyle w:val="Compact"/>
            </w:pPr>
            <w:r>
              <w:t xml:space="preserve">Yes</w:t>
            </w:r>
          </w:p>
        </w:tc>
      </w:tr>
      <w:tr>
        <w:tc>
          <w:tcPr/>
          <w:p>
            <w:pPr>
              <w:pStyle w:val="Compact"/>
            </w:pPr>
            <w:r>
              <w:t xml:space="preserve">KY</w:t>
            </w:r>
          </w:p>
        </w:tc>
        <w:tc>
          <w:tcPr/>
          <w:p>
            <w:pPr>
              <w:pStyle w:val="Compact"/>
            </w:pPr>
            <w:r>
              <w:t xml:space="preserve">30</w:t>
            </w:r>
          </w:p>
        </w:tc>
        <w:tc>
          <w:tcPr/>
          <w:p>
            <w:pPr>
              <w:pStyle w:val="Compact"/>
            </w:pPr>
            <w:r>
              <w:t xml:space="preserve">10</w:t>
            </w:r>
          </w:p>
        </w:tc>
        <w:tc>
          <w:tcPr/>
          <w:p>
            <w:pPr>
              <w:pStyle w:val="Compact"/>
            </w:pPr>
            <w:r>
              <w:t xml:space="preserve">33.3%</w:t>
            </w:r>
          </w:p>
        </w:tc>
        <w:tc>
          <w:tcPr/>
          <w:p>
            <w:pPr>
              <w:pStyle w:val="Compact"/>
            </w:pPr>
            <w:r>
              <w:t xml:space="preserve">Yes</w:t>
            </w:r>
          </w:p>
        </w:tc>
      </w:tr>
      <w:tr>
        <w:tc>
          <w:tcPr/>
          <w:p>
            <w:pPr>
              <w:pStyle w:val="Compact"/>
            </w:pPr>
            <w:r>
              <w:t xml:space="preserve">OK</w:t>
            </w:r>
          </w:p>
        </w:tc>
        <w:tc>
          <w:tcPr/>
          <w:p>
            <w:pPr>
              <w:pStyle w:val="Compact"/>
            </w:pPr>
            <w:r>
              <w:t xml:space="preserve">29</w:t>
            </w:r>
          </w:p>
        </w:tc>
        <w:tc>
          <w:tcPr/>
          <w:p>
            <w:pPr>
              <w:pStyle w:val="Compact"/>
            </w:pPr>
            <w:r>
              <w:t xml:space="preserve">10</w:t>
            </w:r>
          </w:p>
        </w:tc>
        <w:tc>
          <w:tcPr/>
          <w:p>
            <w:pPr>
              <w:pStyle w:val="Compact"/>
            </w:pPr>
            <w:r>
              <w:t xml:space="preserve">34.5%</w:t>
            </w:r>
          </w:p>
        </w:tc>
        <w:tc>
          <w:tcPr/>
          <w:p>
            <w:pPr>
              <w:pStyle w:val="Compact"/>
            </w:pPr>
            <w:r>
              <w:t xml:space="preserve">Yes</w:t>
            </w:r>
          </w:p>
        </w:tc>
      </w:tr>
      <w:tr>
        <w:tc>
          <w:tcPr/>
          <w:p>
            <w:pPr>
              <w:pStyle w:val="Compact"/>
            </w:pPr>
            <w:r>
              <w:t xml:space="preserve">LA</w:t>
            </w:r>
          </w:p>
        </w:tc>
        <w:tc>
          <w:tcPr/>
          <w:p>
            <w:pPr>
              <w:pStyle w:val="Compact"/>
            </w:pPr>
            <w:r>
              <w:t xml:space="preserve">28</w:t>
            </w:r>
          </w:p>
        </w:tc>
        <w:tc>
          <w:tcPr/>
          <w:p>
            <w:pPr>
              <w:pStyle w:val="Compact"/>
            </w:pPr>
            <w:r>
              <w:t xml:space="preserve">6</w:t>
            </w:r>
          </w:p>
        </w:tc>
        <w:tc>
          <w:tcPr/>
          <w:p>
            <w:pPr>
              <w:pStyle w:val="Compact"/>
            </w:pPr>
            <w:r>
              <w:t xml:space="preserve">21.4%</w:t>
            </w:r>
          </w:p>
        </w:tc>
        <w:tc>
          <w:tcPr/>
          <w:p>
            <w:pPr>
              <w:pStyle w:val="Compact"/>
            </w:pPr>
            <w:r>
              <w:t xml:space="preserve">Yes</w:t>
            </w:r>
          </w:p>
        </w:tc>
      </w:tr>
      <w:tr>
        <w:tc>
          <w:tcPr/>
          <w:p>
            <w:pPr>
              <w:pStyle w:val="Compact"/>
            </w:pPr>
            <w:r>
              <w:t xml:space="preserve">NE</w:t>
            </w:r>
          </w:p>
        </w:tc>
        <w:tc>
          <w:tcPr/>
          <w:p>
            <w:pPr>
              <w:pStyle w:val="Compact"/>
            </w:pPr>
            <w:r>
              <w:t xml:space="preserve">26</w:t>
            </w:r>
          </w:p>
        </w:tc>
        <w:tc>
          <w:tcPr/>
          <w:p>
            <w:pPr>
              <w:pStyle w:val="Compact"/>
            </w:pPr>
            <w:r>
              <w:t xml:space="preserve">4</w:t>
            </w:r>
          </w:p>
        </w:tc>
        <w:tc>
          <w:tcPr/>
          <w:p>
            <w:pPr>
              <w:pStyle w:val="Compact"/>
            </w:pPr>
            <w:r>
              <w:t xml:space="preserve">15.4%</w:t>
            </w:r>
          </w:p>
        </w:tc>
        <w:tc>
          <w:tcPr/>
          <w:p>
            <w:pPr>
              <w:pStyle w:val="Compact"/>
            </w:pPr>
            <w:r>
              <w:t xml:space="preserve">Yes</w:t>
            </w:r>
          </w:p>
        </w:tc>
      </w:tr>
      <w:tr>
        <w:tc>
          <w:tcPr/>
          <w:p>
            <w:pPr>
              <w:pStyle w:val="Compact"/>
            </w:pPr>
            <w:r>
              <w:t xml:space="preserve">CO</w:t>
            </w:r>
          </w:p>
        </w:tc>
        <w:tc>
          <w:tcPr/>
          <w:p>
            <w:pPr>
              <w:pStyle w:val="Compact"/>
            </w:pPr>
            <w:r>
              <w:t xml:space="preserve">25</w:t>
            </w:r>
          </w:p>
        </w:tc>
        <w:tc>
          <w:tcPr/>
          <w:p>
            <w:pPr>
              <w:pStyle w:val="Compact"/>
            </w:pPr>
            <w:r>
              <w:t xml:space="preserve">14</w:t>
            </w:r>
          </w:p>
        </w:tc>
        <w:tc>
          <w:tcPr/>
          <w:p>
            <w:pPr>
              <w:pStyle w:val="Compact"/>
            </w:pPr>
            <w:r>
              <w:t xml:space="preserve">56.0%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KS</w:t>
            </w:r>
          </w:p>
        </w:tc>
        <w:tc>
          <w:tcPr/>
          <w:p>
            <w:pPr>
              <w:pStyle w:val="Compact"/>
            </w:pPr>
            <w:r>
              <w:t xml:space="preserve">21</w:t>
            </w:r>
          </w:p>
        </w:tc>
        <w:tc>
          <w:tcPr/>
          <w:p>
            <w:pPr>
              <w:pStyle w:val="Compact"/>
            </w:pPr>
            <w:r>
              <w:t xml:space="preserve">4</w:t>
            </w:r>
          </w:p>
        </w:tc>
        <w:tc>
          <w:tcPr/>
          <w:p>
            <w:pPr>
              <w:pStyle w:val="Compact"/>
            </w:pPr>
            <w:r>
              <w:t xml:space="preserve">19.0%</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AR</w:t>
            </w:r>
          </w:p>
        </w:tc>
        <w:tc>
          <w:tcPr/>
          <w:p>
            <w:pPr>
              <w:pStyle w:val="Compact"/>
            </w:pPr>
            <w:r>
              <w:t xml:space="preserve">20</w:t>
            </w:r>
          </w:p>
        </w:tc>
        <w:tc>
          <w:tcPr/>
          <w:p>
            <w:pPr>
              <w:pStyle w:val="Compact"/>
            </w:pPr>
            <w:r>
              <w:t xml:space="preserve">3</w:t>
            </w:r>
          </w:p>
        </w:tc>
        <w:tc>
          <w:tcPr/>
          <w:p>
            <w:pPr>
              <w:pStyle w:val="Compact"/>
            </w:pPr>
            <w:r>
              <w:t xml:space="preserve">15.0%</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IA</w:t>
            </w:r>
          </w:p>
        </w:tc>
        <w:tc>
          <w:tcPr/>
          <w:p>
            <w:pPr>
              <w:pStyle w:val="Compact"/>
            </w:pPr>
            <w:r>
              <w:t xml:space="preserve">18</w:t>
            </w:r>
          </w:p>
        </w:tc>
        <w:tc>
          <w:tcPr/>
          <w:p>
            <w:pPr>
              <w:pStyle w:val="Compact"/>
            </w:pPr>
            <w:r>
              <w:t xml:space="preserve">7</w:t>
            </w:r>
          </w:p>
        </w:tc>
        <w:tc>
          <w:tcPr/>
          <w:p>
            <w:pPr>
              <w:pStyle w:val="Compact"/>
            </w:pPr>
            <w:r>
              <w:t xml:space="preserve">38.9%</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13</w:t>
            </w:r>
          </w:p>
        </w:tc>
        <w:tc>
          <w:tcPr/>
          <w:p>
            <w:pPr>
              <w:pStyle w:val="Compact"/>
            </w:pPr>
            <w:r>
              <w:t xml:space="preserve">3</w:t>
            </w:r>
          </w:p>
        </w:tc>
        <w:tc>
          <w:tcPr/>
          <w:p>
            <w:pPr>
              <w:pStyle w:val="Compact"/>
            </w:pPr>
            <w:r>
              <w:t xml:space="preserve">23.1%</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DE</w:t>
            </w:r>
          </w:p>
        </w:tc>
        <w:tc>
          <w:tcPr/>
          <w:p>
            <w:pPr>
              <w:pStyle w:val="Compact"/>
            </w:pPr>
            <w:r>
              <w:t xml:space="preserve">7</w:t>
            </w:r>
          </w:p>
        </w:tc>
        <w:tc>
          <w:tcPr/>
          <w:p>
            <w:pPr>
              <w:pStyle w:val="Compact"/>
            </w:pPr>
            <w:r>
              <w:t xml:space="preserve">4</w:t>
            </w:r>
          </w:p>
        </w:tc>
        <w:tc>
          <w:tcPr/>
          <w:p>
            <w:pPr>
              <w:pStyle w:val="Compact"/>
            </w:pPr>
            <w:r>
              <w:t xml:space="preserve">57.1%</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ID</w:t>
            </w:r>
          </w:p>
        </w:tc>
        <w:tc>
          <w:tcPr/>
          <w:p>
            <w:pPr>
              <w:pStyle w:val="Compact"/>
            </w:pPr>
            <w:r>
              <w:t xml:space="preserve">6</w:t>
            </w:r>
          </w:p>
        </w:tc>
        <w:tc>
          <w:tcPr/>
          <w:p>
            <w:pPr>
              <w:pStyle w:val="Compact"/>
            </w:pPr>
            <w:r>
              <w:t xml:space="preserve">3</w:t>
            </w:r>
          </w:p>
        </w:tc>
        <w:tc>
          <w:tcPr/>
          <w:p>
            <w:pPr>
              <w:pStyle w:val="Compact"/>
            </w:pPr>
            <w:r>
              <w:t xml:space="preserve">50.0%</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ND</w:t>
            </w:r>
          </w:p>
        </w:tc>
        <w:tc>
          <w:tcPr/>
          <w:p>
            <w:pPr>
              <w:pStyle w:val="Compact"/>
            </w:pPr>
            <w:r>
              <w:t xml:space="preserve">6</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AK</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Cross-sectional versus multi-year Gini coefficients (concentration sensitivity), showing that pooling years increases apparent concentration relative to any single year.</w:t>
      </w:r>
    </w:p>
    <w:tbl>
      <w:tblPr>
        <w:tblStyle w:val="Table"/>
        <w:tblW w:type="pct" w:w="5000"/>
        <w:tblLayout w:type="fixed"/>
        <w:tblLook w:firstRow="1" w:lastRow="0" w:firstColumn="0" w:lastColumn="0" w:noHBand="0" w:noVBand="0" w:val="0020"/>
      </w:tblPr>
      <w:tblGrid>
        <w:gridCol w:w="1146"/>
        <w:gridCol w:w="1771"/>
        <w:gridCol w:w="1354"/>
        <w:gridCol w:w="1875"/>
        <w:gridCol w:w="1771"/>
      </w:tblGrid>
      <w:tr>
        <w:trPr>
          <w:tblHeader w:val="on"/>
        </w:trPr>
        <w:tc>
          <w:tcPr/>
          <w:p>
            <w:pPr>
              <w:pStyle w:val="Compact"/>
            </w:pPr>
            <w:r>
              <w:t xml:space="preserve">Specialty</w:t>
            </w:r>
          </w:p>
        </w:tc>
        <w:tc>
          <w:tcPr/>
          <w:p>
            <w:pPr>
              <w:pStyle w:val="Compact"/>
            </w:pPr>
            <w:r>
              <w:t xml:space="preserve">Year mode</w:t>
            </w:r>
          </w:p>
        </w:tc>
        <w:tc>
          <w:tcPr/>
          <w:p>
            <w:pPr>
              <w:pStyle w:val="Compact"/>
            </w:pPr>
            <w:r>
              <w:t xml:space="preserve">N providers</w:t>
            </w:r>
          </w:p>
        </w:tc>
        <w:tc>
          <w:tcPr/>
          <w:p>
            <w:pPr>
              <w:pStyle w:val="Compact"/>
            </w:pPr>
            <w:r>
              <w:t xml:space="preserve">Gini coefficient</w:t>
            </w:r>
          </w:p>
        </w:tc>
        <w:tc>
          <w:tcPr/>
          <w:p>
            <w:pPr>
              <w:pStyle w:val="Compact"/>
            </w:pPr>
            <w:r>
              <w:t xml:space="preserve">% of all slings</w:t>
            </w:r>
          </w:p>
        </w:tc>
      </w:tr>
      <w:tr>
        <w:tc>
          <w:tcPr/>
          <w:p>
            <w:pPr>
              <w:pStyle w:val="Compact"/>
            </w:pPr>
            <w:r>
              <w:t xml:space="preserve">OB/GYN</w:t>
            </w:r>
          </w:p>
        </w:tc>
        <w:tc>
          <w:tcPr/>
          <w:p>
            <w:pPr>
              <w:pStyle w:val="Compact"/>
            </w:pPr>
            <w:r>
              <w:t xml:space="preserve">cross_sectional</w:t>
            </w:r>
          </w:p>
        </w:tc>
        <w:tc>
          <w:tcPr/>
          <w:p>
            <w:pPr>
              <w:pStyle w:val="Compact"/>
            </w:pPr>
            <w:r>
              <w:t xml:space="preserve">373</w:t>
            </w:r>
          </w:p>
        </w:tc>
        <w:tc>
          <w:tcPr/>
          <w:p>
            <w:pPr>
              <w:pStyle w:val="Compact"/>
            </w:pPr>
            <w:r>
              <w:t xml:space="preserve">0.275</w:t>
            </w:r>
          </w:p>
        </w:tc>
        <w:tc>
          <w:tcPr/>
          <w:p>
            <w:pPr>
              <w:pStyle w:val="Compact"/>
            </w:pPr>
            <w:r>
              <w:t xml:space="preserve">82.6%</w:t>
            </w:r>
          </w:p>
        </w:tc>
      </w:tr>
      <w:tr>
        <w:tc>
          <w:tcPr/>
          <w:p>
            <w:pPr>
              <w:pStyle w:val="Compact"/>
            </w:pPr>
            <w:r>
              <w:t xml:space="preserve">Urology</w:t>
            </w:r>
          </w:p>
        </w:tc>
        <w:tc>
          <w:tcPr/>
          <w:p>
            <w:pPr>
              <w:pStyle w:val="Compact"/>
            </w:pPr>
            <w:r>
              <w:t xml:space="preserve">cross_sectional</w:t>
            </w:r>
          </w:p>
        </w:tc>
        <w:tc>
          <w:tcPr/>
          <w:p>
            <w:pPr>
              <w:pStyle w:val="Compact"/>
            </w:pPr>
            <w:r>
              <w:t xml:space="preserve">93</w:t>
            </w:r>
          </w:p>
        </w:tc>
        <w:tc>
          <w:tcPr/>
          <w:p>
            <w:pPr>
              <w:pStyle w:val="Compact"/>
            </w:pPr>
            <w:r>
              <w:t xml:space="preserve">0.233</w:t>
            </w:r>
          </w:p>
        </w:tc>
        <w:tc>
          <w:tcPr/>
          <w:p>
            <w:pPr>
              <w:pStyle w:val="Compact"/>
            </w:pPr>
            <w:r>
              <w:t xml:space="preserve">17.4%</w:t>
            </w:r>
          </w:p>
        </w:tc>
      </w:tr>
      <w:tr>
        <w:tc>
          <w:tcPr/>
          <w:p>
            <w:pPr>
              <w:pStyle w:val="Compact"/>
            </w:pPr>
            <w:r>
              <w:t xml:space="preserve">OB/GYN</w:t>
            </w:r>
          </w:p>
        </w:tc>
        <w:tc>
          <w:tcPr/>
          <w:p>
            <w:pPr>
              <w:pStyle w:val="Compact"/>
            </w:pPr>
            <w:r>
              <w:t xml:space="preserve">multi_year</w:t>
            </w:r>
          </w:p>
        </w:tc>
        <w:tc>
          <w:tcPr/>
          <w:p>
            <w:pPr>
              <w:pStyle w:val="Compact"/>
            </w:pPr>
            <w:r>
              <w:t xml:space="preserve">964</w:t>
            </w:r>
          </w:p>
        </w:tc>
        <w:tc>
          <w:tcPr/>
          <w:p>
            <w:pPr>
              <w:pStyle w:val="Compact"/>
            </w:pPr>
            <w:r>
              <w:t xml:space="preserve">0.281</w:t>
            </w:r>
          </w:p>
        </w:tc>
        <w:tc>
          <w:tcPr/>
          <w:p>
            <w:pPr>
              <w:pStyle w:val="Compact"/>
            </w:pPr>
            <w:r>
              <w:t xml:space="preserve">74.8%</w:t>
            </w:r>
          </w:p>
        </w:tc>
      </w:tr>
      <w:tr>
        <w:tc>
          <w:tcPr/>
          <w:p>
            <w:pPr>
              <w:pStyle w:val="Compact"/>
            </w:pPr>
            <w:r>
              <w:t xml:space="preserve">Urology</w:t>
            </w:r>
          </w:p>
        </w:tc>
        <w:tc>
          <w:tcPr/>
          <w:p>
            <w:pPr>
              <w:pStyle w:val="Compact"/>
            </w:pPr>
            <w:r>
              <w:t xml:space="preserve">multi_year</w:t>
            </w:r>
          </w:p>
        </w:tc>
        <w:tc>
          <w:tcPr/>
          <w:p>
            <w:pPr>
              <w:pStyle w:val="Compact"/>
            </w:pPr>
            <w:r>
              <w:t xml:space="preserve">517</w:t>
            </w:r>
          </w:p>
        </w:tc>
        <w:tc>
          <w:tcPr/>
          <w:p>
            <w:pPr>
              <w:pStyle w:val="Compact"/>
            </w:pPr>
            <w:r>
              <w:t xml:space="preserve">0.225</w:t>
            </w:r>
          </w:p>
        </w:tc>
        <w:tc>
          <w:tcPr/>
          <w:p>
            <w:pPr>
              <w:pStyle w:val="Compact"/>
            </w:pPr>
            <w:r>
              <w:t xml:space="preserve">25.2%</w:t>
            </w:r>
          </w:p>
        </w:tc>
      </w:tr>
    </w:tbl>
    <w:p>
      <w:pPr>
        <w:pStyle w:val="BodyText"/>
      </w:pPr>
      <w:r>
        <w:rPr>
          <w:b/>
          <w:bCs/>
        </w:rPr>
        <w:t xml:space="preserve">Supplementary Table S9.</w:t>
      </w:r>
      <w:r>
        <w:t xml:space="preserve"> </w:t>
      </w:r>
      <w:r>
        <w:t xml:space="preserve">Suppression sensitivity. Hypothetical suppressed low-volume providers (25% and 50% of the observed count, each performing 1–10 services) were added to each group before recomputing the Gini coefficient and HHI. Concentration rose only modestly, so the low-concentration conclusion is robust to the unobserved low-volume tail.</w:t>
      </w:r>
    </w:p>
    <w:tbl>
      <w:tblPr>
        <w:tblStyle w:val="Table"/>
        <w:tblW w:type="pct" w:w="5000"/>
        <w:tblLayout w:type="fixed"/>
        <w:tblLook w:firstRow="1" w:lastRow="0" w:firstColumn="0" w:lastColumn="0" w:noHBand="0" w:noVBand="0" w:val="0020"/>
      </w:tblPr>
      <w:tblGrid>
        <w:gridCol w:w="1389"/>
        <w:gridCol w:w="1042"/>
        <w:gridCol w:w="1528"/>
        <w:gridCol w:w="1528"/>
        <w:gridCol w:w="972"/>
        <w:gridCol w:w="1458"/>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w:t>
            </w:r>
          </w:p>
        </w:tc>
        <w:tc>
          <w:tcPr/>
          <w:p>
            <w:pPr>
              <w:pStyle w:val="Compact"/>
            </w:pPr>
            <w:r>
              <w:t xml:space="preserve">0.52</w:t>
            </w:r>
          </w:p>
        </w:tc>
        <w:tc>
          <w:tcPr/>
          <w:p>
            <w:pPr>
              <w:pStyle w:val="Compact"/>
            </w:pPr>
            <w:r>
              <w:t xml:space="preserve">0.60</w:t>
            </w:r>
          </w:p>
        </w:tc>
        <w:tc>
          <w:tcPr/>
          <w:p>
            <w:pPr>
              <w:pStyle w:val="Compact"/>
            </w:pPr>
            <w:r>
              <w:t xml:space="preserve">0.65</w:t>
            </w:r>
          </w:p>
        </w:tc>
        <w:tc>
          <w:tcPr/>
          <w:p>
            <w:pPr>
              <w:pStyle w:val="Compact"/>
            </w:pPr>
            <w:r>
              <w:t xml:space="preserve">27</w:t>
            </w:r>
          </w:p>
        </w:tc>
        <w:tc>
          <w:tcPr/>
          <w:p>
            <w:pPr>
              <w:pStyle w:val="Compact"/>
            </w:pPr>
            <w:r>
              <w:t xml:space="preserve">26</w:t>
            </w:r>
          </w:p>
        </w:tc>
      </w:tr>
      <w:tr>
        <w:tc>
          <w:tcPr/>
          <w:p>
            <w:pPr>
              <w:pStyle w:val="Compact"/>
            </w:pPr>
            <w:r>
              <w:t xml:space="preserve">Urology (non-URPS)</w:t>
            </w:r>
          </w:p>
        </w:tc>
        <w:tc>
          <w:tcPr/>
          <w:p>
            <w:pPr>
              <w:pStyle w:val="Compact"/>
            </w:pPr>
            <w:r>
              <w:t xml:space="preserve">0.53</w:t>
            </w:r>
          </w:p>
        </w:tc>
        <w:tc>
          <w:tcPr/>
          <w:p>
            <w:pPr>
              <w:pStyle w:val="Compact"/>
            </w:pPr>
            <w:r>
              <w:t xml:space="preserve">0.59</w:t>
            </w:r>
          </w:p>
        </w:tc>
        <w:tc>
          <w:tcPr/>
          <w:p>
            <w:pPr>
              <w:pStyle w:val="Compact"/>
            </w:pPr>
            <w:r>
              <w:t xml:space="preserve">0.63</w:t>
            </w:r>
          </w:p>
        </w:tc>
        <w:tc>
          <w:tcPr/>
          <w:p>
            <w:pPr>
              <w:pStyle w:val="Compact"/>
            </w:pPr>
            <w:r>
              <w:t xml:space="preserve">35</w:t>
            </w:r>
          </w:p>
        </w:tc>
        <w:tc>
          <w:tcPr/>
          <w:p>
            <w:pPr>
              <w:pStyle w:val="Compact"/>
            </w:pPr>
            <w:r>
              <w:t xml:space="preserve">32</w:t>
            </w:r>
          </w:p>
        </w:tc>
      </w:tr>
      <w:tr>
        <w:tc>
          <w:tcPr/>
          <w:p>
            <w:pPr>
              <w:pStyle w:val="Compact"/>
            </w:pPr>
            <w:r>
              <w:t xml:space="preserve">General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2026-07-22T19:40:26Z</dcterms:created>
  <dcterms:modified xsi:type="dcterms:W3CDTF">2026-07-22T19:40:26Z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