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concentration of clinicians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clinicians billing CPT 57288 as Urogynecology and Reconstructive Pelvic Surgery (URPS, both certification pathways), Minimally Invasive Gynecologic Surgery, other non-URPS OB/GYN, or non-URPS urology; facilities and unclassifiable billers formed a separate group. Utilization was modeled with a denominator offset (female Part B fee-for-service enrollment), annual volume with a Poisson generalized estimating equation clustered by NPI, and the URPS share with a quasibinomial model; concentration used the Gini coefficient with bootstrap confidence intervals.</w:t>
      </w:r>
    </w:p>
    <w:p>
      <w:pPr>
        <w:pStyle w:val="BodyText"/>
      </w:pPr>
      <w:r>
        <w:rPr>
          <w:b/>
          <w:bCs/>
        </w:rPr>
        <w:t xml:space="preserve">Results:</w:t>
      </w:r>
      <w:r>
        <w:t xml:space="preserve"> </w:t>
      </w:r>
      <w:r>
        <w:t xml:space="preserve">1,666 clinicians performed 141,009 observable services. OB/GYN-pathway URPS was the largest group (55%), with urology-pathway URPS a further 8.7% (together 63.7%), followed by non-URPS urology (14.5%) and other non-URPS OB/GYN (13%). Raw services fell -27.7%, but in a denominator-offset model the observable utilization rate declined -1.9% per year (about -17.3% over the decade; p = 0.119), a meaningful but not statistically robust decline. Adjusted volume was higher for OB/GYN-pathway URPS than for the other groups. Within-year concentration was low and stable (annual Gini 0.22–0.28). In a quasibinomial model the OB/GYN-pathway URPS share rose 1.44 percentage points/year (48.3% to 62.6%; p &lt; 0.001); the urology pathway was roughly stable.</w:t>
      </w:r>
    </w:p>
    <w:p>
      <w:pPr>
        <w:pStyle w:val="BodyText"/>
      </w:pPr>
      <w:r>
        <w:rPr>
          <w:b/>
          <w:bCs/>
        </w:rPr>
        <w:t xml:space="preserve">Conclusions:</w:t>
      </w:r>
      <w:r>
        <w:t xml:space="preserve"> </w:t>
      </w:r>
      <w:r>
        <w:t xml:space="preserve">In observable fee-for-service Medicare, all-pathway URPS physicians performed most sling surgery for stress urinary incontinence, and their share rose as non-URPS participation declined, not through rising concentration. These findings describe observable Medicare service patterns, not the national surgical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reflects that fewer older adults are now in traditional Medicare; after accounting for that shrinking population, a smaller real decline may remain, though the data cannot pin it down precisely.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Organizational NPIs (NPPES entity type 2, flagged in the Public Use File by a rendering-provider entity code of</w:t>
      </w:r>
      <w:r>
        <w:t xml:space="preserve"> </w:t>
      </w:r>
      <w:r>
        <w:t xml:space="preserve">“O”</w:t>
      </w:r>
      <w:r>
        <w:t xml:space="preserve">: ambulatory surgical centers, hospitals, laboratories, and groups; 123 NPIs) were excluded because they identify a billing organization rather than an individual clinician and cannot be given a physician specialty. The remaining 200 individual non-physician or unclassifiable clinicians were placed in a distinct</w:t>
      </w:r>
      <w:r>
        <w:t xml:space="preserve"> </w:t>
      </w:r>
      <w:r>
        <w:t xml:space="preserve">“Other/uncertain”</w:t>
      </w:r>
      <w:r>
        <w:t xml:space="preserve"> </w:t>
      </w:r>
      <w:r>
        <w:t xml:space="preserve">group (8.2% of observable services). The full classification flow, with counts at each step, is shown in Figure 3.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616,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We separated URPS into its two certification pathways (Table 1). OB/GYN-pathway URPS (ABOG-certified) was the largest single group: 616 physicians, 77,501 services (55%), median annual volume 19 (p25–p75, 14–29). Urology-pathway URPS (ABU roster) added 151 physicians and 12,272 services (8.7%; median 16), so the two URPS pathways together performed 63.7% of observable services. Non-URPS urology included 366 physicians and 20,475 services (14.5%; median 15), other non-URPS OB/GYN 336 physicians and 18,316 services (13%; median 15), the Other/uncertain group 200 clinicians (8.2%), and MIGS 10 physicians (0.7%; median 16).</w:t>
      </w:r>
    </w:p>
    <w:p>
      <w:pPr>
        <w:pStyle w:val="BodyText"/>
      </w:pPr>
      <w:r>
        <w:t xml:space="preserve">Because 13 clinicians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45.8% in 2013 to 60.6% in 2023 (+1.42 percentage points/year; 95% CI 1.03 to 1.80;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48.3% in 2013 to 62.6% in 2023 (odds ratio 1.060 (95% CI 1.046-1.074) per year; 1.44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16.5% to 13.9% (+-0.32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0.76 (0.68–0.84)), non-URPS urology (RR 0.71 (0.59–0.85)), other non-URPS OB/GYN (RR 0.63 (0.44–0.90)), and MIGS (RR 0.81 (0.51–1.29)) (Table 3). Annual volume was approximately 11% lower in 2020 (RR 0.88 (0.85–0.91); p &lt; 0.001). The specialty-by-year interaction showed that per-physician volume was essentially flat over time for the well-populated groups (OB/GYN-pathway URPS RR 0.999 (0.990-1.007), p = 0.776; urology-pathway URPS RR 0.988 (0.974-1.002), p = 0.089; non-URPS urology RR 0.986 (0.968-1.004), p = 0.137; other OB/GYN RR 0.996 (0.973-1.020), p = 0.760), increasing only for the 10-physician MIGS group (RR 1.085 (1.031-1.142);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97.4, df = 5,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0.51 (95% CI 0.48-0.53), urology Gini 0.52 (95% CI 0.49-0.55), and other non-URPS OB/GYN Gini 0.56 (95% CI 0.52-0.60) (Table 2). Because overlapping individual confidence intervals are not a test of between-group difference, we bootstrapped the pairwise differences: URPS and urology did not differ (Gini difference -0.016 (95% CI -0.050 to +0.021)), whereas URPS was modestly less concentrated than other OB/GYN (-0.056 (95% CI -0.098 to -0.006), confidence interval excluding zero). The size-adjusted normalized HHI was near zero for every group (URPS 0.002, urology 0.004, other OB/GYN 0.006 on a 0–1 scale). The effective number of providers, expressed as a fraction of the actual provider count, showed a gradient (URPS 305 of 616, 50%;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0.51 toward the mid-0.6 range, so the sensitivity supports only the narrower claim that observed services were not dominated by a handful of surgeons, not a precise estimate of the full-market distribution. URPS had the highest median annual volume and upper quartile (median 19; p75 29). MIGS was excluded from these comparisons because only 10 physicians were identified (1–4 per year); its estimates are exploratory.</w:t>
      </w:r>
    </w:p>
    <w:bookmarkEnd w:id="21"/>
    <w:bookmarkStart w:id="22" w:name="workforce-entry-and-exit"/>
    <w:p>
      <w:pPr>
        <w:pStyle w:val="Heading3"/>
      </w:pPr>
      <w:r>
        <w:t xml:space="preserve">Workforce Entry and Exit</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OB/GYN-pathway URPS was the largest single group (55%) and had the highest adjusted per-physician volume, and the two URPS pathways together performed the majority (63.7%) of observable services. Second, the OB/GYN-pathway URPS share increased over the decade, coinciding with more URPS surgeons becoming observable and fewer non-URPS surgeons remaining observable, while the urology-pathway URPS share was roughly stable.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X91e1c95b037f473535ecf00410a7735e835e926"/>
    <w:p>
      <w:pPr>
        <w:pStyle w:val="Heading3"/>
      </w:pPr>
      <w:r>
        <w:t xml:space="preserve">Specialty Distribution and the Historical Reversal</w:t>
      </w:r>
    </w:p>
    <w:p>
      <w:pPr>
        <w:pStyle w:val="FirstParagraph"/>
      </w:pPr>
      <w:r>
        <w:t xml:space="preserve">The two URPS pathways together performed approximately three-fifths of observable fee-for-service Medicare slings (63.7%; OB/GYN pathway 55%, urology pathway 8.7%), and non-URPS urologists a much smaller share (14.5%). Because the all-pathway URPS group also includes urology-trained subspecialists, the URPS share is not equivalent to a gynecologist share. The apparent non-URPS urology share is sensitive to classification: a naive provider-type approach that assigns ambulatory surgical centers and non-physician billers to urology roughly doubles it (Supplementary Table S11), which likely explains why some earlier analyses reported a larger urology share. Direct comparison with prior studies is limited because they used different datasets, specialty definitions, and care settings. In ACS-NSQIP data from 2006 through 2013, James et al. reported that gynecologists performed 74.2% of sling procedures and urologists 25.8%;</w:t>
      </w:r>
      <w:r>
        <w:rPr>
          <w:vertAlign w:val="superscript"/>
        </w:rPr>
        <w:t xml:space="preserve">9</w:t>
      </w:r>
      <w:r>
        <w:t xml:space="preserve"> </w:t>
      </w:r>
      <w:r>
        <w:t xml:space="preserve">Cantrell et al. found urogynecologists performed 54% of stress-incontinence procedures at academic centers from 2009 through 2014;</w:t>
      </w:r>
      <w:r>
        <w:rPr>
          <w:vertAlign w:val="superscript"/>
        </w:rPr>
        <w:t xml:space="preserve">10</w:t>
      </w:r>
      <w:r>
        <w:t xml:space="preserve"> </w:t>
      </w:r>
      <w:r>
        <w:t xml:space="preserve">and in Medicare data from 2002 through 2007, Rogo-Gupta et al. found urologists performed most sling operations.</w:t>
      </w:r>
      <w:r>
        <w:rPr>
          <w:vertAlign w:val="superscript"/>
        </w:rPr>
        <w:t xml:space="preserve">11</w:t>
      </w:r>
      <w:r>
        <w:t xml:space="preserve"> </w:t>
      </w:r>
      <w:r>
        <w:t xml:space="preserve">Rather than asserting a single historical reversal across these heterogeneous sources, we conclude more cautiously that OB/GYN-pathway URPS was the largest single contemporary fee-for-service Medicare group performing this procedure.</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55.0%</w:t>
            </w:r>
          </w:p>
        </w:tc>
        <w:tc>
          <w:tcPr/>
          <w:p>
            <w:pPr>
              <w:pStyle w:val="Compact"/>
            </w:pPr>
            <w:r>
              <w:t xml:space="preserve">19 (14–29)</w:t>
            </w:r>
          </w:p>
        </w:tc>
        <w:tc>
          <w:tcPr/>
          <w:p>
            <w:pPr>
              <w:pStyle w:val="Compact"/>
            </w:pPr>
            <w:r>
              <w:t xml:space="preserve">45.8%</w:t>
            </w:r>
          </w:p>
        </w:tc>
        <w:tc>
          <w:tcPr/>
          <w:p>
            <w:pPr>
              <w:pStyle w:val="Compact"/>
            </w:pPr>
            <w:r>
              <w:t xml:space="preserve">60.6%</w:t>
            </w:r>
          </w:p>
        </w:tc>
        <w:tc>
          <w:tcPr/>
          <w:p>
            <w:pPr>
              <w:pStyle w:val="Compact"/>
            </w:pPr>
            <w:r>
              <w:t xml:space="preserve">+1.42 (1.03 to 1.80)</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8.7%</w:t>
            </w:r>
          </w:p>
        </w:tc>
        <w:tc>
          <w:tcPr/>
          <w:p>
            <w:pPr>
              <w:pStyle w:val="Compact"/>
            </w:pPr>
            <w:r>
              <w:t xml:space="preserve">16 (13–22)</w:t>
            </w:r>
          </w:p>
        </w:tc>
        <w:tc>
          <w:tcPr/>
          <w:p>
            <w:pPr>
              <w:pStyle w:val="Compact"/>
            </w:pPr>
            <w:r>
              <w:t xml:space="preserve">9.3%</w:t>
            </w:r>
          </w:p>
        </w:tc>
        <w:tc>
          <w:tcPr/>
          <w:p>
            <w:pPr>
              <w:pStyle w:val="Compact"/>
            </w:pPr>
            <w:r>
              <w:t xml:space="preserve">7.4%</w:t>
            </w:r>
          </w:p>
        </w:tc>
        <w:tc>
          <w:tcPr/>
          <w:p>
            <w:pPr>
              <w:pStyle w:val="Compact"/>
            </w:pPr>
            <w:r>
              <w:t xml:space="preserve">-0.30 (-0.45 to -0.15)</w:t>
            </w:r>
          </w:p>
        </w:tc>
        <w:tc>
          <w:tcPr/>
          <w:p>
            <w:pPr>
              <w:pStyle w:val="Compact"/>
            </w:pPr>
            <w:r>
              <w:t xml:space="preserve">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0.76 (0.68–0.84)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0.71 (0.59–0.85)</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0.63 (0.44–0.90)</w:t>
            </w:r>
          </w:p>
        </w:tc>
        <w:tc>
          <w:tcPr/>
          <w:p>
            <w:pPr>
              <w:pStyle w:val="Compact"/>
            </w:pPr>
            <w:r>
              <w:t xml:space="preserve">0.011</w:t>
            </w:r>
          </w:p>
        </w:tc>
      </w:tr>
      <w:tr>
        <w:tc>
          <w:tcPr/>
          <w:p>
            <w:pPr>
              <w:pStyle w:val="Compact"/>
            </w:pPr>
            <w:r>
              <w:t xml:space="preserve">MIGS vs URPS OB/GYN (at 2018)</w:t>
            </w:r>
          </w:p>
        </w:tc>
        <w:tc>
          <w:tcPr/>
          <w:p>
            <w:pPr>
              <w:pStyle w:val="Compact"/>
            </w:pPr>
            <w:r>
              <w:t xml:space="preserve">0.81 (0.51–1.29)</w:t>
            </w:r>
          </w:p>
        </w:tc>
        <w:tc>
          <w:tcPr/>
          <w:p>
            <w:pPr>
              <w:pStyle w:val="Compact"/>
            </w:pPr>
            <w:r>
              <w:t xml:space="preserve">0.379</w:t>
            </w:r>
          </w:p>
        </w:tc>
      </w:tr>
      <w:tr>
        <w:tc>
          <w:tcPr/>
          <w:p>
            <w:pPr>
              <w:pStyle w:val="Compact"/>
            </w:pPr>
            <w:r>
              <w:t xml:space="preserve">2020 (COVID) indicator</w:t>
            </w:r>
          </w:p>
        </w:tc>
        <w:tc>
          <w:tcPr/>
          <w:p>
            <w:pPr>
              <w:pStyle w:val="Compact"/>
            </w:pPr>
            <w:r>
              <w:t xml:space="preserve">0.88 (0.85–0.91)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0.776</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0.089</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0.137</w:t>
            </w:r>
          </w:p>
        </w:tc>
      </w:tr>
      <w:tr>
        <w:tc>
          <w:tcPr/>
          <w:p>
            <w:pPr>
              <w:pStyle w:val="Compact"/>
            </w:pPr>
            <w:r>
              <w:t xml:space="preserve">Annual trend, other non-URPS OB/GYN</w:t>
            </w:r>
          </w:p>
        </w:tc>
        <w:tc>
          <w:tcPr/>
          <w:p>
            <w:pPr>
              <w:pStyle w:val="Compact"/>
            </w:pPr>
            <w:r>
              <w:t xml:space="preserve">0.996 (0.973-1.020)</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16.5% → 13.9%</w:t>
            </w:r>
          </w:p>
        </w:tc>
        <w:tc>
          <w:tcPr/>
          <w:p>
            <w:pPr>
              <w:pStyle w:val="Compact"/>
            </w:pPr>
            <w:r>
              <w:t xml:space="preserve">-0.32</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0.00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0.00</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2026-07-23T02:36:18Z</dcterms:created>
  <dcterms:modified xsi:type="dcterms:W3CDTF">2026-07-23T02:36:18Z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