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URPS was the largest group (63.7%), followed by non-URPS urology (14.5%) and other non-URPS OB/GYN (13%). Raw services fell -27.7%, but in a denominator-offset model the observable utilization rate declined -1.9% per year (about -17.3% over the decade; p = 0.119), a meaningful but not statistically robust decline. Observed volume was higher for URPS than urology and other OB/GYN. Within-year concentration was low and stable (annual Gini 0.22–0.28); URPS and urology did not differ, and URPS was modestly less concentrated than other OB/GYN. In a quasibinomial model the all-pathway URPS share rose 1.15 percentage points/year (58.3% to 69.7%; p &lt; 0.001), significant in every classification scenario.</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Facility NPIs (123 NPIs) were excluded because they cannot be given a physician specialty, and the remaining 200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(63.7%), with a median annual volume of 19 (p25–p75, 14–28). Non-URPS urology included 366 physicians, 1,150 physician-years, and 20,475 procedures (14.5%; median 15, 12–20). General OB/GYN included 336 physicians, 953 physician-years, and 18,316 procedures (13%; median 15, 12–22). MIGS included 10 physicians, 39 physician-years, and 941 procedures (0.7%;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55.1% in 2013 to 68% in 2023 (+1.12 percentage points/year; 95% CI 0.73 to 1.50;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58.3% in 2013 to 69.7% in 2023 (odds ratio 1.051 (95% CI 1.036-1.066) per year; 1.15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62.8% to 74.7% (+1.08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(calendar year centered at 2018), adjusted annual volume at mid-study was lower than URPS for every other group: urology RR 0.72 (0.60–0.87), General OB/GYN RR 0.64 (0.44–0.93), and MIGS RR 0.84 (0.52–1.34) (Table 3). Annual volume was approximately 11% lower in 2020 (RR 0.88 (0.84–0.91); p &lt; 0.001). The specialty-by-year interaction showed that per-physician volume did not change over time for the well-populated groups: the annual trend was flat for URPS (RR 0.997 (0.990-1.005); p = 0.523), urology (RR 0.986 (0.967-1.004); p = 0.135), and General OB/GYN (RR 0.996 (0.973-1.021); p = 0.760), and increased only for the 10-physician MIGS group (RR 1.085 (1.031-1.142); p = 0.002) (Table 3). A negative-binomial mixed model with a random intercept per NPI reproduced the direction but with attenuated magnitude (urology RR 0.80 (0.77–0.84), General OB/GYN RR 0.84 (0.79–0.88), 2020 RR 0.90 (0.87–0.93)); the attenuation is expected because the GEE estimates a population-averaged (marginal) rate ratio whereas the mixed model estimates a physician-conditional one. The one-observation-per-physician secondary analysis agreed (Kruskal-Wallis H = 80.5,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0.52 (95% CI 0.50-0.54), urology Gini 0.52 (95% CI 0.49-0.55), and other non-URPS OB/GYN Gini 0.56 (95% CI 0.52-0.60) (Table 2). Because overlapping individual confidence intervals are not a test of between-group difference, we bootstrapped the pairwise differences: URPS and urology did not differ (Gini difference -0.006 (95% CI -0.039 to +0.030)), whereas URPS was modestly less concentrated than other OB/GYN (-0.046 (95% CI -0.086 to -0.002), confidence interval excluding zero). The size-adjusted normalized HHI was near zero for every group (URPS 0.001, urology 0.004, other OB/GYN 0.006 on a 0–1 scale). The effective number of providers, expressed as a fraction of the actual provider count, showed a gradient (URPS 368 of 767, 48%;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0.52 toward the mid-0.6 range, so the sensitivity supports only the narrower claim that observed services were not dominated by a handful of surgeons, not a precise estimate of the full-market distribution. URPS had the highest median annual volume and upper quartile (median 19; p75 28).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385 to 338;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URPS physicians performed most sling operations for SUI (63.7%) and had the highest adjusted per-physician volume. Second, the URPS share increased over the decade, coinciding with more URPS surgeons becoming observable and fewer non-URPS surgeons remaining observable.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observable fee-for-service Medicare slings (63.7%),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URPS was the largest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63.7%</w:t>
            </w:r>
          </w:p>
        </w:tc>
        <w:tc>
          <w:tcPr/>
          <w:p>
            <w:pPr>
              <w:pStyle w:val="Compact"/>
            </w:pPr>
            <w:r>
              <w:t xml:space="preserve">19 (14–28)</w:t>
            </w:r>
          </w:p>
        </w:tc>
        <w:tc>
          <w:tcPr/>
          <w:p>
            <w:pPr>
              <w:pStyle w:val="Compact"/>
            </w:pPr>
            <w:r>
              <w:t xml:space="preserve">55.1%</w:t>
            </w:r>
          </w:p>
        </w:tc>
        <w:tc>
          <w:tcPr/>
          <w:p>
            <w:pPr>
              <w:pStyle w:val="Compact"/>
            </w:pPr>
            <w:r>
              <w:t xml:space="preserve">68.0%</w:t>
            </w:r>
          </w:p>
        </w:tc>
        <w:tc>
          <w:tcPr/>
          <w:p>
            <w:pPr>
              <w:pStyle w:val="Compact"/>
            </w:pPr>
            <w:r>
              <w:t xml:space="preserve">+1.12 (0.73 to 1.50)</w:t>
            </w:r>
          </w:p>
        </w:tc>
        <w:tc>
          <w:tcPr/>
          <w:p>
            <w:pPr>
              <w:pStyle w:val="Compact"/>
            </w:pPr>
            <w:r>
              <w:t xml:space="preserve">&lt;0.001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0.72 (0.60–0.87)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0.64 (0.44–0.93)</w:t>
            </w:r>
          </w:p>
        </w:tc>
        <w:tc>
          <w:tcPr/>
          <w:p>
            <w:pPr>
              <w:pStyle w:val="Compact"/>
            </w:pPr>
            <w:r>
              <w:t xml:space="preserve">0.021</w:t>
            </w:r>
          </w:p>
        </w:tc>
      </w:tr>
      <w:tr>
        <w:tc>
          <w:tcPr/>
          <w:p>
            <w:pPr>
              <w:pStyle w:val="Compact"/>
            </w:pPr>
            <w:r>
              <w:t xml:space="preserve">MIGS vs URPS (at 2018)</w:t>
            </w:r>
          </w:p>
        </w:tc>
        <w:tc>
          <w:tcPr/>
          <w:p>
            <w:pPr>
              <w:pStyle w:val="Compact"/>
            </w:pPr>
            <w:r>
              <w:t xml:space="preserve">0.84 (0.52–1.34)</w:t>
            </w:r>
          </w:p>
        </w:tc>
        <w:tc>
          <w:tcPr/>
          <w:p>
            <w:pPr>
              <w:pStyle w:val="Compact"/>
            </w:pPr>
            <w:r>
              <w:t xml:space="preserve">0.461</w:t>
            </w:r>
          </w:p>
        </w:tc>
      </w:tr>
      <w:tr>
        <w:tc>
          <w:tcPr/>
          <w:p>
            <w:pPr>
              <w:pStyle w:val="Compact"/>
            </w:pPr>
            <w:r>
              <w:t xml:space="preserve">2020 (COVID) indicator</w:t>
            </w:r>
          </w:p>
        </w:tc>
        <w:tc>
          <w:tcPr/>
          <w:p>
            <w:pPr>
              <w:pStyle w:val="Compact"/>
            </w:pPr>
            <w:r>
              <w:t xml:space="preserve">0.88 (0.84–0.91)</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0.523</w:t>
            </w:r>
          </w:p>
        </w:tc>
      </w:tr>
      <w:tr>
        <w:tc>
          <w:tcPr/>
          <w:p>
            <w:pPr>
              <w:pStyle w:val="Compact"/>
            </w:pPr>
            <w:r>
              <w:t xml:space="preserve">Annual trend, urology</w:t>
            </w:r>
          </w:p>
        </w:tc>
        <w:tc>
          <w:tcPr/>
          <w:p>
            <w:pPr>
              <w:pStyle w:val="Compact"/>
            </w:pPr>
            <w:r>
              <w:t xml:space="preserve">0.986 (0.967-1.004)</w:t>
            </w:r>
          </w:p>
        </w:tc>
        <w:tc>
          <w:tcPr/>
          <w:p>
            <w:pPr>
              <w:pStyle w:val="Compact"/>
            </w:pPr>
            <w:r>
              <w:t xml:space="preserve">0.135</w:t>
            </w:r>
          </w:p>
        </w:tc>
      </w:tr>
      <w:tr>
        <w:tc>
          <w:tcPr/>
          <w:p>
            <w:pPr>
              <w:pStyle w:val="Compact"/>
            </w:pPr>
            <w:r>
              <w:t xml:space="preserve">Annual trend, General OB/GYN</w:t>
            </w:r>
          </w:p>
        </w:tc>
        <w:tc>
          <w:tcPr/>
          <w:p>
            <w:pPr>
              <w:pStyle w:val="Compact"/>
            </w:pPr>
            <w:r>
              <w:t xml:space="preserve">0.996 (0.973-1.021)</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62.8% → 74.7%</w:t>
            </w:r>
          </w:p>
        </w:tc>
        <w:tc>
          <w:tcPr/>
          <w:p>
            <w:pPr>
              <w:pStyle w:val="Compact"/>
            </w:pPr>
            <w:r>
              <w:t xml:space="preserve">1.08</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556000"/>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facilities (ambulatory surgical centers) and non-physician clinicians; facility NPIs (123) are excluded and the remainder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2026-07-23T01:33:53Z</dcterms:created>
  <dcterms:modified xsi:type="dcterms:W3CDTF">2026-07-23T01:33:53Z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