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0.76 (0.67–0.87)), General OB/GYN (RR 0.68 (0.51–0.91)), and MIGS (RR 0.85 (0.55–1.32)). Volume fell by approximately 11% in 2020 (RR 0.88 (0.85–0.92); p &lt; 0.001); the specialty-by-year interaction showed flat per-physician trends for the well-populated groups (URPS RR 0.997 (0.990-1.005), urology RR 0.987 (0.973-1.002), General OB/GYN RR 0.997 (0.974-1.019)). Surgeon-level concentration was low and similar across the three well-populated groups, with overlapping bootstrap confidence intervals (Gini 0.52–0.56);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scenario, and the two scenarios differed in the estimated rate of increase rather than the endpoint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services; URPS accounted for the most newly observable episodes (480), while urology showed substantial threshold-crossing turnover (421)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within-year surgeon-level concentration was low and stable and did not differ meaningfully across specialties. The rising URPS share reflects declining observable participation by non-URPS providers rather than increasing surgeon-level concentration. These findings describe the observable fee-for-service workforce and may inform workforce surveillance and fellowship planning; outcome and access studies are needed before drawing credentialing implications.</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1789-cohort assignments of URPS, MIGS, and General OB/GYN through the OB/GYN pathway.</w:t>
      </w:r>
    </w:p>
    <w:p>
      <w:pPr>
        <w:pStyle w:val="BodyText"/>
      </w:pPr>
      <w:r>
        <w:t xml:space="preserve">Providers billing CPT 57288 who had neither an OB/GYN nor urology CMS type and were not in the ABOG registry (323 physicians, mostly with adjacent surgical provider types) were grouped with urology, on the rationale that non-gynecologic sling surgeons in Medicare are predominantly urologists; because they represent a small fraction of the cohort, this choice has limited influence on the specialty distribution. A further 84 records from heterogeneous non-OB/GYN, non-urology provider types (for example general surgery and osteopathic manipulative medicine)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1"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In the quasibinomial model of URPS services out of all annual services, which respects the compositional structure, the URPS share rose from a fitted 56.5% in 2013 to 65.7% in 2023 (odds ratio 1.040 (95% CI 1.025-1.054) per year; 0.92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53.4% to 63.8% (+0.90 percentage points/year), and the OB/GYN-based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(calendar year centered at 2018), adjusted annual volume at mid-study was lower than URPS for every other group: urology RR 0.76 (0.67–0.87), General OB/GYN RR 0.68 (0.51–0.91), and MIGS RR 0.85 (0.55–1.32) (Table 3). Annual volume was approximately 11% lower in 2020 (RR 0.88 (0.85–0.92); p &lt; 0.001). The specialty-by-year interaction showed that per-physician volume did not change over time for the well-populated groups: the annual trend was flat for URPS (RR 0.997 (0.990-1.005); p = 0.516), urology (RR 0.987 (0.973-1.002); p = 0.091), and General OB/GYN (RR 0.997 (0.974-1.019); p = 0.761), and increased only for the 10-physician MIGS group (RR 1.084 (1.030-1.141); p = 0.002) (Table 3). A negative-binomial mixed model with a random intercept per NPI gave the same pattern of specialty differences (urology RR 0.86 (0.82–0.89), General OB/GYN RR 0.84 (0.80–0.88), 2020 RR 0.90 (0.88–0.93)). The one-observation-per-physician secondary analysis agreed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S9),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(Supplementary Table S10), 48–168 surgeons became newly observable each year and performed 7.4%–22.5% of annual volume. Their median volume was low, at approximately 13 services, consistent with surgeons appearing just above the CMS suppression threshold. Newly observable counts fell to 48 surgeons (7.4% of volume) in 2020, then rebounded to 168 (22.5%) in 2022; the 2022 rebound may partly reflect re-observation of surgeons who fell below the threshold during the pandemic rather than genuinely new surgeons. Continuing surgeons (381–584 per year) performed most annual services, while surgeons no longer observable ranged from 66 to 230 per year.</w:t>
      </w:r>
    </w:p>
    <w:p>
      <w:pPr>
        <w:pStyle w:val="BodyText"/>
      </w:pPr>
      <w:r>
        <w:t xml:space="preserve">Across the study period, URPS accounted for the most newly observable episodes (480), followed by urology (421),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0"/>
    <w:bookmarkEnd w:id="21"/>
    <w:bookmarkStart w:id="27"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URPS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2"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fee-for-service Medicare slings, and OB/GYN-trained physicians collectively performed the majority. Because the all-pathway URPS group also includes urology-trained subspecialists, the URPS share is not equivalent to a gynecologist share.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2"/>
    <w:bookmarkStart w:id="23"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3"/>
    <w:bookmarkStart w:id="24"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4"/>
    <w:bookmarkStart w:id="25"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5"/>
    <w:bookmarkStart w:id="26"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6"/>
    <w:bookmarkEnd w:id="27"/>
    <w:bookmarkStart w:id="28"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28"/>
    <w:bookmarkStart w:id="30"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29">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0"/>
    <w:bookmarkStart w:id="31"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0.76 (0.67–0.87)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0.68 (0.51–0.91)</w:t>
            </w:r>
          </w:p>
        </w:tc>
        <w:tc>
          <w:tcPr/>
          <w:p>
            <w:pPr>
              <w:pStyle w:val="Compact"/>
            </w:pPr>
            <w:r>
              <w:t xml:space="preserve">0.009</w:t>
            </w:r>
          </w:p>
        </w:tc>
      </w:tr>
      <w:tr>
        <w:tc>
          <w:tcPr/>
          <w:p>
            <w:pPr>
              <w:pStyle w:val="Compact"/>
            </w:pPr>
            <w:r>
              <w:t xml:space="preserve">MIGS vs URPS (at 2018)</w:t>
            </w:r>
          </w:p>
        </w:tc>
        <w:tc>
          <w:tcPr/>
          <w:p>
            <w:pPr>
              <w:pStyle w:val="Compact"/>
            </w:pPr>
            <w:r>
              <w:t xml:space="preserve">0.85 (0.55–1.32)</w:t>
            </w:r>
          </w:p>
        </w:tc>
        <w:tc>
          <w:tcPr/>
          <w:p>
            <w:pPr>
              <w:pStyle w:val="Compact"/>
            </w:pPr>
            <w:r>
              <w:t xml:space="preserve">0.466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0.516</w:t>
            </w:r>
          </w:p>
        </w:tc>
      </w:tr>
      <w:tr>
        <w:tc>
          <w:tcPr/>
          <w:p>
            <w:pPr>
              <w:pStyle w:val="Compact"/>
            </w:pPr>
            <w:r>
              <w:t xml:space="preserve">Annual trend, urology</w:t>
            </w:r>
          </w:p>
        </w:tc>
        <w:tc>
          <w:tcPr/>
          <w:p>
            <w:pPr>
              <w:pStyle w:val="Compact"/>
            </w:pPr>
            <w:r>
              <w:t xml:space="preserve">0.987 (0.973-1.002)</w:t>
            </w:r>
          </w:p>
        </w:tc>
        <w:tc>
          <w:tcPr/>
          <w:p>
            <w:pPr>
              <w:pStyle w:val="Compact"/>
            </w:pPr>
            <w:r>
              <w:t xml:space="preserve">0.091</w:t>
            </w:r>
          </w:p>
        </w:tc>
      </w:tr>
      <w:tr>
        <w:tc>
          <w:tcPr/>
          <w:p>
            <w:pPr>
              <w:pStyle w:val="Compact"/>
            </w:pPr>
            <w:r>
              <w:t xml:space="preserve">Annual trend, General OB/GYN</w:t>
            </w:r>
          </w:p>
        </w:tc>
        <w:tc>
          <w:tcPr/>
          <w:p>
            <w:pPr>
              <w:pStyle w:val="Compact"/>
            </w:pPr>
            <w:r>
              <w:t xml:space="preserve">0.997 (0.974-1.019)</w:t>
            </w:r>
          </w:p>
        </w:tc>
        <w:tc>
          <w:tcPr/>
          <w:p>
            <w:pPr>
              <w:pStyle w:val="Compact"/>
            </w:pPr>
            <w:r>
              <w:t xml:space="preserve">0.761</w:t>
            </w:r>
          </w:p>
        </w:tc>
      </w:tr>
      <w:tr>
        <w:tc>
          <w:tcPr/>
          <w:p>
            <w:pPr>
              <w:pStyle w:val="Compact"/>
            </w:pPr>
            <w:r>
              <w:t xml:space="preserve">Annual trend, MIGS</w:t>
            </w:r>
          </w:p>
        </w:tc>
        <w:tc>
          <w:tcPr/>
          <w:p>
            <w:pPr>
              <w:pStyle w:val="Compact"/>
            </w:pPr>
            <w:r>
              <w:t xml:space="preserve">1.084 (1.030-1.141)</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r>
        <w:pict>
          <v:rect style="width:0;height:1.5pt" o:hralign="center" o:hrstd="t" o:hr="t"/>
        </w:pict>
      </w:r>
    </w:p>
    <w:bookmarkEnd w:id="31"/>
    <w:bookmarkStart w:id="47" w:name="figures"/>
    <w:p>
      <w:pPr>
        <w:pStyle w:val="Heading2"/>
      </w:pPr>
      <w:r>
        <w:t xml:space="preserve">Figures</w:t>
      </w:r>
    </w:p>
    <w:p>
      <w:pPr>
        <w:pStyle w:val="FirstParagraph"/>
      </w:pPr>
      <w:r>
        <w:drawing>
          <wp:inline>
            <wp:extent cx="5334000" cy="3333750"/>
            <wp:effectExtent b="0" l="0" r="0" t="0"/>
            <wp:docPr descr="" title="" id="33" name="Picture"/>
            <a:graphic>
              <a:graphicData uri="http://schemas.openxmlformats.org/drawingml/2006/picture">
                <pic:pic>
                  <pic:nvPicPr>
                    <pic:cNvPr descr="/Users/tylermuffly/sling-volume-patterns/output/figures/figure_1_market_share.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scenario. Fixed membership (URPS share 53.4% to 63.8%; +0.90 percentage points/year) and certification-gated classification (URPS share 42.2% to 62.8%; +1.52 percentage points/year) differ in the estimated rate of increase and converge by 2023.</w:t>
      </w:r>
    </w:p>
    <w:p>
      <w:pPr>
        <w:pStyle w:val="BodyText"/>
      </w:pPr>
      <w:r>
        <w:drawing>
          <wp:inline>
            <wp:extent cx="5334000" cy="3810000"/>
            <wp:effectExtent b="0" l="0" r="0" t="0"/>
            <wp:docPr descr="" title="" id="36" name="Picture"/>
            <a:graphic>
              <a:graphicData uri="http://schemas.openxmlformats.org/drawingml/2006/picture">
                <pic:pic>
                  <pic:nvPicPr>
                    <pic:cNvPr descr="/Users/tylermuffly/sling-volume-patterns/output/figures/figure_2_volume_distribution.png" id="37" name="Picture"/>
                    <pic:cNvPicPr>
                      <a:picLocks noChangeArrowheads="1" noChangeAspect="1"/>
                    </pic:cNvPicPr>
                  </pic:nvPicPr>
                  <pic:blipFill>
                    <a:blip r:embed="rId3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39" name="Picture"/>
            <a:graphic>
              <a:graphicData uri="http://schemas.openxmlformats.org/drawingml/2006/picture">
                <pic:pic>
                  <pic:nvPicPr>
                    <pic:cNvPr descr="/Users/tylermuffly/sling-volume-patterns/output/figures/figure_3_lorenz_curve.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2" name="Picture"/>
            <a:graphic>
              <a:graphicData uri="http://schemas.openxmlformats.org/drawingml/2006/picture">
                <pic:pic>
                  <pic:nvPicPr>
                    <pic:cNvPr descr="/Users/tylermuffly/sling-volume-patterns/output/figures/figure_4_concentration_trends.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5" name="Picture"/>
            <a:graphic>
              <a:graphicData uri="http://schemas.openxmlformats.org/drawingml/2006/picture">
                <pic:pic>
                  <pic:nvPicPr>
                    <pic:cNvPr descr="/Users/tylermuffly/sling-volume-patterns/output/figures/figure_5_supply_trends.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7"/>
    <w:bookmarkStart w:id="48"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p>
      <w:pPr>
        <w:pStyle w:val="BodyText"/>
      </w:pPr>
      <w:r>
        <w:rPr>
          <w:b/>
          <w:bCs/>
        </w:rPr>
        <w:t xml:space="preserve">Supplementary Table S9.</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S10.</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Newly observable episodes by specialty: URPS, 480; urology, 421; General OB/GYN, 205; MIGS, 8.</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4" Target="https://github.com/mufflyt/sling-volume-patterns" TargetMode="External" /><Relationship Type="http://schemas.openxmlformats.org/officeDocument/2006/relationships/hyperlink" Id="rId29"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29"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2026-07-22T19:44:27Z</dcterms:created>
  <dcterms:modified xsi:type="dcterms:W3CDTF">2026-07-22T19:44:27Z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