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2.png" ContentType="image/png"/>
  <Override PartName="/word/media/rId45.png" ContentType="image/png"/>
  <Override PartName="/word/media/rId48.png" ContentType="image/png"/>
  <Override PartName="/word/media/rId5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concentration of clinicians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clinicians billing CPT 57288 as Urogynecology and Reconstructive Pelvic Surgery (URPS, both certification pathways), Minimally Invasive Gynecologic Surgery, other non-URPS OB/GYN, or non-URPS urology; facilities and unclassifiable billers formed a separate group. Utilization was modeled with a denominator offset (female Part B fee-for-service enrollment), annual volume with a Poisson generalized estimating equation clustered by NPI, and the URPS share with a quasibinomial model; concentration used the Gini coefficient with bootstrap confidence intervals.</w:t>
      </w:r>
    </w:p>
    <w:p>
      <w:pPr>
        <w:pStyle w:val="BodyText"/>
      </w:pPr>
      <w:r>
        <w:rPr>
          <w:b/>
          <w:bCs/>
        </w:rPr>
        <w:t xml:space="preserve">Results:</w:t>
      </w:r>
      <w:r>
        <w:t xml:space="preserve"> </w:t>
      </w:r>
      <w:r>
        <w:t xml:space="preserve">1,666 clinicians performed 141,009 observable services; URPS was the largest group (63.7%), followed by non-URPS urology (14.5%) and other non-URPS OB/GYN (13%). Raw services fell -27.7%, but in a denominator-offset model the observable utilization rate declined -1.9% per year (about -17.3% over the decade; p = 0.119), a meaningful but not statistically robust decline. Observed volume was higher for URPS than urology and other OB/GYN. Within-year concentration was low and stable (annual Gini 0.22–0.28); URPS and urology did not differ, and URPS was modestly less concentrated than other OB/GYN. In a quasibinomial model the all-pathway URPS share rose 1.15 percentage points/year (58.3% to 69.7%; p &lt; 0.001), significant in every classification scenario.</w:t>
      </w:r>
    </w:p>
    <w:p>
      <w:pPr>
        <w:pStyle w:val="BodyText"/>
      </w:pPr>
      <w:r>
        <w:rPr>
          <w:b/>
          <w:bCs/>
        </w:rPr>
        <w:t xml:space="preserve">Conclusions:</w:t>
      </w:r>
      <w:r>
        <w:t xml:space="preserve"> </w:t>
      </w:r>
      <w:r>
        <w:t xml:space="preserve">In observable fee-for-service Medicare, all-pathway URPS physicians performed most sling surgery for stress urinary incontinence, and their share rose as non-URPS participation declined, not through rising concentration. These findings describe observable Medicare service patterns, not the national surgical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reflects that fewer older adults are now in traditional Medicare; after accounting for that shrinking population, a smaller real decline may remain, though the data cannot pin it down precisely.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Facility NPIs (123 NPIs) were excluded because they cannot be given a physician specialty, and the remaining 200 non-physician or unclassifiable clinicians were placed in a distinct</w:t>
      </w:r>
      <w:r>
        <w:t xml:space="preserve"> </w:t>
      </w:r>
      <w:r>
        <w:t xml:space="preserve">“Other/uncertain”</w:t>
      </w:r>
      <w:r>
        <w:t xml:space="preserve"> </w:t>
      </w:r>
      <w:r>
        <w:t xml:space="preserve">group (8.2% of observable services).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(63.7%), with a median annual volume of 19 (p25–p75, 14–28). Non-URPS urology included 366 physicians, 1,150 physician-years, and 20,475 procedures (14.5%; median 15, 12–20). General OB/GYN included 336 physicians, 953 physician-years, and 18,316 procedures (13%; median 15, 12–22). MIGS included 10 physicians, 39 physician-years, and 941 procedures (0.7%;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55.1% in 2013 to 68% in 2023 (+1.12 percentage points/year; 95% CI 0.73 to 1.50;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58.3% in 2013 to 69.7% in 2023 (odds ratio 1.051 (95% CI 1.036-1.066) per year; 1.15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62.8% to 74.7% (+1.08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(calendar year centered at 2018), adjusted annual volume at mid-study was lower than URPS for every other group: urology RR 0.72 (0.60–0.87), General OB/GYN RR 0.64 (0.44–0.93), and MIGS RR 0.84 (0.52–1.34) (Table 3). Annual volume was approximately 11% lower in 2020 (RR 0.88 (0.84–0.91); p &lt; 0.001). The specialty-by-year interaction showed that per-physician volume did not change over time for the well-populated groups: the annual trend was flat for URPS (RR 0.997 (0.990-1.005); p = 0.523), urology (RR 0.986 (0.967-1.004); p = 0.135), and General OB/GYN (RR 0.996 (0.973-1.021); p = 0.760), and increased only for the 10-physician MIGS group (RR 1.085 (1.031-1.142); p = 0.002) (Table 3). A negative-binomial mixed model with a random intercept per NPI reproduced the direction but with attenuated magnitude (urology RR 0.80 (0.77–0.84), General OB/GYN RR 0.84 (0.79–0.88), 2020 RR 0.90 (0.87–0.93)); the attenuation is expected because the GEE estimates a population-averaged (marginal) rate ratio whereas the mixed model estimates a physician-conditional one. The one-observation-per-physician secondary analysis agreed (Kruskal-Wallis H = 80.5,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0.52 (95% CI 0.50-0.54), urology Gini 0.52 (95% CI 0.49-0.55), and other non-URPS OB/GYN Gini 0.56 (95% CI 0.52-0.60) (Table 2). Because overlapping individual confidence intervals are not a test of between-group difference, we bootstrapped the pairwise differences: URPS and urology did not differ (Gini difference -0.006 (95% CI -0.039 to +0.030)), whereas URPS was modestly less concentrated than other OB/GYN (-0.046 (95% CI -0.086 to -0.002), confidence interval excluding zero). The size-adjusted normalized HHI was near zero for every group (URPS 0.001, urology 0.004, other OB/GYN 0.006 on a 0–1 scale). The effective number of providers, expressed as a fraction of the actual provider count, showed a gradient (URPS 368 of 767, 48%;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0.52 toward the mid-0.6 range, so the sensitivity supports only the narrower claim that observed services were not dominated by a handful of surgeons, not a precise estimate of the full-market distribution. URPS had the highest median annual volume and upper quartile (median 19; p75 28). MIGS was excluded from these comparisons because only 10 physicians were identified (1–4 per year); its estimates are exploratory.</w:t>
      </w:r>
    </w:p>
    <w:bookmarkEnd w:id="21"/>
    <w:bookmarkStart w:id="22" w:name="workforce-entry-and-exit"/>
    <w:p>
      <w:pPr>
        <w:pStyle w:val="Heading3"/>
      </w:pPr>
      <w:r>
        <w:t xml:space="preserve">Workforce Entry and Exit</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385 to 338;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URPS physicians performed most sling operations for SUI (63.7%) and had the highest adjusted per-physician volume. Second, the URPS share increased over the decade, coinciding with more URPS surgeons becoming observable and fewer non-URPS surgeons remaining observable.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X91e1c95b037f473535ecf00410a7735e835e926"/>
    <w:p>
      <w:pPr>
        <w:pStyle w:val="Heading3"/>
      </w:pPr>
      <w:r>
        <w:t xml:space="preserve">Specialty Distribution and the Historical Reversal</w:t>
      </w:r>
    </w:p>
    <w:p>
      <w:pPr>
        <w:pStyle w:val="FirstParagraph"/>
      </w:pPr>
      <w:r>
        <w:t xml:space="preserve">All-pathway URPS physicians performed approximately three-fifths of fee-for-service Medicare slings, and OB/GYN-trained physicians collectively performed the majority. Because the all-pathway URPS group also includes urology-trained subspecialists, the URPS share is not equivalent to a gynecologist share.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63.7%</w:t>
            </w:r>
          </w:p>
        </w:tc>
        <w:tc>
          <w:tcPr/>
          <w:p>
            <w:pPr>
              <w:pStyle w:val="Compact"/>
            </w:pPr>
            <w:r>
              <w:t xml:space="preserve">19 (14–28)</w:t>
            </w:r>
          </w:p>
        </w:tc>
        <w:tc>
          <w:tcPr/>
          <w:p>
            <w:pPr>
              <w:pStyle w:val="Compact"/>
            </w:pPr>
            <w:r>
              <w:t xml:space="preserve">55.1%</w:t>
            </w:r>
          </w:p>
        </w:tc>
        <w:tc>
          <w:tcPr/>
          <w:p>
            <w:pPr>
              <w:pStyle w:val="Compact"/>
            </w:pPr>
            <w:r>
              <w:t xml:space="preserve">68.0%</w:t>
            </w:r>
          </w:p>
        </w:tc>
        <w:tc>
          <w:tcPr/>
          <w:p>
            <w:pPr>
              <w:pStyle w:val="Compact"/>
            </w:pPr>
            <w:r>
              <w:t xml:space="preserve">+1.12 (0.73 to 1.50)</w:t>
            </w:r>
          </w:p>
        </w:tc>
        <w:tc>
          <w:tcPr/>
          <w:p>
            <w:pPr>
              <w:pStyle w:val="Compact"/>
            </w:pPr>
            <w:r>
              <w:t xml:space="preserve">&lt;0.001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0.72 (0.60–0.87)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0.64 (0.44–0.93)</w:t>
            </w:r>
          </w:p>
        </w:tc>
        <w:tc>
          <w:tcPr/>
          <w:p>
            <w:pPr>
              <w:pStyle w:val="Compact"/>
            </w:pPr>
            <w:r>
              <w:t xml:space="preserve">0.021</w:t>
            </w:r>
          </w:p>
        </w:tc>
      </w:tr>
      <w:tr>
        <w:tc>
          <w:tcPr/>
          <w:p>
            <w:pPr>
              <w:pStyle w:val="Compact"/>
            </w:pPr>
            <w:r>
              <w:t xml:space="preserve">MIGS vs URPS (at 2018)</w:t>
            </w:r>
          </w:p>
        </w:tc>
        <w:tc>
          <w:tcPr/>
          <w:p>
            <w:pPr>
              <w:pStyle w:val="Compact"/>
            </w:pPr>
            <w:r>
              <w:t xml:space="preserve">0.84 (0.52–1.34)</w:t>
            </w:r>
          </w:p>
        </w:tc>
        <w:tc>
          <w:tcPr/>
          <w:p>
            <w:pPr>
              <w:pStyle w:val="Compact"/>
            </w:pPr>
            <w:r>
              <w:t xml:space="preserve">0.461</w:t>
            </w:r>
          </w:p>
        </w:tc>
      </w:tr>
      <w:tr>
        <w:tc>
          <w:tcPr/>
          <w:p>
            <w:pPr>
              <w:pStyle w:val="Compact"/>
            </w:pPr>
            <w:r>
              <w:t xml:space="preserve">2020 (COVID) indicator</w:t>
            </w:r>
          </w:p>
        </w:tc>
        <w:tc>
          <w:tcPr/>
          <w:p>
            <w:pPr>
              <w:pStyle w:val="Compact"/>
            </w:pPr>
            <w:r>
              <w:t xml:space="preserve">0.88 (0.84–0.91)</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0.523</w:t>
            </w:r>
          </w:p>
        </w:tc>
      </w:tr>
      <w:tr>
        <w:tc>
          <w:tcPr/>
          <w:p>
            <w:pPr>
              <w:pStyle w:val="Compact"/>
            </w:pPr>
            <w:r>
              <w:t xml:space="preserve">Annual trend, urology</w:t>
            </w:r>
          </w:p>
        </w:tc>
        <w:tc>
          <w:tcPr/>
          <w:p>
            <w:pPr>
              <w:pStyle w:val="Compact"/>
            </w:pPr>
            <w:r>
              <w:t xml:space="preserve">0.986 (0.967-1.004)</w:t>
            </w:r>
          </w:p>
        </w:tc>
        <w:tc>
          <w:tcPr/>
          <w:p>
            <w:pPr>
              <w:pStyle w:val="Compact"/>
            </w:pPr>
            <w:r>
              <w:t xml:space="preserve">0.135</w:t>
            </w:r>
          </w:p>
        </w:tc>
      </w:tr>
      <w:tr>
        <w:tc>
          <w:tcPr/>
          <w:p>
            <w:pPr>
              <w:pStyle w:val="Compact"/>
            </w:pPr>
            <w:r>
              <w:t xml:space="preserve">Annual trend, General OB/GYN</w:t>
            </w:r>
          </w:p>
        </w:tc>
        <w:tc>
          <w:tcPr/>
          <w:p>
            <w:pPr>
              <w:pStyle w:val="Compact"/>
            </w:pPr>
            <w:r>
              <w:t xml:space="preserve">0.996 (0.973-1.021)</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62.8% → 74.7%</w:t>
            </w:r>
          </w:p>
        </w:tc>
        <w:tc>
          <w:tcPr/>
          <w:p>
            <w:pPr>
              <w:pStyle w:val="Compact"/>
            </w:pPr>
            <w:r>
              <w:t xml:space="preserve">1.08</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0"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33750"/>
            <wp:effectExtent b="0" l="0" r="0" t="0"/>
            <wp:docPr descr="" title="" id="38" name="Picture"/>
            <a:graphic>
              <a:graphicData uri="http://schemas.openxmlformats.org/drawingml/2006/picture">
                <pic:pic>
                  <pic:nvPicPr>
                    <pic:cNvPr descr="/Users/tylermuffly/sling-volume-patterns/output/figures/figure_1_market_share.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The URPS share increased under every classification scenario. Fixed membership (all-pathway URPS share 55.1% to 68%; +1.12 percentage points/year) and certification-gated classification (URPS share 43.6% to 66.9%; +1.76 percentage points/year) differ in the estimated rate of increase and converge by 2023.</w:t>
      </w:r>
    </w:p>
    <w:p>
      <w:r>
        <w:pict>
          <v:rect style="width:0;height:1.5pt" o:hralign="center" o:hrstd="t" o:hr="t"/>
        </w:pict>
      </w:r>
    </w:p>
    <w:bookmarkEnd w:id="40"/>
    <w:bookmarkStart w:id="41"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1"/>
    <w:bookmarkStart w:id="54" w:name="supplementary-figures"/>
    <w:p>
      <w:pPr>
        <w:pStyle w:val="Heading2"/>
      </w:pPr>
      <w:r>
        <w:t xml:space="preserve">Supplementary Figures</w:t>
      </w:r>
    </w:p>
    <w:p>
      <w:pPr>
        <w:pStyle w:val="FirstParagraph"/>
      </w:pPr>
      <w:r>
        <w:drawing>
          <wp:inline>
            <wp:extent cx="5334000" cy="3810000"/>
            <wp:effectExtent b="0" l="0" r="0" t="0"/>
            <wp:docPr descr="" title="" id="43" name="Picture"/>
            <a:graphic>
              <a:graphicData uri="http://schemas.openxmlformats.org/drawingml/2006/picture">
                <pic:pic>
                  <pic:nvPicPr>
                    <pic:cNvPr descr="/Users/tylermuffly/sling-volume-patterns/output/figures/figure_2_volume_distribution.png" id="44" name="Picture"/>
                    <pic:cNvPicPr>
                      <a:picLocks noChangeArrowheads="1" noChangeAspect="1"/>
                    </pic:cNvPicPr>
                  </pic:nvPicPr>
                  <pic:blipFill>
                    <a:blip r:embed="rId42"/>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6" name="Picture"/>
            <a:graphic>
              <a:graphicData uri="http://schemas.openxmlformats.org/drawingml/2006/picture">
                <pic:pic>
                  <pic:nvPicPr>
                    <pic:cNvPr descr="/Users/tylermuffly/sling-volume-patterns/output/figures/figure_3_lorenz_curve.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49" name="Picture"/>
            <a:graphic>
              <a:graphicData uri="http://schemas.openxmlformats.org/drawingml/2006/picture">
                <pic:pic>
                  <pic:nvPicPr>
                    <pic:cNvPr descr="/Users/tylermuffly/sling-volume-patterns/output/figures/figure_4_concentration_trends.png" id="50" name="Picture"/>
                    <pic:cNvPicPr>
                      <a:picLocks noChangeArrowheads="1" noChangeAspect="1"/>
                    </pic:cNvPicPr>
                  </pic:nvPicPr>
                  <pic:blipFill>
                    <a:blip r:embed="rId48"/>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2" name="Picture"/>
            <a:graphic>
              <a:graphicData uri="http://schemas.openxmlformats.org/drawingml/2006/picture">
                <pic:pic>
                  <pic:nvPicPr>
                    <pic:cNvPr descr="/Users/tylermuffly/sling-volume-patterns/output/figures/figure_5_supply_trends.png" id="53" name="Picture"/>
                    <pic:cNvPicPr>
                      <a:picLocks noChangeArrowheads="1" noChangeAspect="1"/>
                    </pic:cNvPicPr>
                  </pic:nvPicPr>
                  <pic:blipFill>
                    <a:blip r:embed="rId51"/>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2026-07-23T01:17:26Z</dcterms:created>
  <dcterms:modified xsi:type="dcterms:W3CDTF">2026-07-23T01:17:26Z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