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8.png" ContentType="image/png"/>
  <Override PartName="/word/media/rId51.png" ContentType="image/png"/>
  <Override PartName="/word/media/rId54.png" ContentType="image/png"/>
  <Override PartName="/word/media/rId40.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Specialty Distribution and Surgeon-Level Concentration of Sling Surgery for Stress Urinary Incontinence in Fee-for-Service Medicare, 2013–2023</w:t>
      </w:r>
    </w:p>
    <w:p>
      <w:pPr>
        <w:pStyle w:val="Author"/>
      </w:pPr>
      <w:r>
        <w:t xml:space="preserve">Tyler Muffly, MD</w:t>
      </w:r>
    </w:p>
    <w:p>
      <w:pPr>
        <w:pStyle w:val="FirstParagraph"/>
      </w:pPr>
      <w:r>
        <w:rPr>
          <w:b/>
          <w:bCs/>
        </w:rPr>
        <w:t xml:space="preserve">Author:</w:t>
      </w:r>
      <w:r>
        <w:t xml:space="preserve"> </w:t>
      </w:r>
      <w:r>
        <w:t xml:space="preserve">Tyler Muffly, MD</w:t>
      </w:r>
      <w:r>
        <w:rPr>
          <w:vertAlign w:val="superscript"/>
        </w:rPr>
        <w:t xml:space="preserve">1</w:t>
      </w:r>
    </w:p>
    <w:p>
      <w:pPr>
        <w:pStyle w:val="BodyText"/>
      </w:pPr>
      <w:r>
        <w:rPr>
          <w:vertAlign w:val="superscript"/>
        </w:rPr>
        <w:t xml:space="preserve">1</w:t>
      </w:r>
      <w:r>
        <w:t xml:space="preserve"> </w:t>
      </w:r>
      <w:r>
        <w:rPr>
          <w:i/>
          <w:iCs/>
        </w:rPr>
        <w:t xml:space="preserve">[Affiliation to be completed: division, department, institution, city, state]</w:t>
      </w:r>
    </w:p>
    <w:p>
      <w:pPr>
        <w:pStyle w:val="BodyText"/>
      </w:pPr>
      <w:r>
        <w:rPr>
          <w:b/>
          <w:bCs/>
        </w:rPr>
        <w:t xml:space="preserve">Corresponding author:</w:t>
      </w:r>
      <w:r>
        <w:t xml:space="preserve"> </w:t>
      </w:r>
      <w:r>
        <w:t xml:space="preserve">Tyler Muffly, MD.</w:t>
      </w:r>
      <w:r>
        <w:t xml:space="preserve"> </w:t>
      </w:r>
      <w:r>
        <w:rPr>
          <w:i/>
          <w:iCs/>
        </w:rPr>
        <w:t xml:space="preserve">[mailing address, telephone, and email to be completed]</w:t>
      </w:r>
    </w:p>
    <w:p>
      <w:pPr>
        <w:pStyle w:val="BodyText"/>
      </w:pPr>
      <w:r>
        <w:rPr>
          <w:b/>
          <w:bCs/>
        </w:rPr>
        <w:t xml:space="preserve">Funding:</w:t>
      </w:r>
      <w:r>
        <w:t xml:space="preserve"> </w:t>
      </w:r>
      <w:r>
        <w:rPr>
          <w:i/>
          <w:iCs/>
        </w:rPr>
        <w:t xml:space="preserve">[to be completed; state</w:t>
      </w:r>
      <w:r>
        <w:rPr>
          <w:i/>
          <w:iCs/>
        </w:rPr>
        <w:t xml:space="preserve"> </w:t>
      </w:r>
      <w:r>
        <w:rPr>
          <w:i/>
          <w:iCs/>
        </w:rPr>
        <w:t xml:space="preserve">“None”</w:t>
      </w:r>
      <w:r>
        <w:rPr>
          <w:i/>
          <w:iCs/>
        </w:rPr>
        <w:t xml:space="preserve"> </w:t>
      </w:r>
      <w:r>
        <w:rPr>
          <w:i/>
          <w:iCs/>
        </w:rPr>
        <w:t xml:space="preserve">if not applicable]</w:t>
      </w:r>
    </w:p>
    <w:p>
      <w:pPr>
        <w:pStyle w:val="BodyText"/>
      </w:pPr>
      <w:r>
        <w:rPr>
          <w:b/>
          <w:bCs/>
        </w:rPr>
        <w:t xml:space="preserve">Conflicts of interest:</w:t>
      </w:r>
      <w:r>
        <w:t xml:space="preserve"> </w:t>
      </w:r>
      <w:r>
        <w:rPr>
          <w:i/>
          <w:iCs/>
        </w:rPr>
        <w:t xml:space="preserve">[to be completed; state</w:t>
      </w:r>
      <w:r>
        <w:rPr>
          <w:i/>
          <w:iCs/>
        </w:rPr>
        <w:t xml:space="preserve"> </w:t>
      </w:r>
      <w:r>
        <w:rPr>
          <w:i/>
          <w:iCs/>
        </w:rPr>
        <w:t xml:space="preserve">“The author reports no conflicts of interest”</w:t>
      </w:r>
      <w:r>
        <w:rPr>
          <w:i/>
          <w:iCs/>
        </w:rPr>
        <w:t xml:space="preserve"> </w:t>
      </w:r>
      <w:r>
        <w:rPr>
          <w:i/>
          <w:iCs/>
        </w:rPr>
        <w:t xml:space="preserve">if applicable]</w:t>
      </w:r>
    </w:p>
    <w:p>
      <w:pPr>
        <w:pStyle w:val="BodyText"/>
      </w:pPr>
      <w:r>
        <w:rPr>
          <w:b/>
          <w:bCs/>
        </w:rPr>
        <w:t xml:space="preserve">Acknowledgments:</w:t>
      </w:r>
      <w:r>
        <w:t xml:space="preserve"> </w:t>
      </w:r>
      <w:r>
        <w:rPr>
          <w:i/>
          <w:iCs/>
        </w:rPr>
        <w:t xml:space="preserve">[to be completed]</w:t>
      </w:r>
    </w:p>
    <w:p>
      <w:pPr>
        <w:pStyle w:val="BodyText"/>
      </w:pPr>
      <w:r>
        <w:rPr>
          <w:b/>
          <w:bCs/>
        </w:rPr>
        <w:t xml:space="preserve">Data and code availability:</w:t>
      </w:r>
      <w:r>
        <w:t xml:space="preserve"> </w:t>
      </w:r>
      <w:r>
        <w:t xml:space="preserve">The complete, reproducible analytic pipeline and this manuscript source are available at</w:t>
      </w:r>
      <w:r>
        <w:t xml:space="preserve"> </w:t>
      </w:r>
      <w:hyperlink r:id="rId9">
        <w:r>
          <w:rPr>
            <w:rStyle w:val="Hyperlink"/>
          </w:rPr>
          <w:t xml:space="preserve">https://github.com/mufflyt/sling-volume-patterns</w:t>
        </w:r>
      </w:hyperlink>
      <w:r>
        <w:t xml:space="preserve">. The CMS Medicare Physician and Other Practitioners Public Use File and the CMS Program Statistics Original Medicare Enrollment tables are publicly available from data.cms.gov.</w:t>
      </w:r>
    </w:p>
    <w:p>
      <w:pPr>
        <w:pStyle w:val="BodyText"/>
      </w:pPr>
      <w:r>
        <w:rPr>
          <w:b/>
          <w:bCs/>
        </w:rPr>
        <w:t xml:space="preserve">Word count (abstract):</w:t>
      </w:r>
      <w:r>
        <w:t xml:space="preserve"> </w:t>
      </w:r>
      <w:r>
        <w:t xml:space="preserve">approximately 250.</w:t>
      </w:r>
      <w:r>
        <w:t xml:space="preserve"> </w:t>
      </w:r>
      <w:r>
        <w:rPr>
          <w:b/>
          <w:bCs/>
        </w:rPr>
        <w:t xml:space="preserve">Manuscript type:</w:t>
      </w:r>
      <w:r>
        <w:t xml:space="preserve"> </w:t>
      </w:r>
      <w:r>
        <w:t xml:space="preserve">Original research.</w:t>
      </w:r>
    </w:p>
    <w:p>
      <w:r>
        <w:pict>
          <v:rect style="width:0;height:1.5pt" o:hralign="center" o:hrstd="t" o:hr="t"/>
        </w:pict>
      </w:r>
    </w:p>
    <w:bookmarkStart w:id="10" w:name="abstract"/>
    <w:p>
      <w:pPr>
        <w:pStyle w:val="Heading2"/>
      </w:pPr>
      <w:r>
        <w:t xml:space="preserve">Abstract</w:t>
      </w:r>
    </w:p>
    <w:p>
      <w:pPr>
        <w:pStyle w:val="FirstParagraph"/>
      </w:pPr>
      <w:r>
        <w:rPr>
          <w:b/>
          <w:bCs/>
        </w:rPr>
        <w:t xml:space="preserve">Objectives:</w:t>
      </w:r>
      <w:r>
        <w:t xml:space="preserve"> </w:t>
      </w:r>
      <w:r>
        <w:t xml:space="preserve">To describe the specialty distribution, annual clinician volume, and surgeon-level concentration of sling surgery for stress urinary incontinence (CPT 57288) in fee-for-service Medicare from 2013 through 2023.</w:t>
      </w:r>
    </w:p>
    <w:p>
      <w:pPr>
        <w:pStyle w:val="BodyText"/>
      </w:pPr>
      <w:r>
        <w:rPr>
          <w:b/>
          <w:bCs/>
        </w:rPr>
        <w:t xml:space="preserve">Methods:</w:t>
      </w:r>
      <w:r>
        <w:t xml:space="preserve"> </w:t>
      </w:r>
      <w:r>
        <w:t xml:space="preserve">We analyzed all 11 annual CMS Medicare Physician and Other Practitioners Public Use Files. Individual clinicians were classified by CMS provider type and ABOG and ABU roster linkage. We modeled utilization with female Part B fee-for-service enrollment as an offset, annual volume with a Poisson generalized estimating equation clustered by NPI, and URPS share with a quasibinomial model. Annual Gini coefficients measured concentration.</w:t>
      </w:r>
    </w:p>
    <w:p>
      <w:pPr>
        <w:pStyle w:val="BodyText"/>
      </w:pPr>
      <w:r>
        <w:rPr>
          <w:b/>
          <w:bCs/>
        </w:rPr>
        <w:t xml:space="preserve">Results:</w:t>
      </w:r>
      <w:r>
        <w:t xml:space="preserve"> </w:t>
      </w:r>
      <w:r>
        <w:t xml:space="preserve">Among 1,666 clinicians, 141,009 services were observable. OB/GYN-pathway URPS accounted for 55% of services and urology-pathway URPS for 8.7%, for a combined URPS share of 63.7%. Reported services declined 27.7%; after enrollment adjustment, the estimated utilization rate declined 1.9% per year (rate ratio 0.981, 95% CI 0.961-1.002; p = 0.119). OB/GYN-pathway URPS had the highest adjusted annual volume. Within-year concentration remained stable. The fitted OB/GYN-pathway URPS share increased from 48.3% to 62.6% (+1.44 percentage points/year; p &lt; 0.001), whereas the urology-pathway share changed comparatively little.</w:t>
      </w:r>
    </w:p>
    <w:p>
      <w:pPr>
        <w:pStyle w:val="BodyText"/>
      </w:pPr>
      <w:r>
        <w:rPr>
          <w:b/>
          <w:bCs/>
        </w:rPr>
        <w:t xml:space="preserve">Conclusions:</w:t>
      </w:r>
      <w:r>
        <w:t xml:space="preserve"> </w:t>
      </w:r>
      <w:r>
        <w:t xml:space="preserve">In observable fee-for-service Medicare, URPS physicians performed most sling services, and their share increased without greater surgeon concentration. These findings describe claims-visible service patterns, not the complete national surgical workforce; all-payer outcome and access studies are needed before drawing credentialing implications.</w:t>
      </w:r>
    </w:p>
    <w:p>
      <w:pPr>
        <w:pStyle w:val="BodyText"/>
      </w:pPr>
      <w:r>
        <w:rPr>
          <w:b/>
          <w:bCs/>
        </w:rPr>
        <w:t xml:space="preserve">Keywords:</w:t>
      </w:r>
      <w:r>
        <w:t xml:space="preserve"> </w:t>
      </w:r>
      <w:r>
        <w:t xml:space="preserve">stress urinary incontinence; sling surgery; urogynecology; Medicare; surgical workforce; procedural concentration.</w:t>
      </w:r>
    </w:p>
    <w:p>
      <w:r>
        <w:pict>
          <v:rect style="width:0;height:1.5pt" o:hralign="center" o:hrstd="t" o:hr="t"/>
        </w:pict>
      </w:r>
    </w:p>
    <w:bookmarkEnd w:id="10"/>
    <w:bookmarkStart w:id="11" w:name="simply-stated"/>
    <w:p>
      <w:pPr>
        <w:pStyle w:val="Heading2"/>
      </w:pPr>
      <w:r>
        <w:t xml:space="preserve">Simply Stated</w:t>
      </w:r>
    </w:p>
    <w:p>
      <w:pPr>
        <w:pStyle w:val="FirstParagraph"/>
      </w:pPr>
      <w:r>
        <w:t xml:space="preserve">Sling surgery treats stress urinary incontinence, which causes urine leakage with coughing, laughing, or exercise. We studied traditional Medicare billing records from 2013 through 2023 to learn which doctors performed these operations and how the work was shared. Urogynecologists performed most of the reported surgeries, and their share increased over time. The total number of reported surgeries fell. Some of that decline occurred because fewer people were enrolled in traditional Medicare, although a smaller true decline may remain. The work stayed spread across many surgeons rather than becoming centered in a small group. These data cannot show which specialty has the best outcomes or who should be allowed to perform the operation.</w:t>
      </w:r>
    </w:p>
    <w:bookmarkEnd w:id="11"/>
    <w:bookmarkStart w:id="12" w:name="why-this-matters"/>
    <w:p>
      <w:pPr>
        <w:pStyle w:val="Heading2"/>
      </w:pPr>
      <w:r>
        <w:t xml:space="preserve">Why This Matters</w:t>
      </w:r>
    </w:p>
    <w:p>
      <w:pPr>
        <w:pStyle w:val="FirstParagraph"/>
      </w:pPr>
      <w:r>
        <w:t xml:space="preserve">National data on who performs sling surgery are limited. This study improves classification by identifying urogynecologists through both the obstetrics-gynecology and urology certification pathways, avoiding the misclassification of urology-trained urogynecologists as general urologists. It also pairs claims with fee-for-service enrollment, showing that raw service counts overstate the decline in utilization. The main finding is a growing URPS share without increasing within-year surgeon concentration. These results support workforce surveillance, but claims data alone cannot establish quality, access, or credentialing standards.</w:t>
      </w:r>
    </w:p>
    <w:p>
      <w:r>
        <w:pict>
          <v:rect style="width:0;height:1.5pt" o:hralign="center" o:hrstd="t" o:hr="t"/>
        </w:pict>
      </w:r>
    </w:p>
    <w:bookmarkEnd w:id="12"/>
    <w:bookmarkStart w:id="13" w:name="introduction"/>
    <w:p>
      <w:pPr>
        <w:pStyle w:val="Heading2"/>
      </w:pPr>
      <w:r>
        <w:t xml:space="preserve">Introduction</w:t>
      </w:r>
    </w:p>
    <w:p>
      <w:pPr>
        <w:pStyle w:val="FirstParagraph"/>
      </w:pPr>
      <w:r>
        <w:t xml:space="preserve">Sling surgery is a standard surgical treatment for stress urinary incontinence (SUI) when conservative treatment is insufficient.</w:t>
      </w:r>
      <w:r>
        <w:rPr>
          <w:vertAlign w:val="superscript"/>
        </w:rPr>
        <w:t xml:space="preserve">1,2</w:t>
      </w:r>
      <w:r>
        <w:t xml:space="preserve"> </w:t>
      </w:r>
      <w:r>
        <w:t xml:space="preserve">CPT 57288 describes a</w:t>
      </w:r>
      <w:r>
        <w:t xml:space="preserve"> </w:t>
      </w:r>
      <w:r>
        <w:t xml:space="preserve">“sling operation for stress incontinence (eg, fascia or synthetic).”</w:t>
      </w:r>
      <w:r>
        <w:t xml:space="preserve"> </w:t>
      </w:r>
      <w:r>
        <w:t xml:space="preserve">The code therefore includes both autologous fascial and synthetic sling procedures and does not distinguish sling material or retropubic, transobturator, single-incision, and pubovaginal techniques. Despite the procedure’s widespread use, little is known about which specialties perform it in the Medicare population or how case volume is distributed among surgeons.</w:t>
      </w:r>
    </w:p>
    <w:p>
      <w:pPr>
        <w:pStyle w:val="BodyText"/>
      </w:pPr>
      <w:r>
        <w:t xml:space="preserve">These questions are relevant to surgical quality, training, and workforce planning. Across surgical fields, greater surgeon and hospital volume is generally associated with better outcomes,</w:t>
      </w:r>
      <w:r>
        <w:rPr>
          <w:vertAlign w:val="superscript"/>
        </w:rPr>
        <w:t xml:space="preserve">4,5</w:t>
      </w:r>
      <w:r>
        <w:t xml:space="preserve"> </w:t>
      </w:r>
      <w:r>
        <w:t xml:space="preserve">although procedure-specific volume thresholds for sling surgery remain uncertain. Changes in the specialty mix may also affect training needs and patient access.</w:t>
      </w:r>
    </w:p>
    <w:p>
      <w:pPr>
        <w:pStyle w:val="BodyText"/>
      </w:pPr>
      <w:r>
        <w:t xml:space="preserve">Three developments make this analysis timely. First, Female Pelvic Medicine and Reconstructive Surgery, now Urogynecology and Reconstructive Pelvic Surgery (URPS), has expanded since receiving American Board of Medical Specialties recognition in 2013.</w:t>
      </w:r>
      <w:r>
        <w:rPr>
          <w:vertAlign w:val="superscript"/>
        </w:rPr>
        <w:t xml:space="preserve">6</w:t>
      </w:r>
      <w:r>
        <w:t xml:space="preserve"> </w:t>
      </w:r>
      <w:r>
        <w:t xml:space="preserve">Certification is available through both the American Board of Obstetrics and Gynecology (ABOG) and the American Board of Urology (ABU). Second, US Food and Drug Administration actions involving urogynecologic mesh changed public perceptions and may have affected sling use.</w:t>
      </w:r>
      <w:r>
        <w:rPr>
          <w:vertAlign w:val="superscript"/>
        </w:rPr>
        <w:t xml:space="preserve">7</w:t>
      </w:r>
      <w:r>
        <w:t xml:space="preserve"> </w:t>
      </w:r>
      <w:r>
        <w:t xml:space="preserve">The 2019 order concerned transvaginal mesh for pelvic organ prolapse; it did not remove synthetic midurethral slings for SUI from the market. Third, the distribution of procedures across clinicians has become increasingly relevant to quality improvement and resource planning.</w:t>
      </w:r>
      <w:r>
        <w:rPr>
          <w:vertAlign w:val="superscript"/>
        </w:rPr>
        <w:t xml:space="preserve">8</w:t>
      </w:r>
    </w:p>
    <w:p>
      <w:pPr>
        <w:pStyle w:val="BodyText"/>
      </w:pPr>
      <w:r>
        <w:t xml:space="preserve">We therefore examined specialty distribution, annual clinician volume, and surgeon-level concentration among clinicians reporting CPT 57288 services in fee-for-service Medicare from 2013 through 2023. We also evaluated changes in each specialty’s share of observable services.</w:t>
      </w:r>
    </w:p>
    <w:bookmarkEnd w:id="13"/>
    <w:bookmarkStart w:id="18" w:name="materials-and-methods"/>
    <w:p>
      <w:pPr>
        <w:pStyle w:val="Heading2"/>
      </w:pPr>
      <w:r>
        <w:t xml:space="preserve">Materials and Methods</w:t>
      </w:r>
    </w:p>
    <w:bookmarkStart w:id="14" w:name="study-design-and-data-source"/>
    <w:p>
      <w:pPr>
        <w:pStyle w:val="Heading3"/>
      </w:pPr>
      <w:r>
        <w:t xml:space="preserve">Study Design and Data Source</w:t>
      </w:r>
    </w:p>
    <w:p>
      <w:pPr>
        <w:pStyle w:val="FirstParagraph"/>
      </w:pPr>
      <w:r>
        <w:t xml:space="preserve">We conducted a repeated cross-sectional analysis of the CMS Medicare Physician and Other Practitioners Public Use File (PUF) from 2013 through 2023. The PUF contains publicly reportable fee-for-service Medicare Part B claims aggregated to the provider-service level. Each row represents a unique combination of National Provider Identifier (NPI), Healthcare Common Procedure Coding System code, place of service, and calendar year. Because the data are public and contain no protected health information, institutional review board approval was not required.</w:t>
      </w:r>
    </w:p>
    <w:p>
      <w:pPr>
        <w:pStyle w:val="BodyText"/>
      </w:pPr>
      <w:r>
        <w:t xml:space="preserve">Before analysis, we verified all 11 annual PUF releases against the CMS file specifications and confirmed that each expected year was complete.</w:t>
      </w:r>
    </w:p>
    <w:bookmarkEnd w:id="14"/>
    <w:bookmarkStart w:id="15" w:name="specialty-classification"/>
    <w:p>
      <w:pPr>
        <w:pStyle w:val="Heading3"/>
      </w:pPr>
      <w:r>
        <w:t xml:space="preserve">Specialty Classification</w:t>
      </w:r>
    </w:p>
    <w:p>
      <w:pPr>
        <w:pStyle w:val="FirstParagraph"/>
      </w:pPr>
      <w:r>
        <w:t xml:space="preserve">Individual clinicians were assigned to six mutually exclusive groups: URPS through the OB/GYN pathway, URPS through the urology pathway, Minimally Invasive Gynecologic Surgery (MIGS), other non-URPS OB/GYN, non-URPS urology, or Other/uncertain. We first used the annual CMS rendering-provider type, which may vary by year, to identify OB/GYN, urology, and other clinicians. Among OB/GYN physicians, the ABOG registry identified diplomates certified in Female Pelvic Medicine and Reconstructive Surgery as URPS and those with a MIG designation as MIGS. Records were linked primarily by exact NPI and, when necessary, by full name and practice state. Remaining OB/GYN physicians were classified as other non-URPS OB/GYN.</w:t>
      </w:r>
    </w:p>
    <w:p>
      <w:pPr>
        <w:pStyle w:val="BodyText"/>
      </w:pPr>
      <w:r>
        <w:t xml:space="preserve">Among 323 NPIs with neither an OB/GYN nor urology CMS provider type and no ABOG match, most represented organizations or nonphysician clinicians rather than urologists, and none matched the ABU roster. We excluded 123 organizational NPIs (NPPES entity type 2, flagged by a rendering-provider entity code of</w:t>
      </w:r>
      <w:r>
        <w:t xml:space="preserve"> </w:t>
      </w:r>
      <w:r>
        <w:t xml:space="preserve">“O”</w:t>
      </w:r>
      <w:r>
        <w:t xml:space="preserve">) because they represented billing entities, such as ambulatory surgery centers, hospitals, laboratories, or groups, rather than individual clinicians. The remaining 200 individual nonphysician or unclassifiable clinicians formed the Other/uncertain group and accounted for 8.2% of observable services. Figure 3 shows the full classification flow. Supplementary Table S11 compares the primary approach with exclusion of these clinicians and with the legacy approach of assigning them to urology; the legacy approach approximately doubled the apparent non-URPS urology share.</w:t>
      </w:r>
    </w:p>
    <w:p>
      <w:pPr>
        <w:pStyle w:val="BodyText"/>
      </w:pPr>
      <w:r>
        <w:t xml:space="preserve">We then cross-referenced the ABU roster of 355 urology-pathway urogynecologists. Of these, 151 appeared in the analytic cohort and were classified as urology-pathway URPS; all remaining urology physicians were classified as non-URPS urology. Without this linkage, fellowship-trained urology-pathway urogynecologists would appear as general urologists in the PUF. We therefore report all-pathway URPS separately from the OB/GYN-based share, because all-pathway URPS includes urology-trained subspecialists who are not gynecologists.</w:t>
      </w:r>
    </w:p>
    <w:p>
      <w:pPr>
        <w:pStyle w:val="BodyText"/>
      </w:pPr>
      <w:r>
        <w:t xml:space="preserve">Because 45% of URPS physicians in the cohort were certified after 2013, the treatment of pre-certification years could affect the estimated market-share trend. We therefore used two plausible scenarios with opposing assumptions. Fixed membership assigned each physician’s eventual subspecialty to every study year and therefore tended to produce a shallower slope by counting physicians as URPS before certification.</w:t>
      </w:r>
    </w:p>
    <w:p>
      <w:pPr>
        <w:pStyle w:val="BodyText"/>
      </w:pPr>
      <w:r>
        <w:t xml:space="preserve">Certification-gated classification assigned URPS or MIGS status only beginning in the ABOG subspecialty certification year (sub1startdate, distinct from the initial OB/GYN board date). Earlier years were classified using the annual CMS provider type. Because certification generally follows the start of subspecialty practice, this scenario may misclassify genuine pre-certification subspecialty practice and therefore tends to produce a steeper slope. We treat the two approaches as plausible scenarios rather than formal bounds.</w:t>
      </w:r>
    </w:p>
    <w:p>
      <w:pPr>
        <w:pStyle w:val="BodyText"/>
      </w:pPr>
      <w:r>
        <w:t xml:space="preserve">Modal and ever-URPS/MIGS classifications were additional sensitivity analyses. Urology-pathway URPS status remained fixed because the ABU roster did not include a subspecialty certification date. For pooled distribution, concentration, and volume analyses (Tables 1–3), each physician was assigned to the eventual combined specialty group.</w:t>
      </w:r>
    </w:p>
    <w:bookmarkEnd w:id="15"/>
    <w:bookmarkStart w:id="16" w:name="cms-data-suppression"/>
    <w:p>
      <w:pPr>
        <w:pStyle w:val="Heading3"/>
      </w:pPr>
      <w:r>
        <w:t xml:space="preserve">CMS Data Suppression</w:t>
      </w:r>
    </w:p>
    <w:p>
      <w:pPr>
        <w:pStyle w:val="FirstParagraph"/>
      </w:pPr>
      <w:r>
        <w:t xml:space="preserve">CMS suppresses provider-service records when a clinician treats fewer than 11 Medicare beneficiaries for a given code in a calendar year. Every observable physician-year in this study therefore represents at least 11 beneficiaries with CPT 57288. Clinicians below that threshold are not visible, so the number and volume of low-volume surgeons cannot be recovered from the PUF. Because suppression may affect the Gini coefficient and HHI differently, full-market concentration is not identified. We therefore report bootstrap confidence intervals and a sensitivity analysis that adds hypothetical suppressed low-volume providers before recalculating concentration.</w:t>
      </w:r>
    </w:p>
    <w:bookmarkEnd w:id="16"/>
    <w:bookmarkStart w:id="17" w:name="X46ca734e3ebd5db0ec3b7b3638b7437bae62243"/>
    <w:p>
      <w:pPr>
        <w:pStyle w:val="Heading3"/>
      </w:pPr>
      <w:r>
        <w:t xml:space="preserve">Outcome Measures and Statistical Analysis</w:t>
      </w:r>
    </w:p>
    <w:p>
      <w:pPr>
        <w:pStyle w:val="FirstParagraph"/>
      </w:pPr>
      <w:r>
        <w:t xml:space="preserve">The primary clinician-level outcome was annual reported CPT 57288 services per provider (Tot_Srvcs). To describe utilization, we calculated observable services per 100,000 female Part B fee-for-service beneficiaries using CMS Program Statistics Original Medicare enrollment counts (table MDCR ENROLL AB 11, Sex = Female, Part B). We modeled annual service counts with log female fee-for-service enrollment as an offset and included a 2020 indicator. Because the PUF does not report beneficiary age for the numerator, this rate is crude and not age standardized.</w:t>
      </w:r>
    </w:p>
    <w:p>
      <w:pPr>
        <w:pStyle w:val="BodyText"/>
      </w:pPr>
      <w:r>
        <w:t xml:space="preserve">We assessed surgeon-level concentration with complementary measures. The Gini coefficient summarizes inequality across the surgeon-volume distribution, and its 95% confidence interval was estimated by bootstrapping providers. The Herfindahl–Hirschman Index (HHI) is more sensitive to the largest-volume surgeons, but its minimum depends on the number of providers. We therefore report raw HHI descriptively and also present normalized HHI and the effective number of providers. Within-year concentration was primary; pooled multi-year measures were secondary because they also reflect the number of years each physician remained observable. The physician, rather than the hospital or health system, was the production unit, so these measures should not be interpreted using antitrust thresholds.</w:t>
      </w:r>
    </w:p>
    <w:p>
      <w:pPr>
        <w:pStyle w:val="BodyText"/>
      </w:pPr>
      <w:r>
        <w:t xml:space="preserve">Because physicians could contribute up to 11 annual observations, we modeled annual reported services with a Poisson generalized estimating equation clustered by NPI, using an exchangeable working correlation and robust standard errors. The model was conditional on the physician-year being observable above the CMS threshold. Fixed effects included specialty (OB/GYN-pathway URPS reference), calendar year centered at 2018, specialty-by-year interactions, and a 2020 indicator. Specialty main effects therefore represent adjusted rate ratios at 2018, and specialty-specific annual trends were reported as marginal contrasts. A negative-binomial mixed model with an NPI random intercept served as a sensitivity analysis. We also repeated the analysis after excluding 2020 and after restricting the cohort to clinicians observable in at least two years.</w:t>
      </w:r>
    </w:p>
    <w:p>
      <w:pPr>
        <w:pStyle w:val="BodyText"/>
      </w:pPr>
      <w:r>
        <w:t xml:space="preserve">As a secondary analysis with one independent observation per physician, we compared each physician’s median annual volume across specialties using the Kruskal-Wallis test followed by Bonferroni-adjusted pairwise Wilcoxon tests.</w:t>
      </w:r>
    </w:p>
    <w:p>
      <w:pPr>
        <w:pStyle w:val="BodyText"/>
      </w:pPr>
      <w:r>
        <w:t xml:space="preserve">For the primary market-share analysis, we modeled OB/GYN-pathway URPS services as a proportion of all annual observable services using a quasibinomial generalized linear model with calendar year centered at 2018. We report the annual odds ratio and the marginal change in percentage points per year. Separate ordinary least-squares regressions of annual specialty shares are presented descriptively. MIGS was not emphasized inferentially because only 10 physicians were identified.</w:t>
      </w:r>
    </w:p>
    <w:p>
      <w:pPr>
        <w:pStyle w:val="BodyText"/>
      </w:pPr>
      <w:r>
        <w:t xml:space="preserve">To describe changes in observable participation, we used a two-year washout. A surgeon was newly observable when present in a year but absent from both preceding observable years, continuing when present and not newly observable, and no longer observable when absent from both subsequent observable years. We summarized their annual service share, median volume, and specialty distribution. Because CMS suppression can move clinicians above or below the reporting threshold, these categories describe observation episodes rather than true entry into or exit from clinical practice. A physician could contribute more than one newly observable episode after an intervening gap.</w:t>
      </w:r>
    </w:p>
    <w:p>
      <w:pPr>
        <w:pStyle w:val="BodyText"/>
      </w:pPr>
      <w:r>
        <w:t xml:space="preserve">In a secondary geographic analysis, we summarized observable surgeons and URPS share by practice state and identified states with no observable URPS surgeon performing at least 11 Medicare slings in any study year. We did not calculate state-level population rates because state-by-sex fee-for-service enrollment denominators were outside the scope of this analysis.</w:t>
      </w:r>
    </w:p>
    <w:p>
      <w:pPr>
        <w:pStyle w:val="BodyText"/>
      </w:pPr>
      <w:r>
        <w:t xml:space="preserve">Analyses were performed in R version 4.4, with package versions locked through renv. The complete analytic pipeline is available at</w:t>
      </w:r>
      <w:r>
        <w:t xml:space="preserve"> </w:t>
      </w:r>
      <w:hyperlink r:id="rId9">
        <w:r>
          <w:rPr>
            <w:rStyle w:val="Hyperlink"/>
          </w:rPr>
          <w:t xml:space="preserve">https://github.com/mufflyt/sling-volume-patterns</w:t>
        </w:r>
      </w:hyperlink>
      <w:r>
        <w:t xml:space="preserve">.</w:t>
      </w:r>
    </w:p>
    <w:bookmarkEnd w:id="17"/>
    <w:bookmarkEnd w:id="18"/>
    <w:bookmarkStart w:id="23" w:name="results"/>
    <w:p>
      <w:pPr>
        <w:pStyle w:val="Heading2"/>
      </w:pPr>
      <w:r>
        <w:t xml:space="preserve">Results</w:t>
      </w:r>
    </w:p>
    <w:bookmarkStart w:id="19" w:name="cohort-and-annual-volume"/>
    <w:p>
      <w:pPr>
        <w:pStyle w:val="Heading3"/>
      </w:pPr>
      <w:r>
        <w:t xml:space="preserve">Cohort and Annual Volume</w:t>
      </w:r>
    </w:p>
    <w:p>
      <w:pPr>
        <w:pStyle w:val="FirstParagraph"/>
      </w:pPr>
      <w:r>
        <w:t xml:space="preserve">Across the full 11-year window, 1,666 physicians billed CPT 57288, accounting for 141,009 observed services in 6,569 physician-year observations. Participation was intermittent: 505 physicians (30%) appeared in one year, 707 (42%) in 2–5 years, 349 (21%) in 6–10 years, and 105 (6%) in all 11 years. Thus, only a small proportion maintained an observable Medicare sling practice throughout the study window.</w:t>
      </w:r>
    </w:p>
    <w:p>
      <w:pPr>
        <w:pStyle w:val="BodyText"/>
      </w:pPr>
      <w:r>
        <w:t xml:space="preserve">The observed count of reported services fell from 15,872 in 2013 to 11,470 in 2023 (-27.7%). Over the same period the female Part B fee-for-service population contracted from 18.35 million to 15.65 million beneficiaries (-14.7%). In a Poisson model of the annual service count with log fee-for-service enrollment as an offset and a 2020 indicator, the observable utilization rate declined -1.9% per year (rate ratio 0.981, 95% CI 0.961-1.002; about -17.3% over the decade), but with only 11 annual observations and the pandemic interruption this trend was not statistically robust (dispersion-adjusted p = 0.119). The rate reached a low of 49.8 per 100,000 in 2020, consistent with pandemic-related deferral of elective surgery, then partially recovered. The number of observable surgeons also fell, from 779 to 522. A clinically meaningful decline in observable utilization thus remains possible, but the raw service-count drop overstates it because much of that drop reflects the shrinking fee-for-service denominator; because CMS suppresses low-volume physician-years, this is an observable-services rate, not the total national fee-for-service rate.</w:t>
      </w:r>
    </w:p>
    <w:bookmarkEnd w:id="19"/>
    <w:bookmarkStart w:id="20" w:name="specialty-distribution-and-trends"/>
    <w:p>
      <w:pPr>
        <w:pStyle w:val="Heading3"/>
      </w:pPr>
      <w:r>
        <w:t xml:space="preserve">Specialty Distribution and Trends</w:t>
      </w:r>
    </w:p>
    <w:p>
      <w:pPr>
        <w:pStyle w:val="FirstParagraph"/>
      </w:pPr>
      <w:r>
        <w:t xml:space="preserve">We separated URPS into its two certification pathways (Table 1). OB/GYN-pathway URPS (ABOG-certified) was the largest single group: 616 physicians, 77,501 services (55%), median annual volume 19 (p25–p75, 14–29). Urology-pathway URPS (ABU roster) added 151 physicians and 12,272 services (8.7%; median 16), so the two URPS pathways together performed 63.7% of observable services. Non-URPS urology included 366 physicians and 20,475 services (14.5%; median 15), other non-URPS OB/GYN 336 physicians and 18,316 services (13%; median 15), the Other/uncertain group 200 clinicians (8.2%), and MIGS 10 physicians (0.7%; median 16).</w:t>
      </w:r>
    </w:p>
    <w:p>
      <w:pPr>
        <w:pStyle w:val="BodyText"/>
      </w:pPr>
      <w:r>
        <w:t xml:space="preserve">Because 13 clinicians changed specialty groups across years, specialty-specific counts exceed the unique cohort total. The urology-pathway URPS group (151 physicians, 12,272 services) would otherwise be classified as general urology, understating the subspecialty and overstating non-URPS urology.</w:t>
      </w:r>
    </w:p>
    <w:p>
      <w:pPr>
        <w:pStyle w:val="BodyText"/>
      </w:pPr>
      <w:r>
        <w:t xml:space="preserve">Annual market shares moved in different directions (Table 1). URPS increased from 45.8% in 2013 to 60.6% in 2023 (+1.42 percentage points/year; 95% CI 1.03 to 1.80; p &lt; 0.001). Urology decreased from 22.4% to 8.3% (-1.28 percentage points/year; 95% CI -1.57 to -0.99; p &lt; 0.001), and General OB/GYN decreased from 16.3% to 13.1% (-0.40 percentage points/year; 95% CI -0.66 to -0.13; p = 0.008). MIGS increased descriptively from 0.2% to 0.9% (+0.08 percentage points/year), but this estimate is based on only 10 physicians. In the quasibinomial model of URPS services out of all annual services, which respects the compositional structure, the URPS share rose from a fitted 48.3% in 2013 to 62.6% in 2023 (odds ratio 1.060 (95% CI 1.046-1.074) per year; 1.44 percentage points per year; p &lt; 0.001), consistent with the descriptive ordinary least-squares estimate. Because total service counts declined, these changes represent redistribution among specialties rather than growth in services.</w:t>
      </w:r>
    </w:p>
    <w:p>
      <w:pPr>
        <w:pStyle w:val="BodyText"/>
      </w:pPr>
      <w:r>
        <w:t xml:space="preserve">The URPS increase was significant under every classification scenario, which differed in the estimated slope (Table 4). Fixed membership gave the shallower estimate because it counts physicians as URPS before certification: the all-pathway URPS share rose from 55.1% to 68% (+1.12 percentage points/year), and the OB/GYN-based share from 16.5% to 13.9% (+-0.32 percentage points/year). Certification-gated classification gave the steeper estimate, from 43.6% to 66.9% (+1.76 percentage points/year), because it removes not-yet-certified physicians from the early URPS count; the two estimates converged near 66.9% by 2023.</w:t>
      </w:r>
    </w:p>
    <w:p>
      <w:pPr>
        <w:pStyle w:val="BodyText"/>
      </w:pPr>
      <w:r>
        <w:t xml:space="preserve">In the Poisson GEE clustered by NPI (reference = OB/GYN-pathway URPS; calendar year centered at 2018), adjusted annual volume at mid-study was lower than OB/GYN-pathway URPS for every other group, including urology-pathway URPS (RR 0.76 (0.68–0.84)), non-URPS urology (RR 0.71 (0.59–0.85)), other non-URPS OB/GYN (RR 0.63 (0.44–0.90)), and MIGS (RR 0.81 (0.51–1.29)) (Table 3). Annual volume was approximately 11% lower in 2020 (RR 0.88 (0.85–0.91); p &lt; 0.001). The specialty-by-year interaction showed that per-physician volume was essentially flat over time for the well-populated groups (OB/GYN-pathway URPS RR 0.999 (0.990-1.007), p = 0.776; urology-pathway URPS RR 0.988 (0.974-1.002), p = 0.089; non-URPS urology RR 0.986 (0.968-1.004), p = 0.137; other OB/GYN RR 0.996 (0.973-1.020), p = 0.760), increasing only for the 10-physician MIGS group (RR 1.085 (1.031-1.142); p = 0.002) (Table 3). A negative-binomial mixed model with a random intercept per NPI reproduced the direction but with attenuated magnitude (urology RR 0.78 (0.74–0.82), General OB/GYN RR 0.81 (0.77–0.85), 2020 RR 0.90 (0.87–0.93)); the attenuation is expected because the GEE estimates a population-averaged (marginal) rate ratio whereas the mixed model estimates a physician-conditional one. The one-observation-per-physician secondary analysis agreed (Kruskal-Wallis H = 97.4, df = 5, p &lt; 0.001); URPS volume exceeded urology and other OB/GYN in pairwise comparisons (p &lt; 0.001), with no significant URPS-MIGS difference. Because these models condition on the physician-year being observable above the CMS reporting threshold, the estimand is annual service volume among observable physician-years, not full-workforce practice volume; if non-URPS physicians more often fall below the threshold, the URPS volume advantage may be overstated.</w:t>
      </w:r>
    </w:p>
    <w:bookmarkEnd w:id="20"/>
    <w:bookmarkStart w:id="21" w:name="surgeon-volume-and-concentration"/>
    <w:p>
      <w:pPr>
        <w:pStyle w:val="Heading3"/>
      </w:pPr>
      <w:r>
        <w:t xml:space="preserve">Surgeon Volume and Concentration</w:t>
      </w:r>
    </w:p>
    <w:p>
      <w:pPr>
        <w:pStyle w:val="FirstParagraph"/>
      </w:pPr>
      <w:r>
        <w:t xml:space="preserve">Within-year concentration was the primary concentration analysis. The annual Gini coefficient remained stable, ranging from 0.26 to 0.28, with no temporal trend (p = 0.451); the top 20% of observable surgeons performed approximately 38% of annual services. No specialty-specific annual Gini changed significantly. Thus, the contraction in the observable surgeon pool was not accompanied by increasing concentration among a smaller group of high-volume surgeons.</w:t>
      </w:r>
    </w:p>
    <w:p>
      <w:pPr>
        <w:pStyle w:val="BodyText"/>
      </w:pPr>
      <w:r>
        <w:t xml:space="preserve">Pooled multi-year concentration was moderate: the Gini coefficient was 0.51 (95% CI 0.48-0.53) for OB/GYN-pathway URPS, 0.52 (95% CI 0.49-0.55) for non-URPS urology, and 0.56 (95% CI 0.52-0.60) for other non-URPS OB/GYN (Table 2). Bootstrap comparisons showed no difference between URPS and urology (difference -0.016 (95% CI -0.050 to +0.021)), whereas URPS was modestly less concentrated than other non-URPS OB/GYN (-0.056 (95% CI -0.098 to -0.006), confidence interval excluding zero). Normalized HHI values were near zero. The effective provider count represented 50% of OB/GYN-pathway URPS physicians, 42% of non-URPS urologists, and 33% of other non-URPS OB/GYN physicians, indicating broad distribution with somewhat greater inequality in the smaller groups. A sensitivity analysis that added hypothetical suppressed low-volume providers increased the Gini, particularly under the 50% scenario (Supplementary Table S8); it therefore supports the narrow conclusion that observable services were not dominated by a handful of surgeons, but not a precise estimate of full-market concentration. MIGS estimates were considered exploratory because only 10 physicians were identified.</w:t>
      </w:r>
    </w:p>
    <w:bookmarkEnd w:id="21"/>
    <w:bookmarkStart w:id="22" w:name="observable-participation-over-time"/>
    <w:p>
      <w:pPr>
        <w:pStyle w:val="Heading3"/>
      </w:pPr>
      <w:r>
        <w:t xml:space="preserve">Observable Participation Over Time</w:t>
      </w:r>
    </w:p>
    <w:p>
      <w:pPr>
        <w:pStyle w:val="FirstParagraph"/>
      </w:pPr>
      <w:r>
        <w:t xml:space="preserve">Using the two-year washout (Supplementary Table S9), 46–150 surgeons became newly observable each year and performed 7.4%–21.7% of annual volume. Their median volume was low, at approximately 13 services, consistent with surgeons appearing just above the CMS suppression threshold. Newly observable counts fell to 46 surgeons (7.4% of volume) in 2020, then rebounded to 150 (21.7%) in 2022; the 2022 rebound may partly reflect re-observation of surgeons who fell below the threshold during the pandemic rather than genuinely new surgeons. Continuing surgeons (357–559 per year) performed most annual services, while surgeons no longer observable ranged from 64 to 212 per year.</w:t>
      </w:r>
    </w:p>
    <w:p>
      <w:pPr>
        <w:pStyle w:val="BodyText"/>
      </w:pPr>
      <w:r>
        <w:t xml:space="preserve">Across the study period, URPS accounted for the most newly observable episodes (480), followed by urology (165), General OB/GYN (205), and MIGS (8); these are episode counts, not unique physicians. The rising URPS share coincided with the largest inflow of newly observable surgeons together with a relatively stable continuing-URPS base (URPS surgeon count 304 to 293; per-physician volume unchanged). Urology showed substantial turnover with net decline, and General OB/GYN declined in both observable surgeons and market share.</w:t>
      </w:r>
    </w:p>
    <w:p>
      <w:pPr>
        <w:pStyle w:val="BodyText"/>
      </w:pPr>
      <w:r>
        <w:t xml:space="preserve">Because total service counts declined, the growth in URPS share represents a redistribution of a shrinking service pool toward URPS, not new procedure growth. These transitions describe crossings of the CMS reporting threshold, not definitive entry into or exit from practice.</w:t>
      </w:r>
    </w:p>
    <w:p>
      <w:pPr>
        <w:pStyle w:val="BodyText"/>
      </w:pPr>
      <w:r>
        <w:t xml:space="preserve">Observable surgeons and the URPS share by practice state are reported as an exploratory secondary analysis in Supplementary Table S7. Because state-by-sex fee-for-service denominators were not available and CMS suppression removes low-volume providers, we do not draw access conclusions from these counts; population-based geographic analysis is reserved for a separate access-focused study.</w:t>
      </w:r>
    </w:p>
    <w:bookmarkEnd w:id="22"/>
    <w:bookmarkEnd w:id="23"/>
    <w:bookmarkStart w:id="29" w:name="discussion"/>
    <w:p>
      <w:pPr>
        <w:pStyle w:val="Heading2"/>
      </w:pPr>
      <w:r>
        <w:t xml:space="preserve">Discussion</w:t>
      </w:r>
    </w:p>
    <w:p>
      <w:pPr>
        <w:pStyle w:val="FirstParagraph"/>
      </w:pPr>
      <w:r>
        <w:t xml:space="preserve">This analysis yielded three principal findings. First, OB/GYN-pathway URPS was the largest individual group, accounting for 55% of observable services and the highest adjusted annual volume; the two URPS pathways together accounted for 63.7%. Second, the OB/GYN-pathway URPS share increased substantially, while the urology-pathway share changed comparatively little and non-URPS participation declined. Third, within-year surgeon concentration remained stable despite a smaller observable surgeon pool. These findings describe a shift in claims-visible fee-for-service practice rather than increasing individual volume or concentration. They should be interpreted as practice patterns, not direct evidence of entry into or exit from the clinical workforce.</w:t>
      </w:r>
    </w:p>
    <w:bookmarkStart w:id="24" w:name="specialty-distribution-in-context"/>
    <w:p>
      <w:pPr>
        <w:pStyle w:val="Heading3"/>
      </w:pPr>
      <w:r>
        <w:t xml:space="preserve">Specialty Distribution in Context</w:t>
      </w:r>
    </w:p>
    <w:p>
      <w:pPr>
        <w:pStyle w:val="FirstParagraph"/>
      </w:pPr>
      <w:r>
        <w:t xml:space="preserve">The two URPS pathways together performed 63.7% of observable fee-for-service Medicare sling services: 55% through the OB/GYN pathway and 8.7% through the urology pathway. Non-URPS urologists performed 14.5%. Because all-pathway URPS includes urology-trained subspecialists, it is not equivalent to a gynecologist share. The estimated non-URPS urology share was sensitive to classification: assigning facility and nonphysician billers to urology approximately doubled it (Supplementary Table S11), illustrating how a simple provider-type approach can inflate urology estimates. Comparisons with earlier studies require caution because datasets, specialty definitions, and care settings differed. James et al. reported that gynecologists performed 74.2% of sling procedures in ACS-NSQIP data from 2006 through 2013;</w:t>
      </w:r>
      <w:r>
        <w:rPr>
          <w:vertAlign w:val="superscript"/>
        </w:rPr>
        <w:t xml:space="preserve">9</w:t>
      </w:r>
      <w:r>
        <w:t xml:space="preserve"> </w:t>
      </w:r>
      <w:r>
        <w:t xml:space="preserve">Cantrell et al. found that urogynecologists performed 54% of stress-incontinence procedures at academic centers from 2009 through 2014;</w:t>
      </w:r>
      <w:r>
        <w:rPr>
          <w:vertAlign w:val="superscript"/>
        </w:rPr>
        <w:t xml:space="preserve">10</w:t>
      </w:r>
      <w:r>
        <w:t xml:space="preserve"> </w:t>
      </w:r>
      <w:r>
        <w:t xml:space="preserve">and Rogo-Gupta et al. found that urologists performed most Medicare sling operations from 2002 through 2007.</w:t>
      </w:r>
      <w:r>
        <w:rPr>
          <w:vertAlign w:val="superscript"/>
        </w:rPr>
        <w:t xml:space="preserve">11</w:t>
      </w:r>
      <w:r>
        <w:t xml:space="preserve"> </w:t>
      </w:r>
      <w:r>
        <w:t xml:space="preserve">The most defensible contemporary conclusion is that OB/GYN-pathway URPS was the largest single fee-for-service Medicare group performing CPT 57288.</w:t>
      </w:r>
    </w:p>
    <w:p>
      <w:pPr>
        <w:pStyle w:val="BodyText"/>
      </w:pPr>
      <w:r>
        <w:t xml:space="preserve">Including both certification pathways was essential. Linking the ABU roster reclassified 151 urology-typed physicians, representing 8.7% of all observable services, as urology-pathway URPS. This pathway-neutral definition reflects differences in operative case volume between urology- and gynecology-based URPS fellowships</w:t>
      </w:r>
      <w:r>
        <w:rPr>
          <w:vertAlign w:val="superscript"/>
        </w:rPr>
        <w:t xml:space="preserve">14</w:t>
      </w:r>
      <w:r>
        <w:t xml:space="preserve"> </w:t>
      </w:r>
      <w:r>
        <w:t xml:space="preserve">and variable URPS exposure during urology residency.</w:t>
      </w:r>
      <w:r>
        <w:rPr>
          <w:vertAlign w:val="superscript"/>
        </w:rPr>
        <w:t xml:space="preserve">15</w:t>
      </w:r>
      <w:r>
        <w:t xml:space="preserve"> </w:t>
      </w:r>
      <w:r>
        <w:t xml:space="preserve">Classifying these subspecialists as general urologists would understate the URPS share and overstate non-URPS urology.</w:t>
      </w:r>
    </w:p>
    <w:bookmarkEnd w:id="24"/>
    <w:bookmarkStart w:id="25" w:name="X20e52b27fb040b539cc76dcaad27d56a4599e1f"/>
    <w:p>
      <w:pPr>
        <w:pStyle w:val="Heading3"/>
      </w:pPr>
      <w:r>
        <w:t xml:space="preserve">Procedural Concentration and the Volume–Outcome Relationship</w:t>
      </w:r>
    </w:p>
    <w:p>
      <w:pPr>
        <w:pStyle w:val="FirstParagraph"/>
      </w:pPr>
      <w:r>
        <w:t xml:space="preserve">The concentration measures offered complementary information. Within-year Gini coefficients were low and stable, while pooled multi-year Gini coefficients showed moderate inequality because they also reflected the number of years each surgeon remained observable. URPS and non-URPS urology had similar pooled concentration, whereas other non-URPS OB/GYN was modestly more concentrated. Normalized HHI values remained near zero, and effective provider counts were large. In practical terms, observable sling volume was spread across many surgeons rather than dominated by a few. Because physicians were the production unit, these measures describe surgeon-level procedural distribution, not hospital or health-system market competition.</w:t>
      </w:r>
    </w:p>
    <w:p>
      <w:pPr>
        <w:pStyle w:val="BodyText"/>
      </w:pPr>
      <w:r>
        <w:t xml:space="preserve">This distribution is relevant because higher surgeon volume has been associated with better outcomes after midurethral sling surgery. Berger et al. reported lower adjusted reoperation risk among higher-volume surgeons,</w:t>
      </w:r>
      <w:r>
        <w:rPr>
          <w:vertAlign w:val="superscript"/>
        </w:rPr>
        <w:t xml:space="preserve">16</w:t>
      </w:r>
      <w:r>
        <w:t xml:space="preserve"> </w:t>
      </w:r>
      <w:r>
        <w:t xml:space="preserve">and a systematic review found greater risks of mesh revision and repeat incontinence procedures among low-volume surgeons.</w:t>
      </w:r>
      <w:r>
        <w:rPr>
          <w:vertAlign w:val="superscript"/>
        </w:rPr>
        <w:t xml:space="preserve">17</w:t>
      </w:r>
      <w:r>
        <w:t xml:space="preserve"> </w:t>
      </w:r>
      <w:r>
        <w:t xml:space="preserve">Other studies have reported lower revision odds above approximately 50 cases per year</w:t>
      </w:r>
      <w:r>
        <w:rPr>
          <w:vertAlign w:val="superscript"/>
        </w:rPr>
        <w:t xml:space="preserve">18</w:t>
      </w:r>
      <w:r>
        <w:t xml:space="preserve"> </w:t>
      </w:r>
      <w:r>
        <w:t xml:space="preserve">and better objective cure rates with greater experience and annual volume.</w:t>
      </w:r>
      <w:r>
        <w:rPr>
          <w:vertAlign w:val="superscript"/>
        </w:rPr>
        <w:t xml:space="preserve">19</w:t>
      </w:r>
      <w:r>
        <w:t xml:space="preserve"> </w:t>
      </w:r>
      <w:r>
        <w:t xml:space="preserve">The fee-for-service Medicare medians of 15–19 observable services per year cannot be compared directly with all-payer thresholds. The PUF excludes younger patients, Medicare Advantage, commercial insurance, and physician-years below the suppression threshold; total surgeon volume may therefore exceed the observed Medicare count, but cannot be inferred precisely.</w:t>
      </w:r>
    </w:p>
    <w:bookmarkEnd w:id="25"/>
    <w:bookmarkStart w:id="26" w:name="Xeba63cdbe7e55f692c5bff6cdf1a4548a22ac38"/>
    <w:p>
      <w:pPr>
        <w:pStyle w:val="Heading3"/>
      </w:pPr>
      <w:r>
        <w:t xml:space="preserve">Temporal Trends and the Evolving SUI Landscape</w:t>
      </w:r>
    </w:p>
    <w:p>
      <w:pPr>
        <w:pStyle w:val="FirstParagraph"/>
      </w:pPr>
      <w:r>
        <w:t xml:space="preserve">The repeated-measures and participation analyses help explain the changing specialty shares. Annual volume among observable physicians was stable, but non-URPS participation declined while the URPS pool remained comparatively stable. URPS also accounted for the largest number of newly observable episodes. The shift therefore reflects a change in the specialty composition of a contracting observable service pool, not increasing individual volume or concentration.</w:t>
      </w:r>
    </w:p>
    <w:p>
      <w:pPr>
        <w:pStyle w:val="BodyText"/>
      </w:pPr>
      <w:r>
        <w:t xml:space="preserve">This pattern is consistent with prior work. Siegal et al. found that the post-2011 decline in sling placement was driven mainly by non-FPMRS providers, whereas FPMRS providers maintained their volume.</w:t>
      </w:r>
      <w:r>
        <w:rPr>
          <w:vertAlign w:val="superscript"/>
        </w:rPr>
        <w:t xml:space="preserve">12</w:t>
      </w:r>
      <w:r>
        <w:t xml:space="preserve"> </w:t>
      </w:r>
      <w:r>
        <w:t xml:space="preserve">Lee et al. documented an approximately 50% national decline in incontinence surgery from 2004 through 2013.</w:t>
      </w:r>
      <w:r>
        <w:rPr>
          <w:vertAlign w:val="superscript"/>
        </w:rPr>
        <w:t xml:space="preserve">13</w:t>
      </w:r>
      <w:r>
        <w:t xml:space="preserve"> </w:t>
      </w:r>
      <w:r>
        <w:t xml:space="preserve">In the present study, the 2020 decrease (RR 0.88) was consistent with pandemic-related deferral of elective surgery, and the principal specialty comparisons were similar when 2020 was excluded.</w:t>
      </w:r>
    </w:p>
    <w:p>
      <w:pPr>
        <w:pStyle w:val="BodyText"/>
      </w:pPr>
      <w:r>
        <w:t xml:space="preserve">The SUI treatment landscape is also evolving. Urethral bulking is now positioned alongside sling surgery as a first-line procedural option,</w:t>
      </w:r>
      <w:r>
        <w:rPr>
          <w:vertAlign w:val="superscript"/>
        </w:rPr>
        <w:t xml:space="preserve">3,20</w:t>
      </w:r>
      <w:r>
        <w:t xml:space="preserve"> </w:t>
      </w:r>
      <w:r>
        <w:t xml:space="preserve">and continued surveillance will be needed to determine whether changing treatment preferences alter specialty-specific sling volume.</w:t>
      </w:r>
    </w:p>
    <w:bookmarkEnd w:id="26"/>
    <w:bookmarkStart w:id="27" w:name="limitations"/>
    <w:p>
      <w:pPr>
        <w:pStyle w:val="Heading3"/>
      </w:pPr>
      <w:r>
        <w:t xml:space="preserve">Limitations</w:t>
      </w:r>
    </w:p>
    <w:p>
      <w:pPr>
        <w:pStyle w:val="FirstParagraph"/>
      </w:pPr>
      <w:r>
        <w:t xml:space="preserve">This study has several limitations. First, CMS suppresses records for clinicians treating fewer than 11 beneficiaries, so the lowest-volume physician-years are not observed. Full-market concentration cannot be identified, and the sensitivity analysis supports only the narrower conclusion that observable services were not dominated by a handful of surgeons. Second, the PUF includes only fee-for-service Medicare Part B claims. It excludes Medicare Advantage, commercial insurance, Medicaid, uninsured care, and most younger patients.</w:t>
      </w:r>
    </w:p>
    <w:p>
      <w:pPr>
        <w:pStyle w:val="BodyText"/>
      </w:pPr>
      <w:r>
        <w:t xml:space="preserve">Third, specialty classification depends on annual CMS provider type and ABOG and ABU roster linkage. Fellowship-trained physicians who were not board certified may be misclassified, and the Other/uncertain group contains nonphysician and incompletely classified individual billers. Although organizational NPIs were excluded and alternative handling of ambiguous billers was examined, residual misclassification is possible. Fourth, the market-share trend is not point identified. Fixed membership assigns eventual subspecialty status to pre-certification years, whereas certification-gated classification may assign genuine subspecialty practice to an earlier general category. We therefore present these as plausible scenarios rather than formal bounds.</w:t>
      </w:r>
    </w:p>
    <w:p>
      <w:pPr>
        <w:pStyle w:val="BodyText"/>
      </w:pPr>
      <w:r>
        <w:t xml:space="preserve">Approximately 8% of URPS physicians lacked a matched certification year, and urology-pathway URPS status remained fixed because a urology subspecialty certification date was unavailable. Finally, Tot_Srvcs may include bilateral or modifier-related inflation and should be interpreted as reported services rather than unique operations.</w:t>
      </w:r>
    </w:p>
    <w:bookmarkEnd w:id="27"/>
    <w:bookmarkStart w:id="28" w:name="strengths"/>
    <w:p>
      <w:pPr>
        <w:pStyle w:val="Heading3"/>
      </w:pPr>
      <w:r>
        <w:t xml:space="preserve">Strengths</w:t>
      </w:r>
    </w:p>
    <w:p>
      <w:pPr>
        <w:pStyle w:val="FirstParagraph"/>
      </w:pPr>
      <w:r>
        <w:t xml:space="preserve">Strengths include a national sample of publicly reported, nonsuppressed fee-for-service provider-service records; identification of URPS physicians through both certification pathways; explicit separation of organizational and ambiguous billers; within-year and pooled concentration measures with bootstrap confidence intervals; models that account for repeated physician observations; multiple classification sensitivities; and a fully reproducible analytic pipeline.</w:t>
      </w:r>
    </w:p>
    <w:bookmarkEnd w:id="28"/>
    <w:bookmarkEnd w:id="29"/>
    <w:bookmarkStart w:id="30" w:name="conclusions"/>
    <w:p>
      <w:pPr>
        <w:pStyle w:val="Heading2"/>
      </w:pPr>
      <w:r>
        <w:t xml:space="preserve">Conclusions</w:t>
      </w:r>
    </w:p>
    <w:p>
      <w:pPr>
        <w:pStyle w:val="FirstParagraph"/>
      </w:pPr>
      <w:r>
        <w:t xml:space="preserve">Among physician-years observable in fee-for-service Medicare, URPS physicians performed most reported sling services for stress urinary incontinence, and their share increased from 2013 through 2023. The increase was driven primarily by the OB/GYN pathway and declining observable participation among non-URPS clinicians, not by increasing surgeon-level concentration. Because the PUF excludes low-volume physician-years and Medicare Advantage claims and does not distinguish synthetic midurethral from fascial sling procedures, these results describe observable Medicare service patterns rather than the complete national sling market or clinical workforce. All-payer studies linking volume, outcomes, and geographic access are needed before drawing credentialing conclusions.</w:t>
      </w:r>
    </w:p>
    <w:bookmarkEnd w:id="30"/>
    <w:bookmarkStart w:id="32" w:name="references"/>
    <w:p>
      <w:pPr>
        <w:pStyle w:val="Heading2"/>
      </w:pPr>
      <w:r>
        <w:t xml:space="preserve">References</w:t>
      </w:r>
    </w:p>
    <w:p>
      <w:pPr>
        <w:pStyle w:val="Compact"/>
        <w:numPr>
          <w:ilvl w:val="0"/>
          <w:numId w:val="1001"/>
        </w:numPr>
      </w:pPr>
      <w:r>
        <w:t xml:space="preserve">Wu JM. Stress incontinence in women. N Engl J Med. 2021;384(25):2428-2436.</w:t>
      </w:r>
    </w:p>
    <w:p>
      <w:pPr>
        <w:pStyle w:val="Compact"/>
        <w:numPr>
          <w:ilvl w:val="0"/>
          <w:numId w:val="1001"/>
        </w:numPr>
      </w:pPr>
      <w:r>
        <w:t xml:space="preserve">Ford AA, Rogerson L, Cody JD, Aluko P, Ogah JA. Mid-urethral sling operations for stress urinary incontinence in women. Cochrane Database Syst Rev. 2017;7(7):CD006375.</w:t>
      </w:r>
    </w:p>
    <w:p>
      <w:pPr>
        <w:pStyle w:val="Compact"/>
        <w:numPr>
          <w:ilvl w:val="0"/>
          <w:numId w:val="1001"/>
        </w:numPr>
      </w:pPr>
      <w:r>
        <w:t xml:space="preserve">Kobashi KC, Vasavada S, Bloschichak A, et al. Updates to surgical treatment of female stress urinary incontinence (SUI): AUA/SUFU guideline (2023). J Urol. 2023;209(6):1091-1098.</w:t>
      </w:r>
    </w:p>
    <w:p>
      <w:pPr>
        <w:pStyle w:val="Compact"/>
        <w:numPr>
          <w:ilvl w:val="0"/>
          <w:numId w:val="1001"/>
        </w:numPr>
      </w:pPr>
      <w:r>
        <w:t xml:space="preserve">Birkmeyer JD, Stukel TA, Siewers AE, Goodney PP, Wennberg DE, Lucas FL. Surgeon volume and operative mortality in the United States. N Engl J Med. 2003;349(22):2117-2127.</w:t>
      </w:r>
    </w:p>
    <w:p>
      <w:pPr>
        <w:pStyle w:val="Compact"/>
        <w:numPr>
          <w:ilvl w:val="0"/>
          <w:numId w:val="1001"/>
        </w:numPr>
      </w:pPr>
      <w:r>
        <w:t xml:space="preserve">Reames BN, Ghaferi AA, Birkmeyer JD, Dimick JB. Hospital volume and operative mortality in the modern era. Ann Surg. 2014;260(2):244-251.</w:t>
      </w:r>
    </w:p>
    <w:p>
      <w:pPr>
        <w:pStyle w:val="Compact"/>
        <w:numPr>
          <w:ilvl w:val="0"/>
          <w:numId w:val="1001"/>
        </w:numPr>
      </w:pPr>
      <w:r>
        <w:t xml:space="preserve">American Board of Medical Specialties. ABMS announces approval of new subspecialty certificate in female pelvic medicine and reconstructive surgery. 2011. Available at:</w:t>
      </w:r>
      <w:r>
        <w:t xml:space="preserve"> </w:t>
      </w:r>
      <w:hyperlink r:id="rId31">
        <w:r>
          <w:rPr>
            <w:rStyle w:val="Hyperlink"/>
          </w:rPr>
          <w:t xml:space="preserve">https://www.abms.org</w:t>
        </w:r>
      </w:hyperlink>
      <w:r>
        <w:t xml:space="preserve">.</w:t>
      </w:r>
    </w:p>
    <w:p>
      <w:pPr>
        <w:pStyle w:val="Compact"/>
        <w:numPr>
          <w:ilvl w:val="0"/>
          <w:numId w:val="1001"/>
        </w:numPr>
      </w:pPr>
      <w:r>
        <w:t xml:space="preserve">Berger AA, Tan-Kim J, Menefee SA. The impact of the 2011 US Food and Drug Administration transvaginal mesh communication on utilization of synthetic mid-urethral sling procedures. Int Urogynecol J. 2021;32(8):2227-2231.</w:t>
      </w:r>
    </w:p>
    <w:p>
      <w:pPr>
        <w:pStyle w:val="Compact"/>
        <w:numPr>
          <w:ilvl w:val="0"/>
          <w:numId w:val="1001"/>
        </w:numPr>
      </w:pPr>
      <w:r>
        <w:t xml:space="preserve">Stitzenberg KB, Sigurdson ER, Egleston BL, Starkey RB, Meropol NJ. Centralization of cancer surgery: implications for patient access to optimal care. J Clin Oncol. 2009;27(28):4671-4678.</w:t>
      </w:r>
    </w:p>
    <w:p>
      <w:pPr>
        <w:pStyle w:val="Compact"/>
        <w:numPr>
          <w:ilvl w:val="0"/>
          <w:numId w:val="1001"/>
        </w:numPr>
      </w:pPr>
      <w:r>
        <w:t xml:space="preserve">James MB, Theofanides MC, Sui W, Onyeji I, Badalato GM, Chung DE. Sling procedures for the treatment of stress urinary incontinence: comparison of national practice patterns between urologists and gynecologists. J Urol. 2017;198(6):1386-1391.</w:t>
      </w:r>
    </w:p>
    <w:p>
      <w:pPr>
        <w:pStyle w:val="Compact"/>
        <w:numPr>
          <w:ilvl w:val="0"/>
          <w:numId w:val="1001"/>
        </w:numPr>
      </w:pPr>
      <w:r>
        <w:t xml:space="preserve">Cantrell AB, Rothschild J, Durbin-Johnson B, Gonzalez R, Kurzrock EA. Surgical trends in the correction of female stress urinary incontinence in academic centers within the United States. Neurourol Urodyn. 2017;36(2):394-398.</w:t>
      </w:r>
    </w:p>
    <w:p>
      <w:pPr>
        <w:pStyle w:val="Compact"/>
        <w:numPr>
          <w:ilvl w:val="0"/>
          <w:numId w:val="1001"/>
        </w:numPr>
      </w:pPr>
      <w:r>
        <w:t xml:space="preserve">Rogo-Gupta L, Litwin MS, Saigal CS, Anger JT; Urologic Diseases in America Project. Trends in the surgical management of stress urinary incontinence among female Medicare beneficiaries, 2002-2007. Urology. 2013;82(1):38-41.</w:t>
      </w:r>
    </w:p>
    <w:p>
      <w:pPr>
        <w:pStyle w:val="Compact"/>
        <w:numPr>
          <w:ilvl w:val="0"/>
          <w:numId w:val="1001"/>
        </w:numPr>
      </w:pPr>
      <w:r>
        <w:t xml:space="preserve">Siegal AR, Huang Z, Gross MD, Mehraban-Far S, Weissbart SJ, Kim JM. Trends of mesh utilization for stress urinary incontinence before and after the 2011 Food and Drug Administration notification between FPMRS-certified and non-FPMRS-certified physicians: a statewide all-payer database analysis. Urology. 2021;150:151-157.</w:t>
      </w:r>
    </w:p>
    <w:p>
      <w:pPr>
        <w:pStyle w:val="Compact"/>
        <w:numPr>
          <w:ilvl w:val="0"/>
          <w:numId w:val="1001"/>
        </w:numPr>
      </w:pPr>
      <w:r>
        <w:t xml:space="preserve">Lee UJ, Feinstein L, Ward JB, et al; Urologic Diseases in America Project. National trends in the surgical management of urinary incontinence among insured women, 2004 to 2013. J Urol. 2020;203(2):365-371.</w:t>
      </w:r>
    </w:p>
    <w:p>
      <w:pPr>
        <w:pStyle w:val="Compact"/>
        <w:numPr>
          <w:ilvl w:val="0"/>
          <w:numId w:val="1001"/>
        </w:numPr>
      </w:pPr>
      <w:r>
        <w:t xml:space="preserve">Tabakin AL, Sawhney R, Daily AM, Winkler HA, Shalom DF, Tam J, Lee W. Case log trends of urogynecology and reconstructive pelvic surgery fellows: a comparison of urology- and gynecology-based fellowship programs. Neurourol Urodyn. 2024;43(8):1970-1976.</w:t>
      </w:r>
    </w:p>
    <w:p>
      <w:pPr>
        <w:pStyle w:val="Compact"/>
        <w:numPr>
          <w:ilvl w:val="0"/>
          <w:numId w:val="1001"/>
        </w:numPr>
      </w:pPr>
      <w:r>
        <w:t xml:space="preserve">Wang CN, Su IW, Smith AL, Badalato GM, Chung DE. Current exposure to female pelvic medicine and reconstructive surgery faculty during urology residency. Neurourol Urodyn. 2023;42(7):1569-1573.</w:t>
      </w:r>
    </w:p>
    <w:p>
      <w:pPr>
        <w:pStyle w:val="Compact"/>
        <w:numPr>
          <w:ilvl w:val="0"/>
          <w:numId w:val="1001"/>
        </w:numPr>
      </w:pPr>
      <w:r>
        <w:t xml:space="preserve">Berger AA, Tan-Kim J, Menefee SA. Surgeon volume and reoperation risk after midurethral sling surgery. Am J Obstet Gynecol. 2019;221(5):523.e1-523.e8.</w:t>
      </w:r>
    </w:p>
    <w:p>
      <w:pPr>
        <w:pStyle w:val="Compact"/>
        <w:numPr>
          <w:ilvl w:val="0"/>
          <w:numId w:val="1001"/>
        </w:numPr>
      </w:pPr>
      <w:r>
        <w:t xml:space="preserve">Cartier S, Cerantola GM, Leung AA, Brennand E. The impact of surgeon operative volume on risk of reoperation within 5 years of mid-urethral sling: a systematic review. Int Urogynecol J. 2023;34(5):981-992.</w:t>
      </w:r>
    </w:p>
    <w:p>
      <w:pPr>
        <w:pStyle w:val="Compact"/>
        <w:numPr>
          <w:ilvl w:val="0"/>
          <w:numId w:val="1001"/>
        </w:numPr>
      </w:pPr>
      <w:r>
        <w:t xml:space="preserve">Brennand EA, Quan H. Evaluation of the effect of surgeon’s operative volume and specialty on likelihood of revision after mesh midurethral sling placement. Obstet Gynecol. 2019;133(6):1099-1108.</w:t>
      </w:r>
    </w:p>
    <w:p>
      <w:pPr>
        <w:pStyle w:val="Compact"/>
        <w:numPr>
          <w:ilvl w:val="0"/>
          <w:numId w:val="1001"/>
        </w:numPr>
      </w:pPr>
      <w:r>
        <w:t xml:space="preserve">Holdø B, Svenningsen R. The impact from surgical experience on short- and long-term success rates after mid-urethral sling surgery. Int Urogynecol J. 2026 (epub ahead of print).</w:t>
      </w:r>
    </w:p>
    <w:p>
      <w:pPr>
        <w:pStyle w:val="Compact"/>
        <w:numPr>
          <w:ilvl w:val="0"/>
          <w:numId w:val="1001"/>
        </w:numPr>
      </w:pPr>
      <w:r>
        <w:t xml:space="preserve">Gallo K, Weiner H, Mishra K. An update on surgical management for stress urinary incontinence. Curr Opin Obstet Gynecol. 2024;36(6):433-438.</w:t>
      </w:r>
    </w:p>
    <w:p>
      <w:r>
        <w:pict>
          <v:rect style="width:0;height:1.5pt" o:hralign="center" o:hrstd="t" o:hr="t"/>
        </w:pict>
      </w:r>
    </w:p>
    <w:bookmarkEnd w:id="32"/>
    <w:bookmarkStart w:id="33" w:name="tables"/>
    <w:p>
      <w:pPr>
        <w:pStyle w:val="Heading2"/>
      </w:pPr>
      <w:r>
        <w:t xml:space="preserve">Tables</w:t>
      </w:r>
    </w:p>
    <w:p>
      <w:pPr>
        <w:pStyle w:val="FirstParagraph"/>
      </w:pPr>
      <w:r>
        <w:rPr>
          <w:b/>
          <w:bCs/>
        </w:rPr>
        <w:t xml:space="preserve">Table 1.</w:t>
      </w:r>
      <w:r>
        <w:t xml:space="preserve"> </w:t>
      </w:r>
      <w:r>
        <w:t xml:space="preserve">Specialty distribution and market-share trends among clinicians billing CPT 57288, Medicare PUF 2013–2023, with URPS split by certification pathway. Δ share is the annual percentage-point change from ordinary least-squares regression on calendar year. Specialty-specific physician counts exceed 1,666 because 13 physicians changed groups across years. *MIGS estimates are descriptive because only 10 physicians were identified.</w:t>
      </w:r>
    </w:p>
    <w:tbl>
      <w:tblPr>
        <w:tblStyle w:val="Table"/>
        <w:tblW w:type="pct" w:w="5000"/>
        <w:tblLayout w:type="fixed"/>
        <w:tblLook w:firstRow="1" w:lastRow="0" w:firstColumn="0" w:lastColumn="0" w:noHBand="0" w:noVBand="0" w:val="0020"/>
      </w:tblPr>
      <w:tblGrid>
        <w:gridCol w:w="1090"/>
        <w:gridCol w:w="901"/>
        <w:gridCol w:w="806"/>
        <w:gridCol w:w="901"/>
        <w:gridCol w:w="474"/>
        <w:gridCol w:w="1043"/>
        <w:gridCol w:w="569"/>
        <w:gridCol w:w="569"/>
        <w:gridCol w:w="1185"/>
        <w:gridCol w:w="379"/>
      </w:tblGrid>
      <w:tr>
        <w:trPr>
          <w:tblHeader w:val="on"/>
        </w:trPr>
        <w:tc>
          <w:tcPr/>
          <w:p>
            <w:pPr>
              <w:pStyle w:val="Compact"/>
            </w:pPr>
            <w:r>
              <w:t xml:space="preserve">Specialty</w:t>
            </w:r>
          </w:p>
        </w:tc>
        <w:tc>
          <w:tcPr/>
          <w:p>
            <w:pPr>
              <w:pStyle w:val="Compact"/>
            </w:pPr>
            <w:r>
              <w:t xml:space="preserve">Unique physicians</w:t>
            </w:r>
          </w:p>
        </w:tc>
        <w:tc>
          <w:tcPr/>
          <w:p>
            <w:pPr>
              <w:pStyle w:val="Compact"/>
            </w:pPr>
            <w:r>
              <w:t xml:space="preserve">Physician-years</w:t>
            </w:r>
          </w:p>
        </w:tc>
        <w:tc>
          <w:tcPr/>
          <w:p>
            <w:pPr>
              <w:pStyle w:val="Compact"/>
            </w:pPr>
            <w:r>
              <w:t xml:space="preserve">Reported services</w:t>
            </w:r>
          </w:p>
        </w:tc>
        <w:tc>
          <w:tcPr/>
          <w:p>
            <w:pPr>
              <w:pStyle w:val="Compact"/>
            </w:pPr>
            <w:r>
              <w:t xml:space="preserve">% of all</w:t>
            </w:r>
          </w:p>
        </w:tc>
        <w:tc>
          <w:tcPr/>
          <w:p>
            <w:pPr>
              <w:pStyle w:val="Compact"/>
            </w:pPr>
            <w:r>
              <w:t xml:space="preserve">Median vol (p25-p75)</w:t>
            </w:r>
          </w:p>
        </w:tc>
        <w:tc>
          <w:tcPr/>
          <w:p>
            <w:pPr>
              <w:pStyle w:val="Compact"/>
            </w:pPr>
            <w:r>
              <w:t xml:space="preserve">2013 share</w:t>
            </w:r>
          </w:p>
        </w:tc>
        <w:tc>
          <w:tcPr/>
          <w:p>
            <w:pPr>
              <w:pStyle w:val="Compact"/>
            </w:pPr>
            <w:r>
              <w:t xml:space="preserve">2023 share</w:t>
            </w:r>
          </w:p>
        </w:tc>
        <w:tc>
          <w:tcPr/>
          <w:p>
            <w:pPr>
              <w:pStyle w:val="Compact"/>
            </w:pPr>
            <w:r>
              <w:t xml:space="preserve">Delta share/yr (95% CI)</w:t>
            </w:r>
          </w:p>
        </w:tc>
        <w:tc>
          <w:tcPr/>
          <w:p>
            <w:pPr>
              <w:pStyle w:val="Compact"/>
            </w:pPr>
            <w:r>
              <w:t xml:space="preserve">p</w:t>
            </w:r>
          </w:p>
        </w:tc>
      </w:tr>
      <w:tr>
        <w:tc>
          <w:tcPr/>
          <w:p>
            <w:pPr>
              <w:pStyle w:val="Compact"/>
            </w:pPr>
            <w:r>
              <w:t xml:space="preserve">URPS, OB/GYN pathway</w:t>
            </w:r>
          </w:p>
        </w:tc>
        <w:tc>
          <w:tcPr/>
          <w:p>
            <w:pPr>
              <w:pStyle w:val="Compact"/>
            </w:pPr>
            <w:r>
              <w:t xml:space="preserve">616</w:t>
            </w:r>
          </w:p>
        </w:tc>
        <w:tc>
          <w:tcPr/>
          <w:p>
            <w:pPr>
              <w:pStyle w:val="Compact"/>
            </w:pPr>
            <w:r>
              <w:t xml:space="preserve">3,272</w:t>
            </w:r>
          </w:p>
        </w:tc>
        <w:tc>
          <w:tcPr/>
          <w:p>
            <w:pPr>
              <w:pStyle w:val="Compact"/>
            </w:pPr>
            <w:r>
              <w:t xml:space="preserve">77,501</w:t>
            </w:r>
          </w:p>
        </w:tc>
        <w:tc>
          <w:tcPr/>
          <w:p>
            <w:pPr>
              <w:pStyle w:val="Compact"/>
            </w:pPr>
            <w:r>
              <w:t xml:space="preserve">55.0%</w:t>
            </w:r>
          </w:p>
        </w:tc>
        <w:tc>
          <w:tcPr/>
          <w:p>
            <w:pPr>
              <w:pStyle w:val="Compact"/>
            </w:pPr>
            <w:r>
              <w:t xml:space="preserve">19 (14–29)</w:t>
            </w:r>
          </w:p>
        </w:tc>
        <w:tc>
          <w:tcPr/>
          <w:p>
            <w:pPr>
              <w:pStyle w:val="Compact"/>
            </w:pPr>
            <w:r>
              <w:t xml:space="preserve">45.8%</w:t>
            </w:r>
          </w:p>
        </w:tc>
        <w:tc>
          <w:tcPr/>
          <w:p>
            <w:pPr>
              <w:pStyle w:val="Compact"/>
            </w:pPr>
            <w:r>
              <w:t xml:space="preserve">60.6%</w:t>
            </w:r>
          </w:p>
        </w:tc>
        <w:tc>
          <w:tcPr/>
          <w:p>
            <w:pPr>
              <w:pStyle w:val="Compact"/>
            </w:pPr>
            <w:r>
              <w:t xml:space="preserve">+1.42 (1.03 to 1.80)</w:t>
            </w:r>
          </w:p>
        </w:tc>
        <w:tc>
          <w:tcPr/>
          <w:p>
            <w:pPr>
              <w:pStyle w:val="Compact"/>
            </w:pPr>
            <w:r>
              <w:t xml:space="preserve">&lt;0.001</w:t>
            </w:r>
          </w:p>
        </w:tc>
      </w:tr>
      <w:tr>
        <w:tc>
          <w:tcPr/>
          <w:p>
            <w:pPr>
              <w:pStyle w:val="Compact"/>
            </w:pPr>
            <w:r>
              <w:t xml:space="preserve">URPS, urology pathway</w:t>
            </w:r>
          </w:p>
        </w:tc>
        <w:tc>
          <w:tcPr/>
          <w:p>
            <w:pPr>
              <w:pStyle w:val="Compact"/>
            </w:pPr>
            <w:r>
              <w:t xml:space="preserve">151</w:t>
            </w:r>
          </w:p>
        </w:tc>
        <w:tc>
          <w:tcPr/>
          <w:p>
            <w:pPr>
              <w:pStyle w:val="Compact"/>
            </w:pPr>
            <w:r>
              <w:t xml:space="preserve">641</w:t>
            </w:r>
          </w:p>
        </w:tc>
        <w:tc>
          <w:tcPr/>
          <w:p>
            <w:pPr>
              <w:pStyle w:val="Compact"/>
            </w:pPr>
            <w:r>
              <w:t xml:space="preserve">12,272</w:t>
            </w:r>
          </w:p>
        </w:tc>
        <w:tc>
          <w:tcPr/>
          <w:p>
            <w:pPr>
              <w:pStyle w:val="Compact"/>
            </w:pPr>
            <w:r>
              <w:t xml:space="preserve">8.7%</w:t>
            </w:r>
          </w:p>
        </w:tc>
        <w:tc>
          <w:tcPr/>
          <w:p>
            <w:pPr>
              <w:pStyle w:val="Compact"/>
            </w:pPr>
            <w:r>
              <w:t xml:space="preserve">16 (13–22)</w:t>
            </w:r>
          </w:p>
        </w:tc>
        <w:tc>
          <w:tcPr/>
          <w:p>
            <w:pPr>
              <w:pStyle w:val="Compact"/>
            </w:pPr>
            <w:r>
              <w:t xml:space="preserve">9.3%</w:t>
            </w:r>
          </w:p>
        </w:tc>
        <w:tc>
          <w:tcPr/>
          <w:p>
            <w:pPr>
              <w:pStyle w:val="Compact"/>
            </w:pPr>
            <w:r>
              <w:t xml:space="preserve">7.4%</w:t>
            </w:r>
          </w:p>
        </w:tc>
        <w:tc>
          <w:tcPr/>
          <w:p>
            <w:pPr>
              <w:pStyle w:val="Compact"/>
            </w:pPr>
            <w:r>
              <w:t xml:space="preserve">-0.30 (-0.45 to -0.15)</w:t>
            </w:r>
          </w:p>
        </w:tc>
        <w:tc>
          <w:tcPr/>
          <w:p>
            <w:pPr>
              <w:pStyle w:val="Compact"/>
            </w:pPr>
            <w:r>
              <w:t xml:space="preserve">0.001</w:t>
            </w:r>
          </w:p>
        </w:tc>
      </w:tr>
      <w:tr>
        <w:tc>
          <w:tcPr/>
          <w:p>
            <w:pPr>
              <w:pStyle w:val="Compact"/>
            </w:pPr>
            <w:r>
              <w:t xml:space="preserve">Urology (non-URPS)</w:t>
            </w:r>
          </w:p>
        </w:tc>
        <w:tc>
          <w:tcPr/>
          <w:p>
            <w:pPr>
              <w:pStyle w:val="Compact"/>
            </w:pPr>
            <w:r>
              <w:t xml:space="preserve">366</w:t>
            </w:r>
          </w:p>
        </w:tc>
        <w:tc>
          <w:tcPr/>
          <w:p>
            <w:pPr>
              <w:pStyle w:val="Compact"/>
            </w:pPr>
            <w:r>
              <w:t xml:space="preserve">1,150</w:t>
            </w:r>
          </w:p>
        </w:tc>
        <w:tc>
          <w:tcPr/>
          <w:p>
            <w:pPr>
              <w:pStyle w:val="Compact"/>
            </w:pPr>
            <w:r>
              <w:t xml:space="preserve">20,475</w:t>
            </w:r>
          </w:p>
        </w:tc>
        <w:tc>
          <w:tcPr/>
          <w:p>
            <w:pPr>
              <w:pStyle w:val="Compact"/>
            </w:pPr>
            <w:r>
              <w:t xml:space="preserve">14.5%</w:t>
            </w:r>
          </w:p>
        </w:tc>
        <w:tc>
          <w:tcPr/>
          <w:p>
            <w:pPr>
              <w:pStyle w:val="Compact"/>
            </w:pPr>
            <w:r>
              <w:t xml:space="preserve">15 (12–20)</w:t>
            </w:r>
          </w:p>
        </w:tc>
        <w:tc>
          <w:tcPr/>
          <w:p>
            <w:pPr>
              <w:pStyle w:val="Compact"/>
            </w:pPr>
            <w:r>
              <w:t xml:space="preserve">22.4%</w:t>
            </w:r>
          </w:p>
        </w:tc>
        <w:tc>
          <w:tcPr/>
          <w:p>
            <w:pPr>
              <w:pStyle w:val="Compact"/>
            </w:pPr>
            <w:r>
              <w:t xml:space="preserve">8.3%</w:t>
            </w:r>
          </w:p>
        </w:tc>
        <w:tc>
          <w:tcPr/>
          <w:p>
            <w:pPr>
              <w:pStyle w:val="Compact"/>
            </w:pPr>
            <w:r>
              <w:t xml:space="preserve">-1.28 (-1.57 to -0.99)</w:t>
            </w:r>
          </w:p>
        </w:tc>
        <w:tc>
          <w:tcPr/>
          <w:p>
            <w:pPr>
              <w:pStyle w:val="Compact"/>
            </w:pPr>
            <w:r>
              <w:t xml:space="preserve">&lt;0.001</w:t>
            </w:r>
          </w:p>
        </w:tc>
      </w:tr>
      <w:tr>
        <w:tc>
          <w:tcPr/>
          <w:p>
            <w:pPr>
              <w:pStyle w:val="Compact"/>
            </w:pPr>
            <w:r>
              <w:t xml:space="preserve">Other non-URPS OB/GYN</w:t>
            </w:r>
          </w:p>
        </w:tc>
        <w:tc>
          <w:tcPr/>
          <w:p>
            <w:pPr>
              <w:pStyle w:val="Compact"/>
            </w:pPr>
            <w:r>
              <w:t xml:space="preserve">336</w:t>
            </w:r>
          </w:p>
        </w:tc>
        <w:tc>
          <w:tcPr/>
          <w:p>
            <w:pPr>
              <w:pStyle w:val="Compact"/>
            </w:pPr>
            <w:r>
              <w:t xml:space="preserve">953</w:t>
            </w:r>
          </w:p>
        </w:tc>
        <w:tc>
          <w:tcPr/>
          <w:p>
            <w:pPr>
              <w:pStyle w:val="Compact"/>
            </w:pPr>
            <w:r>
              <w:t xml:space="preserve">18,316</w:t>
            </w:r>
          </w:p>
        </w:tc>
        <w:tc>
          <w:tcPr/>
          <w:p>
            <w:pPr>
              <w:pStyle w:val="Compact"/>
            </w:pPr>
            <w:r>
              <w:t xml:space="preserve">13.0%</w:t>
            </w:r>
          </w:p>
        </w:tc>
        <w:tc>
          <w:tcPr/>
          <w:p>
            <w:pPr>
              <w:pStyle w:val="Compact"/>
            </w:pPr>
            <w:r>
              <w:t xml:space="preserve">15 (12–22)</w:t>
            </w:r>
          </w:p>
        </w:tc>
        <w:tc>
          <w:tcPr/>
          <w:p>
            <w:pPr>
              <w:pStyle w:val="Compact"/>
            </w:pPr>
            <w:r>
              <w:t xml:space="preserve">16.3%</w:t>
            </w:r>
          </w:p>
        </w:tc>
        <w:tc>
          <w:tcPr/>
          <w:p>
            <w:pPr>
              <w:pStyle w:val="Compact"/>
            </w:pPr>
            <w:r>
              <w:t xml:space="preserve">13.1%</w:t>
            </w:r>
          </w:p>
        </w:tc>
        <w:tc>
          <w:tcPr/>
          <w:p>
            <w:pPr>
              <w:pStyle w:val="Compact"/>
            </w:pPr>
            <w:r>
              <w:t xml:space="preserve">-0.40 (-0.66 to -0.13)</w:t>
            </w:r>
          </w:p>
        </w:tc>
        <w:tc>
          <w:tcPr/>
          <w:p>
            <w:pPr>
              <w:pStyle w:val="Compact"/>
            </w:pPr>
            <w:r>
              <w:t xml:space="preserve">0.008</w:t>
            </w:r>
          </w:p>
        </w:tc>
      </w:tr>
      <w:tr>
        <w:tc>
          <w:tcPr/>
          <w:p>
            <w:pPr>
              <w:pStyle w:val="Compact"/>
            </w:pPr>
            <w:r>
              <w:t xml:space="preserve">Other/uncertain</w:t>
            </w:r>
          </w:p>
        </w:tc>
        <w:tc>
          <w:tcPr/>
          <w:p>
            <w:pPr>
              <w:pStyle w:val="Compact"/>
            </w:pPr>
            <w:r>
              <w:t xml:space="preserve">200</w:t>
            </w:r>
          </w:p>
        </w:tc>
        <w:tc>
          <w:tcPr/>
          <w:p>
            <w:pPr>
              <w:pStyle w:val="Compact"/>
            </w:pPr>
            <w:r>
              <w:t xml:space="preserve">514</w:t>
            </w:r>
          </w:p>
        </w:tc>
        <w:tc>
          <w:tcPr/>
          <w:p>
            <w:pPr>
              <w:pStyle w:val="Compact"/>
            </w:pPr>
            <w:r>
              <w:t xml:space="preserve">11,504</w:t>
            </w:r>
          </w:p>
        </w:tc>
        <w:tc>
          <w:tcPr/>
          <w:p>
            <w:pPr>
              <w:pStyle w:val="Compact"/>
            </w:pPr>
            <w:r>
              <w:t xml:space="preserve">8.2%</w:t>
            </w:r>
          </w:p>
        </w:tc>
        <w:tc>
          <w:tcPr/>
          <w:p>
            <w:pPr>
              <w:pStyle w:val="Compact"/>
            </w:pPr>
            <w:r>
              <w:t xml:space="preserve">18 (13–27)</w:t>
            </w:r>
          </w:p>
        </w:tc>
        <w:tc>
          <w:tcPr/>
          <w:p>
            <w:pPr>
              <w:pStyle w:val="Compact"/>
            </w:pPr>
            <w:r>
              <w:t xml:space="preserve">6.0%</w:t>
            </w:r>
          </w:p>
        </w:tc>
        <w:tc>
          <w:tcPr/>
          <w:p>
            <w:pPr>
              <w:pStyle w:val="Compact"/>
            </w:pPr>
            <w:r>
              <w:t xml:space="preserve">9.8%</w:t>
            </w:r>
          </w:p>
        </w:tc>
        <w:tc>
          <w:tcPr/>
          <w:p>
            <w:pPr>
              <w:pStyle w:val="Compact"/>
            </w:pPr>
            <w:r>
              <w:t xml:space="preserve">+0.49 (0.33 to 0.64)</w:t>
            </w:r>
          </w:p>
        </w:tc>
        <w:tc>
          <w:tcPr/>
          <w:p>
            <w:pPr>
              <w:pStyle w:val="Compact"/>
            </w:pPr>
            <w:r>
              <w:t xml:space="preserve">&lt;0.001</w:t>
            </w:r>
          </w:p>
        </w:tc>
      </w:tr>
      <w:tr>
        <w:tc>
          <w:tcPr/>
          <w:p>
            <w:pPr>
              <w:pStyle w:val="Compact"/>
            </w:pPr>
            <w:r>
              <w:t xml:space="preserve">MIGS</w:t>
            </w:r>
          </w:p>
        </w:tc>
        <w:tc>
          <w:tcPr/>
          <w:p>
            <w:pPr>
              <w:pStyle w:val="Compact"/>
            </w:pPr>
            <w:r>
              <w:t xml:space="preserve">10</w:t>
            </w:r>
          </w:p>
        </w:tc>
        <w:tc>
          <w:tcPr/>
          <w:p>
            <w:pPr>
              <w:pStyle w:val="Compact"/>
            </w:pPr>
            <w:r>
              <w:t xml:space="preserve">39</w:t>
            </w:r>
          </w:p>
        </w:tc>
        <w:tc>
          <w:tcPr/>
          <w:p>
            <w:pPr>
              <w:pStyle w:val="Compact"/>
            </w:pPr>
            <w:r>
              <w:t xml:space="preserve">941</w:t>
            </w:r>
          </w:p>
        </w:tc>
        <w:tc>
          <w:tcPr/>
          <w:p>
            <w:pPr>
              <w:pStyle w:val="Compact"/>
            </w:pPr>
            <w:r>
              <w:t xml:space="preserve">0.7%</w:t>
            </w:r>
          </w:p>
        </w:tc>
        <w:tc>
          <w:tcPr/>
          <w:p>
            <w:pPr>
              <w:pStyle w:val="Compact"/>
            </w:pPr>
            <w:r>
              <w:t xml:space="preserve">16 (12–24)</w:t>
            </w:r>
          </w:p>
        </w:tc>
        <w:tc>
          <w:tcPr/>
          <w:p>
            <w:pPr>
              <w:pStyle w:val="Compact"/>
            </w:pPr>
            <w:r>
              <w:t xml:space="preserve">0.2%</w:t>
            </w:r>
          </w:p>
        </w:tc>
        <w:tc>
          <w:tcPr/>
          <w:p>
            <w:pPr>
              <w:pStyle w:val="Compact"/>
            </w:pPr>
            <w:r>
              <w:t xml:space="preserve">0.9%</w:t>
            </w:r>
          </w:p>
        </w:tc>
        <w:tc>
          <w:tcPr/>
          <w:p>
            <w:pPr>
              <w:pStyle w:val="Compact"/>
            </w:pPr>
            <w:r>
              <w:t xml:space="preserve">+0.08 (0.03 to 0.12)*</w:t>
            </w:r>
          </w:p>
        </w:tc>
        <w:tc>
          <w:tcPr/>
          <w:p>
            <w:pPr>
              <w:pStyle w:val="Compact"/>
            </w:pPr>
            <w:r>
              <w:t xml:space="preserve">0.004</w:t>
            </w:r>
          </w:p>
        </w:tc>
      </w:tr>
      <w:tr>
        <w:tc>
          <w:tcPr/>
          <w:p>
            <w:pPr>
              <w:pStyle w:val="Compact"/>
            </w:pPr>
            <w:r>
              <w:rPr>
                <w:b/>
                <w:bCs/>
              </w:rPr>
              <w:t xml:space="preserve">Total</w:t>
            </w:r>
          </w:p>
        </w:tc>
        <w:tc>
          <w:tcPr/>
          <w:p>
            <w:pPr>
              <w:pStyle w:val="Compact"/>
            </w:pPr>
            <w:r>
              <w:rPr>
                <w:b/>
                <w:bCs/>
              </w:rPr>
              <w:t xml:space="preserve">1,666</w:t>
            </w:r>
          </w:p>
        </w:tc>
        <w:tc>
          <w:tcPr/>
          <w:p>
            <w:pPr>
              <w:pStyle w:val="Compact"/>
            </w:pPr>
            <w:r>
              <w:rPr>
                <w:b/>
                <w:bCs/>
              </w:rPr>
              <w:t xml:space="preserve">6,569</w:t>
            </w:r>
          </w:p>
        </w:tc>
        <w:tc>
          <w:tcPr/>
          <w:p>
            <w:pPr>
              <w:pStyle w:val="Compact"/>
            </w:pPr>
            <w:r>
              <w:rPr>
                <w:b/>
                <w:bCs/>
              </w:rPr>
              <w:t xml:space="preserve">141,009</w:t>
            </w:r>
          </w:p>
        </w:tc>
        <w:tc>
          <w:tcPr/>
          <w:p>
            <w:pPr>
              <w:pStyle w:val="Compact"/>
            </w:pPr>
            <w:r>
              <w:rPr>
                <w:b/>
                <w:bCs/>
              </w:rPr>
              <w:t xml:space="preserve">100%</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rPr>
          <w:b/>
          <w:bCs/>
        </w:rPr>
        <w:t xml:space="preserve">Table 2.</w:t>
      </w:r>
      <w:r>
        <w:t xml:space="preserve"> </w:t>
      </w:r>
      <w:r>
        <w:t xml:space="preserve">Surgeon-level procedural concentration by specialty, based on aggregate provider volume. Raw HHI is not comparable across groups of different size; the normalized HHI (0–1) and effective number of providers are size-adjusted companions.</w:t>
      </w:r>
    </w:p>
    <w:tbl>
      <w:tblPr>
        <w:tblStyle w:val="Table"/>
        <w:tblW w:type="pct" w:w="5000"/>
        <w:tblLayout w:type="fixed"/>
        <w:tblLook w:firstRow="1" w:lastRow="0" w:firstColumn="0" w:lastColumn="0" w:noHBand="0" w:noVBand="0" w:val="0020"/>
      </w:tblPr>
      <w:tblGrid>
        <w:gridCol w:w="1480"/>
        <w:gridCol w:w="837"/>
        <w:gridCol w:w="386"/>
        <w:gridCol w:w="1030"/>
        <w:gridCol w:w="1030"/>
        <w:gridCol w:w="1352"/>
        <w:gridCol w:w="901"/>
        <w:gridCol w:w="901"/>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Gini</w:t>
            </w:r>
          </w:p>
        </w:tc>
        <w:tc>
          <w:tcPr/>
          <w:p>
            <w:pPr>
              <w:pStyle w:val="Compact"/>
            </w:pPr>
            <w:r>
              <w:t xml:space="preserve">HHI (0-10,000)</w:t>
            </w:r>
          </w:p>
        </w:tc>
        <w:tc>
          <w:tcPr/>
          <w:p>
            <w:pPr>
              <w:pStyle w:val="Compact"/>
            </w:pPr>
            <w:r>
              <w:t xml:space="preserve">Normalized HHI</w:t>
            </w:r>
          </w:p>
        </w:tc>
        <w:tc>
          <w:tcPr/>
          <w:p>
            <w:pPr>
              <w:pStyle w:val="Compact"/>
            </w:pPr>
            <w:r>
              <w:t xml:space="preserve">Effective providers</w:t>
            </w:r>
          </w:p>
        </w:tc>
        <w:tc>
          <w:tcPr/>
          <w:p>
            <w:pPr>
              <w:pStyle w:val="Compact"/>
            </w:pPr>
            <w:r>
              <w:t xml:space="preserve">% by top 10%</w:t>
            </w:r>
          </w:p>
        </w:tc>
        <w:tc>
          <w:tcPr/>
          <w:p>
            <w:pPr>
              <w:pStyle w:val="Compact"/>
            </w:pPr>
            <w:r>
              <w:t xml:space="preserve">% by top 20%</w:t>
            </w:r>
          </w:p>
        </w:tc>
      </w:tr>
      <w:tr>
        <w:tc>
          <w:tcPr/>
          <w:p>
            <w:pPr>
              <w:pStyle w:val="Compact"/>
            </w:pPr>
            <w:r>
              <w:t xml:space="preserve">URPS, OB/GYN pathway</w:t>
            </w:r>
          </w:p>
        </w:tc>
        <w:tc>
          <w:tcPr/>
          <w:p>
            <w:pPr>
              <w:pStyle w:val="Compact"/>
            </w:pPr>
            <w:r>
              <w:t xml:space="preserve">616</w:t>
            </w:r>
          </w:p>
        </w:tc>
        <w:tc>
          <w:tcPr/>
          <w:p>
            <w:pPr>
              <w:pStyle w:val="Compact"/>
            </w:pPr>
            <w:r>
              <w:t xml:space="preserve">0.51</w:t>
            </w:r>
          </w:p>
        </w:tc>
        <w:tc>
          <w:tcPr/>
          <w:p>
            <w:pPr>
              <w:pStyle w:val="Compact"/>
            </w:pPr>
            <w:r>
              <w:t xml:space="preserve">33</w:t>
            </w:r>
          </w:p>
        </w:tc>
        <w:tc>
          <w:tcPr/>
          <w:p>
            <w:pPr>
              <w:pStyle w:val="Compact"/>
            </w:pPr>
            <w:r>
              <w:t xml:space="preserve">0.002</w:t>
            </w:r>
          </w:p>
        </w:tc>
        <w:tc>
          <w:tcPr/>
          <w:p>
            <w:pPr>
              <w:pStyle w:val="Compact"/>
            </w:pPr>
            <w:r>
              <w:t xml:space="preserve">305</w:t>
            </w:r>
          </w:p>
        </w:tc>
        <w:tc>
          <w:tcPr/>
          <w:p>
            <w:pPr>
              <w:pStyle w:val="Compact"/>
            </w:pPr>
            <w:r>
              <w:t xml:space="preserve">33.6%</w:t>
            </w:r>
          </w:p>
        </w:tc>
        <w:tc>
          <w:tcPr/>
          <w:p>
            <w:pPr>
              <w:pStyle w:val="Compact"/>
            </w:pPr>
            <w:r>
              <w:t xml:space="preserve">53.0%</w:t>
            </w:r>
          </w:p>
        </w:tc>
      </w:tr>
      <w:tr>
        <w:tc>
          <w:tcPr/>
          <w:p>
            <w:pPr>
              <w:pStyle w:val="Compact"/>
            </w:pPr>
            <w:r>
              <w:t xml:space="preserve">URPS, urology pathway</w:t>
            </w:r>
          </w:p>
        </w:tc>
        <w:tc>
          <w:tcPr/>
          <w:p>
            <w:pPr>
              <w:pStyle w:val="Compact"/>
            </w:pPr>
            <w:r>
              <w:t xml:space="preserve">151</w:t>
            </w:r>
          </w:p>
        </w:tc>
        <w:tc>
          <w:tcPr/>
          <w:p>
            <w:pPr>
              <w:pStyle w:val="Compact"/>
            </w:pPr>
            <w:r>
              <w:t xml:space="preserve">0.53</w:t>
            </w:r>
          </w:p>
        </w:tc>
        <w:tc>
          <w:tcPr/>
          <w:p>
            <w:pPr>
              <w:pStyle w:val="Compact"/>
            </w:pPr>
            <w:r>
              <w:t xml:space="preserve">149</w:t>
            </w:r>
          </w:p>
        </w:tc>
        <w:tc>
          <w:tcPr/>
          <w:p>
            <w:pPr>
              <w:pStyle w:val="Compact"/>
            </w:pPr>
            <w:r>
              <w:t xml:space="preserve">0.008</w:t>
            </w:r>
          </w:p>
        </w:tc>
        <w:tc>
          <w:tcPr/>
          <w:p>
            <w:pPr>
              <w:pStyle w:val="Compact"/>
            </w:pPr>
            <w:r>
              <w:t xml:space="preserve">67</w:t>
            </w:r>
          </w:p>
        </w:tc>
        <w:tc>
          <w:tcPr/>
          <w:p>
            <w:pPr>
              <w:pStyle w:val="Compact"/>
            </w:pPr>
            <w:r>
              <w:t xml:space="preserve">36.2%</w:t>
            </w:r>
          </w:p>
        </w:tc>
        <w:tc>
          <w:tcPr/>
          <w:p>
            <w:pPr>
              <w:pStyle w:val="Compact"/>
            </w:pPr>
            <w:r>
              <w:t xml:space="preserve">56.9%</w:t>
            </w:r>
          </w:p>
        </w:tc>
      </w:tr>
      <w:tr>
        <w:tc>
          <w:tcPr/>
          <w:p>
            <w:pPr>
              <w:pStyle w:val="Compact"/>
            </w:pPr>
            <w:r>
              <w:t xml:space="preserve">Urology (non-URPS)</w:t>
            </w:r>
          </w:p>
        </w:tc>
        <w:tc>
          <w:tcPr/>
          <w:p>
            <w:pPr>
              <w:pStyle w:val="Compact"/>
            </w:pPr>
            <w:r>
              <w:t xml:space="preserve">366</w:t>
            </w:r>
          </w:p>
        </w:tc>
        <w:tc>
          <w:tcPr/>
          <w:p>
            <w:pPr>
              <w:pStyle w:val="Compact"/>
            </w:pPr>
            <w:r>
              <w:t xml:space="preserve">0.52</w:t>
            </w:r>
          </w:p>
        </w:tc>
        <w:tc>
          <w:tcPr/>
          <w:p>
            <w:pPr>
              <w:pStyle w:val="Compact"/>
            </w:pPr>
            <w:r>
              <w:t xml:space="preserve">65</w:t>
            </w:r>
          </w:p>
        </w:tc>
        <w:tc>
          <w:tcPr/>
          <w:p>
            <w:pPr>
              <w:pStyle w:val="Compact"/>
            </w:pPr>
            <w:r>
              <w:t xml:space="preserve">0.004</w:t>
            </w:r>
          </w:p>
        </w:tc>
        <w:tc>
          <w:tcPr/>
          <w:p>
            <w:pPr>
              <w:pStyle w:val="Compact"/>
            </w:pPr>
            <w:r>
              <w:t xml:space="preserve">155</w:t>
            </w:r>
          </w:p>
        </w:tc>
        <w:tc>
          <w:tcPr/>
          <w:p>
            <w:pPr>
              <w:pStyle w:val="Compact"/>
            </w:pPr>
            <w:r>
              <w:t xml:space="preserve">38.6%</w:t>
            </w:r>
          </w:p>
        </w:tc>
        <w:tc>
          <w:tcPr/>
          <w:p>
            <w:pPr>
              <w:pStyle w:val="Compact"/>
            </w:pPr>
            <w:r>
              <w:t xml:space="preserve">58.1%</w:t>
            </w:r>
          </w:p>
        </w:tc>
      </w:tr>
      <w:tr>
        <w:tc>
          <w:tcPr/>
          <w:p>
            <w:pPr>
              <w:pStyle w:val="Compact"/>
            </w:pPr>
            <w:r>
              <w:t xml:space="preserve">Other non-URPS OB/GYN</w:t>
            </w:r>
          </w:p>
        </w:tc>
        <w:tc>
          <w:tcPr/>
          <w:p>
            <w:pPr>
              <w:pStyle w:val="Compact"/>
            </w:pPr>
            <w:r>
              <w:t xml:space="preserve">336</w:t>
            </w:r>
          </w:p>
        </w:tc>
        <w:tc>
          <w:tcPr/>
          <w:p>
            <w:pPr>
              <w:pStyle w:val="Compact"/>
            </w:pPr>
            <w:r>
              <w:t xml:space="preserve">0.56</w:t>
            </w:r>
          </w:p>
        </w:tc>
        <w:tc>
          <w:tcPr/>
          <w:p>
            <w:pPr>
              <w:pStyle w:val="Compact"/>
            </w:pPr>
            <w:r>
              <w:t xml:space="preserve">89</w:t>
            </w:r>
          </w:p>
        </w:tc>
        <w:tc>
          <w:tcPr/>
          <w:p>
            <w:pPr>
              <w:pStyle w:val="Compact"/>
            </w:pPr>
            <w:r>
              <w:t xml:space="preserve">0.006</w:t>
            </w:r>
          </w:p>
        </w:tc>
        <w:tc>
          <w:tcPr/>
          <w:p>
            <w:pPr>
              <w:pStyle w:val="Compact"/>
            </w:pPr>
            <w:r>
              <w:t xml:space="preserve">112</w:t>
            </w:r>
          </w:p>
        </w:tc>
        <w:tc>
          <w:tcPr/>
          <w:p>
            <w:pPr>
              <w:pStyle w:val="Compact"/>
            </w:pPr>
            <w:r>
              <w:t xml:space="preserve">44.4%</w:t>
            </w:r>
          </w:p>
        </w:tc>
        <w:tc>
          <w:tcPr/>
          <w:p>
            <w:pPr>
              <w:pStyle w:val="Compact"/>
            </w:pPr>
            <w:r>
              <w:t xml:space="preserve">62.2%</w:t>
            </w:r>
          </w:p>
        </w:tc>
      </w:tr>
      <w:tr>
        <w:tc>
          <w:tcPr/>
          <w:p>
            <w:pPr>
              <w:pStyle w:val="Compact"/>
            </w:pPr>
            <w:r>
              <w:t xml:space="preserve">MIGS</w:t>
            </w:r>
          </w:p>
        </w:tc>
        <w:tc>
          <w:tcPr/>
          <w:p>
            <w:pPr>
              <w:pStyle w:val="Compact"/>
            </w:pPr>
            <w:r>
              <w:t xml:space="preserve">10</w:t>
            </w:r>
          </w:p>
        </w:tc>
        <w:tc>
          <w:tcPr/>
          <w:p>
            <w:pPr>
              <w:pStyle w:val="Compact"/>
            </w:pPr>
            <w:r>
              <w:t xml:space="preserve">0.61</w:t>
            </w:r>
          </w:p>
        </w:tc>
        <w:tc>
          <w:tcPr/>
          <w:p>
            <w:pPr>
              <w:pStyle w:val="Compact"/>
            </w:pPr>
            <w:r>
              <w:t xml:space="preserve">3,036</w:t>
            </w:r>
          </w:p>
        </w:tc>
        <w:tc>
          <w:tcPr/>
          <w:p>
            <w:pPr>
              <w:pStyle w:val="Compact"/>
            </w:pPr>
            <w:r>
              <w:t xml:space="preserve">0.226</w:t>
            </w:r>
          </w:p>
        </w:tc>
        <w:tc>
          <w:tcPr/>
          <w:p>
            <w:pPr>
              <w:pStyle w:val="Compact"/>
            </w:pPr>
            <w:r>
              <w:t xml:space="preserve">3</w:t>
            </w:r>
          </w:p>
        </w:tc>
        <w:tc>
          <w:tcPr/>
          <w:p>
            <w:pPr>
              <w:pStyle w:val="Compact"/>
            </w:pPr>
            <w:r>
              <w:t xml:space="preserve">49.8%</w:t>
            </w:r>
          </w:p>
        </w:tc>
        <w:tc>
          <w:tcPr/>
          <w:p>
            <w:pPr>
              <w:pStyle w:val="Compact"/>
            </w:pPr>
            <w:r>
              <w:t xml:space="preserve">69.3%</w:t>
            </w:r>
          </w:p>
        </w:tc>
      </w:tr>
    </w:tbl>
    <w:p>
      <w:pPr>
        <w:pStyle w:val="BodyText"/>
      </w:pPr>
      <w:r>
        <w:rPr>
          <w:b/>
          <w:bCs/>
        </w:rPr>
        <w:t xml:space="preserve">Table 3.</w:t>
      </w:r>
      <w:r>
        <w:t xml:space="preserve"> </w:t>
      </w:r>
      <w:r>
        <w:t xml:space="preserve">Adjusted rate ratios for annual reported services from a Poisson GEE clustered by NPI (OB/GYN-pathway URPS reference; calendar year centered at 2018; exchangeable correlation; robust standard errors). The first block gives specialty contrasts at mid-study and the 2020 effect; the second block gives each specialty’s annual trend as a marginal contrast (the year term plus its specialty-by-year interaction).</w:t>
      </w:r>
    </w:p>
    <w:tbl>
      <w:tblPr>
        <w:tblStyle w:val="Table"/>
        <w:tblW w:type="pct" w:w="5000"/>
        <w:tblLayout w:type="fixed"/>
        <w:tblLook w:firstRow="1" w:lastRow="0" w:firstColumn="0" w:lastColumn="0" w:noHBand="0" w:noVBand="0" w:val="0020"/>
      </w:tblPr>
      <w:tblGrid>
        <w:gridCol w:w="4873"/>
        <w:gridCol w:w="2132"/>
        <w:gridCol w:w="913"/>
      </w:tblGrid>
      <w:tr>
        <w:trPr>
          <w:tblHeader w:val="on"/>
        </w:trPr>
        <w:tc>
          <w:tcPr/>
          <w:p>
            <w:pPr>
              <w:pStyle w:val="Compact"/>
            </w:pPr>
            <w:r>
              <w:t xml:space="preserve">Term</w:t>
            </w:r>
          </w:p>
        </w:tc>
        <w:tc>
          <w:tcPr/>
          <w:p>
            <w:pPr>
              <w:pStyle w:val="Compact"/>
            </w:pPr>
            <w:r>
              <w:t xml:space="preserve">Rate ratio (95% CI)</w:t>
            </w:r>
          </w:p>
        </w:tc>
        <w:tc>
          <w:tcPr/>
          <w:p>
            <w:pPr>
              <w:pStyle w:val="Compact"/>
            </w:pPr>
            <w:r>
              <w:t xml:space="preserve">p-value</w:t>
            </w:r>
          </w:p>
        </w:tc>
      </w:tr>
      <w:tr>
        <w:tc>
          <w:tcPr/>
          <w:p>
            <w:pPr>
              <w:pStyle w:val="Compact"/>
            </w:pPr>
            <w:r>
              <w:t xml:space="preserve">URPS urology vs URPS OB/GYN (at 2018)</w:t>
            </w:r>
          </w:p>
        </w:tc>
        <w:tc>
          <w:tcPr/>
          <w:p>
            <w:pPr>
              <w:pStyle w:val="Compact"/>
            </w:pPr>
            <w:r>
              <w:t xml:space="preserve">0.76 (0.68–0.84)</w:t>
            </w:r>
          </w:p>
        </w:tc>
        <w:tc>
          <w:tcPr/>
          <w:p>
            <w:pPr>
              <w:pStyle w:val="Compact"/>
            </w:pPr>
            <w:r>
              <w:t xml:space="preserve">&lt;0.001</w:t>
            </w:r>
          </w:p>
        </w:tc>
      </w:tr>
      <w:tr>
        <w:tc>
          <w:tcPr/>
          <w:p>
            <w:pPr>
              <w:pStyle w:val="Compact"/>
            </w:pPr>
            <w:r>
              <w:t xml:space="preserve">Non-URPS urology vs URPS OB/GYN (at 2018)</w:t>
            </w:r>
          </w:p>
        </w:tc>
        <w:tc>
          <w:tcPr/>
          <w:p>
            <w:pPr>
              <w:pStyle w:val="Compact"/>
            </w:pPr>
            <w:r>
              <w:t xml:space="preserve">0.71 (0.59–0.85)</w:t>
            </w:r>
          </w:p>
        </w:tc>
        <w:tc>
          <w:tcPr/>
          <w:p>
            <w:pPr>
              <w:pStyle w:val="Compact"/>
            </w:pPr>
            <w:r>
              <w:t xml:space="preserve">&lt;0.001</w:t>
            </w:r>
          </w:p>
        </w:tc>
      </w:tr>
      <w:tr>
        <w:tc>
          <w:tcPr/>
          <w:p>
            <w:pPr>
              <w:pStyle w:val="Compact"/>
            </w:pPr>
            <w:r>
              <w:t xml:space="preserve">Other non-URPS OB/GYN vs URPS OB/GYN (at 2018)</w:t>
            </w:r>
          </w:p>
        </w:tc>
        <w:tc>
          <w:tcPr/>
          <w:p>
            <w:pPr>
              <w:pStyle w:val="Compact"/>
            </w:pPr>
            <w:r>
              <w:t xml:space="preserve">0.63 (0.44–0.90)</w:t>
            </w:r>
          </w:p>
        </w:tc>
        <w:tc>
          <w:tcPr/>
          <w:p>
            <w:pPr>
              <w:pStyle w:val="Compact"/>
            </w:pPr>
            <w:r>
              <w:t xml:space="preserve">0.011</w:t>
            </w:r>
          </w:p>
        </w:tc>
      </w:tr>
      <w:tr>
        <w:tc>
          <w:tcPr/>
          <w:p>
            <w:pPr>
              <w:pStyle w:val="Compact"/>
            </w:pPr>
            <w:r>
              <w:t xml:space="preserve">MIGS vs URPS OB/GYN (at 2018)</w:t>
            </w:r>
          </w:p>
        </w:tc>
        <w:tc>
          <w:tcPr/>
          <w:p>
            <w:pPr>
              <w:pStyle w:val="Compact"/>
            </w:pPr>
            <w:r>
              <w:t xml:space="preserve">0.81 (0.51–1.29)</w:t>
            </w:r>
          </w:p>
        </w:tc>
        <w:tc>
          <w:tcPr/>
          <w:p>
            <w:pPr>
              <w:pStyle w:val="Compact"/>
            </w:pPr>
            <w:r>
              <w:t xml:space="preserve">0.379</w:t>
            </w:r>
          </w:p>
        </w:tc>
      </w:tr>
      <w:tr>
        <w:tc>
          <w:tcPr/>
          <w:p>
            <w:pPr>
              <w:pStyle w:val="Compact"/>
            </w:pPr>
            <w:r>
              <w:t xml:space="preserve">2020 (COVID) indicator</w:t>
            </w:r>
          </w:p>
        </w:tc>
        <w:tc>
          <w:tcPr/>
          <w:p>
            <w:pPr>
              <w:pStyle w:val="Compact"/>
            </w:pPr>
            <w:r>
              <w:t xml:space="preserve">0.88 (0.85–0.91)</w:t>
            </w:r>
          </w:p>
        </w:tc>
        <w:tc>
          <w:tcPr/>
          <w:p>
            <w:pPr>
              <w:pStyle w:val="Compact"/>
            </w:pPr>
            <w:r>
              <w:t xml:space="preserve">&lt;0.001</w:t>
            </w:r>
          </w:p>
        </w:tc>
      </w:tr>
      <w:tr>
        <w:tc>
          <w:tcPr/>
          <w:p>
            <w:pPr>
              <w:pStyle w:val="Compact"/>
            </w:pPr>
            <w:r>
              <w:t xml:space="preserve">Annual trend, URPS (OB/GYN)</w:t>
            </w:r>
          </w:p>
        </w:tc>
        <w:tc>
          <w:tcPr/>
          <w:p>
            <w:pPr>
              <w:pStyle w:val="Compact"/>
            </w:pPr>
            <w:r>
              <w:t xml:space="preserve">0.999 (0.990-1.007)</w:t>
            </w:r>
          </w:p>
        </w:tc>
        <w:tc>
          <w:tcPr/>
          <w:p>
            <w:pPr>
              <w:pStyle w:val="Compact"/>
            </w:pPr>
            <w:r>
              <w:t xml:space="preserve">0.776</w:t>
            </w:r>
          </w:p>
        </w:tc>
      </w:tr>
      <w:tr>
        <w:tc>
          <w:tcPr/>
          <w:p>
            <w:pPr>
              <w:pStyle w:val="Compact"/>
            </w:pPr>
            <w:r>
              <w:t xml:space="preserve">Annual trend, URPS (urology)</w:t>
            </w:r>
          </w:p>
        </w:tc>
        <w:tc>
          <w:tcPr/>
          <w:p>
            <w:pPr>
              <w:pStyle w:val="Compact"/>
            </w:pPr>
            <w:r>
              <w:t xml:space="preserve">0.988 (0.974-1.002)</w:t>
            </w:r>
          </w:p>
        </w:tc>
        <w:tc>
          <w:tcPr/>
          <w:p>
            <w:pPr>
              <w:pStyle w:val="Compact"/>
            </w:pPr>
            <w:r>
              <w:t xml:space="preserve">0.089</w:t>
            </w:r>
          </w:p>
        </w:tc>
      </w:tr>
      <w:tr>
        <w:tc>
          <w:tcPr/>
          <w:p>
            <w:pPr>
              <w:pStyle w:val="Compact"/>
            </w:pPr>
            <w:r>
              <w:t xml:space="preserve">Annual trend, non-URPS urology</w:t>
            </w:r>
          </w:p>
        </w:tc>
        <w:tc>
          <w:tcPr/>
          <w:p>
            <w:pPr>
              <w:pStyle w:val="Compact"/>
            </w:pPr>
            <w:r>
              <w:t xml:space="preserve">0.986 (0.968-1.004)</w:t>
            </w:r>
          </w:p>
        </w:tc>
        <w:tc>
          <w:tcPr/>
          <w:p>
            <w:pPr>
              <w:pStyle w:val="Compact"/>
            </w:pPr>
            <w:r>
              <w:t xml:space="preserve">0.137</w:t>
            </w:r>
          </w:p>
        </w:tc>
      </w:tr>
      <w:tr>
        <w:tc>
          <w:tcPr/>
          <w:p>
            <w:pPr>
              <w:pStyle w:val="Compact"/>
            </w:pPr>
            <w:r>
              <w:t xml:space="preserve">Annual trend, other non-URPS OB/GYN</w:t>
            </w:r>
          </w:p>
        </w:tc>
        <w:tc>
          <w:tcPr/>
          <w:p>
            <w:pPr>
              <w:pStyle w:val="Compact"/>
            </w:pPr>
            <w:r>
              <w:t xml:space="preserve">0.996 (0.973-1.020)</w:t>
            </w:r>
          </w:p>
        </w:tc>
        <w:tc>
          <w:tcPr/>
          <w:p>
            <w:pPr>
              <w:pStyle w:val="Compact"/>
            </w:pPr>
            <w:r>
              <w:t xml:space="preserve">0.760</w:t>
            </w:r>
          </w:p>
        </w:tc>
      </w:tr>
      <w:tr>
        <w:tc>
          <w:tcPr/>
          <w:p>
            <w:pPr>
              <w:pStyle w:val="Compact"/>
            </w:pPr>
            <w:r>
              <w:t xml:space="preserve">Annual trend, MIGS</w:t>
            </w:r>
          </w:p>
        </w:tc>
        <w:tc>
          <w:tcPr/>
          <w:p>
            <w:pPr>
              <w:pStyle w:val="Compact"/>
            </w:pPr>
            <w:r>
              <w:t xml:space="preserve">1.085 (1.031-1.142)</w:t>
            </w:r>
          </w:p>
        </w:tc>
        <w:tc>
          <w:tcPr/>
          <w:p>
            <w:pPr>
              <w:pStyle w:val="Compact"/>
            </w:pPr>
            <w:r>
              <w:t xml:space="preserve">0.002</w:t>
            </w:r>
          </w:p>
        </w:tc>
      </w:tr>
    </w:tbl>
    <w:p>
      <w:pPr>
        <w:pStyle w:val="BodyText"/>
      </w:pPr>
      <w:r>
        <w:rPr>
          <w:b/>
          <w:bCs/>
        </w:rPr>
        <w:t xml:space="preserve">Table 4.</w:t>
      </w:r>
      <w:r>
        <w:t xml:space="preserve"> </w:t>
      </w:r>
      <w:r>
        <w:t xml:space="preserve">All-pathway URPS and OB/GYN-based market-share trends under alternative classification scenarios. The scenarios differ in the estimated rate of increase: fixed membership gives the shallower slope because it counts physicians as URPS before certification, and certification-gated classification gives the steeper slope because it removes not-yet-certified physicians from the early URPS count. The 2023 levels converge. These are plausible scenarios rather than formal statistical bounds. All estimated trends are positive and statistically significant.</w:t>
      </w:r>
    </w:p>
    <w:tbl>
      <w:tblPr>
        <w:tblStyle w:val="Table"/>
        <w:tblW w:type="pct" w:w="5000"/>
        <w:tblLayout w:type="fixed"/>
        <w:tblLook w:firstRow="1" w:lastRow="0" w:firstColumn="0" w:lastColumn="0" w:noHBand="0" w:noVBand="0" w:val="0020"/>
      </w:tblPr>
      <w:tblGrid>
        <w:gridCol w:w="4698"/>
        <w:gridCol w:w="1275"/>
        <w:gridCol w:w="1141"/>
        <w:gridCol w:w="805"/>
      </w:tblGrid>
      <w:tr>
        <w:trPr>
          <w:tblHeader w:val="on"/>
        </w:trPr>
        <w:tc>
          <w:tcPr/>
          <w:p>
            <w:pPr>
              <w:pStyle w:val="Compact"/>
            </w:pPr>
            <w:r>
              <w:t xml:space="preserve">Analysis</w:t>
            </w:r>
          </w:p>
        </w:tc>
        <w:tc>
          <w:tcPr/>
          <w:p>
            <w:pPr>
              <w:pStyle w:val="Compact"/>
            </w:pPr>
            <w:r>
              <w:t xml:space="preserve">2013 -&gt; 2023</w:t>
            </w:r>
          </w:p>
        </w:tc>
        <w:tc>
          <w:tcPr/>
          <w:p>
            <w:pPr>
              <w:pStyle w:val="Compact"/>
            </w:pPr>
            <w:r>
              <w:t xml:space="preserve">Slope (pp/year)</w:t>
            </w:r>
          </w:p>
        </w:tc>
        <w:tc>
          <w:tcPr/>
          <w:p>
            <w:pPr>
              <w:pStyle w:val="Compact"/>
            </w:pPr>
            <w:r>
              <w:t xml:space="preserve">p-value</w:t>
            </w:r>
          </w:p>
        </w:tc>
      </w:tr>
      <w:tr>
        <w:tc>
          <w:tcPr/>
          <w:p>
            <w:pPr>
              <w:pStyle w:val="Compact"/>
            </w:pPr>
            <w:r>
              <w:t xml:space="preserve">Fixed membership: OB/GYN-based share (ABOG-URPS + MIGS + Gen OB/GYN)</w:t>
            </w:r>
          </w:p>
        </w:tc>
        <w:tc>
          <w:tcPr/>
          <w:p>
            <w:pPr>
              <w:pStyle w:val="Compact"/>
            </w:pPr>
            <w:r>
              <w:t xml:space="preserve">16.5% → 13.9%</w:t>
            </w:r>
          </w:p>
        </w:tc>
        <w:tc>
          <w:tcPr/>
          <w:p>
            <w:pPr>
              <w:pStyle w:val="Compact"/>
            </w:pPr>
            <w:r>
              <w:t xml:space="preserve">-0.32</w:t>
            </w:r>
          </w:p>
        </w:tc>
        <w:tc>
          <w:tcPr/>
          <w:p>
            <w:pPr>
              <w:pStyle w:val="Compact"/>
            </w:pPr>
            <w:r>
              <w:t xml:space="preserve">0.019</w:t>
            </w:r>
          </w:p>
        </w:tc>
      </w:tr>
      <w:tr>
        <w:tc>
          <w:tcPr/>
          <w:p>
            <w:pPr>
              <w:pStyle w:val="Compact"/>
            </w:pPr>
            <w:r>
              <w:t xml:space="preserve">Fixed membership: all-pathway URPS share</w:t>
            </w:r>
          </w:p>
        </w:tc>
        <w:tc>
          <w:tcPr/>
          <w:p>
            <w:pPr>
              <w:pStyle w:val="Compact"/>
            </w:pPr>
            <w:r>
              <w:t xml:space="preserve">55.1% → 68.0%</w:t>
            </w:r>
          </w:p>
        </w:tc>
        <w:tc>
          <w:tcPr/>
          <w:p>
            <w:pPr>
              <w:pStyle w:val="Compact"/>
            </w:pPr>
            <w:r>
              <w:t xml:space="preserve">1.12</w:t>
            </w:r>
          </w:p>
        </w:tc>
        <w:tc>
          <w:tcPr/>
          <w:p>
            <w:pPr>
              <w:pStyle w:val="Compact"/>
            </w:pPr>
            <w:r>
              <w:t xml:space="preserve">&lt;0.001</w:t>
            </w:r>
          </w:p>
        </w:tc>
      </w:tr>
      <w:tr>
        <w:tc>
          <w:tcPr/>
          <w:p>
            <w:pPr>
              <w:pStyle w:val="Compact"/>
            </w:pPr>
            <w:r>
              <w:t xml:space="preserve">Modal: URPS share</w:t>
            </w:r>
          </w:p>
        </w:tc>
        <w:tc>
          <w:tcPr/>
          <w:p>
            <w:pPr>
              <w:pStyle w:val="Compact"/>
            </w:pPr>
            <w:r>
              <w:t xml:space="preserve">n/a</w:t>
            </w:r>
          </w:p>
        </w:tc>
        <w:tc>
          <w:tcPr/>
          <w:p>
            <w:pPr>
              <w:pStyle w:val="Compact"/>
            </w:pPr>
            <w:r>
              <w:t xml:space="preserve">1.20</w:t>
            </w:r>
          </w:p>
        </w:tc>
        <w:tc>
          <w:tcPr/>
          <w:p>
            <w:pPr>
              <w:pStyle w:val="Compact"/>
            </w:pPr>
            <w:r>
              <w:t xml:space="preserve">&lt;0.001</w:t>
            </w:r>
          </w:p>
        </w:tc>
      </w:tr>
      <w:tr>
        <w:tc>
          <w:tcPr/>
          <w:p>
            <w:pPr>
              <w:pStyle w:val="Compact"/>
            </w:pPr>
            <w:r>
              <w:t xml:space="preserve">Ever-URPS/MIGS: URPS share</w:t>
            </w:r>
          </w:p>
        </w:tc>
        <w:tc>
          <w:tcPr/>
          <w:p>
            <w:pPr>
              <w:pStyle w:val="Compact"/>
            </w:pPr>
            <w:r>
              <w:t xml:space="preserve">n/a</w:t>
            </w:r>
          </w:p>
        </w:tc>
        <w:tc>
          <w:tcPr/>
          <w:p>
            <w:pPr>
              <w:pStyle w:val="Compact"/>
            </w:pPr>
            <w:r>
              <w:t xml:space="preserve">1.17</w:t>
            </w:r>
          </w:p>
        </w:tc>
        <w:tc>
          <w:tcPr/>
          <w:p>
            <w:pPr>
              <w:pStyle w:val="Compact"/>
            </w:pPr>
            <w:r>
              <w:t xml:space="preserve">&lt;0.001</w:t>
            </w:r>
          </w:p>
        </w:tc>
      </w:tr>
      <w:tr>
        <w:tc>
          <w:tcPr/>
          <w:p>
            <w:pPr>
              <w:pStyle w:val="Compact"/>
            </w:pPr>
            <w:r>
              <w:rPr>
                <w:b/>
                <w:bCs/>
              </w:rPr>
              <w:t xml:space="preserve">Certification-gated: URPS share (time-varying)</w:t>
            </w:r>
          </w:p>
        </w:tc>
        <w:tc>
          <w:tcPr/>
          <w:p>
            <w:pPr>
              <w:pStyle w:val="Compact"/>
            </w:pPr>
            <w:r>
              <w:rPr>
                <w:b/>
                <w:bCs/>
              </w:rPr>
              <w:t xml:space="preserve">43.6% → 66.9%</w:t>
            </w:r>
          </w:p>
        </w:tc>
        <w:tc>
          <w:tcPr/>
          <w:p>
            <w:pPr>
              <w:pStyle w:val="Compact"/>
            </w:pPr>
            <w:r>
              <w:rPr>
                <w:b/>
                <w:bCs/>
              </w:rPr>
              <w:t xml:space="preserve">1.76</w:t>
            </w:r>
          </w:p>
        </w:tc>
        <w:tc>
          <w:tcPr/>
          <w:p>
            <w:pPr>
              <w:pStyle w:val="Compact"/>
            </w:pPr>
            <w:r>
              <w:rPr>
                <w:b/>
                <w:bCs/>
              </w:rPr>
              <w:t xml:space="preserve">&lt;0.001</w:t>
            </w:r>
          </w:p>
        </w:tc>
      </w:tr>
      <w:tr>
        <w:tc>
          <w:tcPr/>
          <w:p>
            <w:pPr>
              <w:pStyle w:val="Compact"/>
            </w:pPr>
            <w:r>
              <w:t xml:space="preserve">Certification-gated: OB/GYN-based share (time-varying)</w:t>
            </w:r>
          </w:p>
        </w:tc>
        <w:tc>
          <w:tcPr/>
          <w:p>
            <w:pPr>
              <w:pStyle w:val="Compact"/>
            </w:pPr>
            <w:r>
              <w:t xml:space="preserve">n/a</w:t>
            </w:r>
          </w:p>
        </w:tc>
        <w:tc>
          <w:tcPr/>
          <w:p>
            <w:pPr>
              <w:pStyle w:val="Compact"/>
            </w:pPr>
            <w:r>
              <w:t xml:space="preserve">0.79</w:t>
            </w:r>
          </w:p>
        </w:tc>
        <w:tc>
          <w:tcPr/>
          <w:p>
            <w:pPr>
              <w:pStyle w:val="Compact"/>
            </w:pPr>
            <w:r>
              <w:t xml:space="preserve">&lt;0.001</w:t>
            </w:r>
          </w:p>
        </w:tc>
      </w:tr>
    </w:tbl>
    <w:p>
      <w:r>
        <w:pict>
          <v:rect style="width:0;height:1.5pt" o:hralign="center" o:hrstd="t" o:hr="t"/>
        </w:pict>
      </w:r>
    </w:p>
    <w:bookmarkEnd w:id="33"/>
    <w:bookmarkStart w:id="43" w:name="figures"/>
    <w:p>
      <w:pPr>
        <w:pStyle w:val="Heading2"/>
      </w:pPr>
      <w:r>
        <w:t xml:space="preserve">Figures</w:t>
      </w:r>
    </w:p>
    <w:p>
      <w:pPr>
        <w:pStyle w:val="FirstParagraph"/>
      </w:pPr>
      <w:r>
        <w:drawing>
          <wp:inline>
            <wp:extent cx="5334000" cy="3259666"/>
            <wp:effectExtent b="0" l="0" r="0" t="0"/>
            <wp:docPr descr="" title="" id="35" name="Picture"/>
            <a:graphic>
              <a:graphicData uri="http://schemas.openxmlformats.org/drawingml/2006/picture">
                <pic:pic>
                  <pic:nvPicPr>
                    <pic:cNvPr descr="/Users/tylermuffly/sling-volume-patterns/output/figures/figure_rate_per_100k.png" id="36" name="Picture"/>
                    <pic:cNvPicPr>
                      <a:picLocks noChangeArrowheads="1" noChangeAspect="1"/>
                    </pic:cNvPicPr>
                  </pic:nvPicPr>
                  <pic:blipFill>
                    <a:blip r:embed="rId34"/>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Utilization of sling surgery for stress urinary incontinence (CPT 57288) in fee-for-service Medicare, 2013–2023. Bars show reported services; the line shows the denominator-adjusted rate per 100,000 female Part B fee-for-service beneficiaries. The rate declined less than the raw count (-15.3% versus -27.7%) because the fee-for-service population contracted by -14.7%; the linear trend in the rate was not significant (p = 0.098).</w:t>
      </w:r>
    </w:p>
    <w:p>
      <w:pPr>
        <w:pStyle w:val="BodyText"/>
      </w:pPr>
      <w:r>
        <w:drawing>
          <wp:inline>
            <wp:extent cx="5334000" cy="3368842"/>
            <wp:effectExtent b="0" l="0" r="0" t="0"/>
            <wp:docPr descr="" title="" id="38" name="Picture"/>
            <a:graphic>
              <a:graphicData uri="http://schemas.openxmlformats.org/drawingml/2006/picture">
                <pic:pic>
                  <pic:nvPicPr>
                    <pic:cNvPr descr="/Users/tylermuffly/sling-volume-patterns/output/figures/figure_market_share.png" id="39" name="Picture"/>
                    <pic:cNvPicPr>
                      <a:picLocks noChangeArrowheads="1" noChangeAspect="1"/>
                    </pic:cNvPicPr>
                  </pic:nvPicPr>
                  <pic:blipFill>
                    <a:blip r:embed="rId37"/>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Market share of sling operations for stress urinary incontinence (CPT 57288) by specialty, fee-for-service Medicare PUF 2013–2023. Stacked areas are the fixed-membership specialty shares; the two black lines are the URPS share under fixed-membership (solid) and certification-gated (dashed) classification. Fixed membership (all-pathway URPS share 55.1% to 68%; +1.12 percentage points/year) and certification-gated classification (43.6% to 66.9%; +1.76 percentage points/year) differ in the estimated rate of increase and converge by 2023.</w:t>
      </w:r>
    </w:p>
    <w:p>
      <w:pPr>
        <w:pStyle w:val="BodyText"/>
      </w:pPr>
      <w:r>
        <w:drawing>
          <wp:inline>
            <wp:extent cx="5334000" cy="3879272"/>
            <wp:effectExtent b="0" l="0" r="0" t="0"/>
            <wp:docPr descr="" title="" id="41" name="Picture"/>
            <a:graphic>
              <a:graphicData uri="http://schemas.openxmlformats.org/drawingml/2006/picture">
                <pic:pic>
                  <pic:nvPicPr>
                    <pic:cNvPr descr="/Users/tylermuffly/sling-volume-patterns/output/figures/figure_classification_flow.png" id="42" name="Picture"/>
                    <pic:cNvPicPr>
                      <a:picLocks noChangeArrowheads="1" noChangeAspect="1"/>
                    </pic:cNvPicPr>
                  </pic:nvPicPr>
                  <pic:blipFill>
                    <a:blip r:embed="rId40"/>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Provider-classification flow for CPT 57288. Billers are assigned to specialty groups by CMS provider type cross-referenced with the ABOG and ABU rosters. Billers with neither an OB/GYN nor urology CMS type and no ABOG match (323 NPIs) are predominantly organizations and non-physician clinicians; organizational NPIs (NPPES entity type 2: ambulatory surgical centers, hospitals, laboratories; 123) are excluded and the remaining individual clinicians (200) form an Other/uncertain group, rather than being counted as urologists. Specialty-specific counts exceed the analytic cohort because some physicians changed groups across years.</w:t>
      </w:r>
    </w:p>
    <w:p>
      <w:r>
        <w:pict>
          <v:rect style="width:0;height:1.5pt" o:hralign="center" o:hrstd="t" o:hr="t"/>
        </w:pict>
      </w:r>
    </w:p>
    <w:bookmarkEnd w:id="43"/>
    <w:bookmarkStart w:id="44" w:name="supplementary-information"/>
    <w:p>
      <w:pPr>
        <w:pStyle w:val="Heading2"/>
      </w:pPr>
      <w:r>
        <w:t xml:space="preserve">Supplementary Information</w:t>
      </w:r>
    </w:p>
    <w:p>
      <w:pPr>
        <w:pStyle w:val="FirstParagraph"/>
      </w:pPr>
      <w:r>
        <w:t xml:space="preserve">Supplementary tables are generated by pipeline step 06 from the same frozen cache as the main results, so they remain consistent with the numbers above.</w:t>
      </w:r>
    </w:p>
    <w:p>
      <w:pPr>
        <w:pStyle w:val="BodyText"/>
      </w:pPr>
      <w:r>
        <w:rPr>
          <w:b/>
          <w:bCs/>
        </w:rPr>
        <w:t xml:space="preserve">Supplementary Table S1.</w:t>
      </w:r>
      <w:r>
        <w:t xml:space="preserve"> </w:t>
      </w:r>
      <w:r>
        <w:t xml:space="preserve">Annual procedural concentration by calendar year and specialty. Total procedures, observable surgeons, median annual volume, Gini coefficient, HHI, and top-decile, top-quintile, and bottom-half shares are reported for every year. Within-year concentration was low and stable across the study period.</w:t>
      </w:r>
    </w:p>
    <w:tbl>
      <w:tblPr>
        <w:tblStyle w:val="Table"/>
        <w:tblW w:type="pct" w:w="5000"/>
        <w:tblLayout w:type="fixed"/>
        <w:tblLook w:firstRow="1" w:lastRow="0" w:firstColumn="0" w:lastColumn="0" w:noHBand="0" w:noVBand="0" w:val="0020"/>
      </w:tblPr>
      <w:tblGrid>
        <w:gridCol w:w="424"/>
        <w:gridCol w:w="1202"/>
        <w:gridCol w:w="848"/>
        <w:gridCol w:w="990"/>
        <w:gridCol w:w="1272"/>
        <w:gridCol w:w="495"/>
        <w:gridCol w:w="565"/>
        <w:gridCol w:w="636"/>
        <w:gridCol w:w="636"/>
        <w:gridCol w:w="848"/>
      </w:tblGrid>
      <w:tr>
        <w:trPr>
          <w:tblHeader w:val="on"/>
        </w:trPr>
        <w:tc>
          <w:tcPr/>
          <w:p>
            <w:pPr>
              <w:pStyle w:val="Compact"/>
            </w:pPr>
            <w:r>
              <w:t xml:space="preserve">Year</w:t>
            </w:r>
          </w:p>
        </w:tc>
        <w:tc>
          <w:tcPr/>
          <w:p>
            <w:pPr>
              <w:pStyle w:val="Compact"/>
            </w:pPr>
            <w:r>
              <w:t xml:space="preserve">Specialty</w:t>
            </w:r>
          </w:p>
        </w:tc>
        <w:tc>
          <w:tcPr/>
          <w:p>
            <w:pPr>
              <w:pStyle w:val="Compact"/>
            </w:pPr>
            <w:r>
              <w:t xml:space="preserve">N surgeons</w:t>
            </w:r>
          </w:p>
        </w:tc>
        <w:tc>
          <w:tcPr/>
          <w:p>
            <w:pPr>
              <w:pStyle w:val="Compact"/>
            </w:pPr>
            <w:r>
              <w:t xml:space="preserve">N procedures</w:t>
            </w:r>
          </w:p>
        </w:tc>
        <w:tc>
          <w:tcPr/>
          <w:p>
            <w:pPr>
              <w:pStyle w:val="Compact"/>
            </w:pPr>
            <w:r>
              <w:t xml:space="preserve">Median (p25–p75)</w:t>
            </w:r>
          </w:p>
        </w:tc>
        <w:tc>
          <w:tcPr/>
          <w:p>
            <w:pPr>
              <w:pStyle w:val="Compact"/>
            </w:pPr>
            <w:r>
              <w:t xml:space="preserve">Gini</w:t>
            </w:r>
          </w:p>
        </w:tc>
        <w:tc>
          <w:tcPr/>
          <w:p>
            <w:pPr>
              <w:pStyle w:val="Compact"/>
            </w:pPr>
            <w:r>
              <w:t xml:space="preserve">HHI</w:t>
            </w:r>
          </w:p>
        </w:tc>
        <w:tc>
          <w:tcPr/>
          <w:p>
            <w:pPr>
              <w:pStyle w:val="Compact"/>
            </w:pPr>
            <w:r>
              <w:t xml:space="preserve">Top 10%</w:t>
            </w:r>
          </w:p>
        </w:tc>
        <w:tc>
          <w:tcPr/>
          <w:p>
            <w:pPr>
              <w:pStyle w:val="Compact"/>
            </w:pPr>
            <w:r>
              <w:t xml:space="preserve">Top 20%</w:t>
            </w:r>
          </w:p>
        </w:tc>
        <w:tc>
          <w:tcPr/>
          <w:p>
            <w:pPr>
              <w:pStyle w:val="Compact"/>
            </w:pPr>
            <w:r>
              <w:t xml:space="preserve">Bottom 50%</w:t>
            </w:r>
          </w:p>
        </w:tc>
      </w:tr>
      <w:tr>
        <w:tc>
          <w:tcPr/>
          <w:p>
            <w:pPr>
              <w:pStyle w:val="Compact"/>
            </w:pPr>
            <w:r>
              <w:t xml:space="preserve">2013</w:t>
            </w:r>
          </w:p>
        </w:tc>
        <w:tc>
          <w:tcPr/>
          <w:p>
            <w:pPr>
              <w:pStyle w:val="Compact"/>
            </w:pPr>
            <w:r>
              <w:t xml:space="preserve">All</w:t>
            </w:r>
          </w:p>
        </w:tc>
        <w:tc>
          <w:tcPr/>
          <w:p>
            <w:pPr>
              <w:pStyle w:val="Compact"/>
            </w:pPr>
            <w:r>
              <w:t xml:space="preserve">779</w:t>
            </w:r>
          </w:p>
        </w:tc>
        <w:tc>
          <w:tcPr/>
          <w:p>
            <w:pPr>
              <w:pStyle w:val="Compact"/>
            </w:pPr>
            <w:r>
              <w:t xml:space="preserve">15872</w:t>
            </w:r>
          </w:p>
        </w:tc>
        <w:tc>
          <w:tcPr/>
          <w:p>
            <w:pPr>
              <w:pStyle w:val="Compact"/>
            </w:pPr>
            <w:r>
              <w:t xml:space="preserve">16 (13–23)</w:t>
            </w:r>
          </w:p>
        </w:tc>
        <w:tc>
          <w:tcPr/>
          <w:p>
            <w:pPr>
              <w:pStyle w:val="Compact"/>
            </w:pPr>
            <w:r>
              <w:t xml:space="preserve">0.275</w:t>
            </w:r>
          </w:p>
        </w:tc>
        <w:tc>
          <w:tcPr/>
          <w:p>
            <w:pPr>
              <w:pStyle w:val="Compact"/>
            </w:pPr>
            <w:r>
              <w:t xml:space="preserve">17.3</w:t>
            </w:r>
          </w:p>
        </w:tc>
        <w:tc>
          <w:tcPr/>
          <w:p>
            <w:pPr>
              <w:pStyle w:val="Compact"/>
            </w:pPr>
            <w:r>
              <w:t xml:space="preserve">24.4%</w:t>
            </w:r>
          </w:p>
        </w:tc>
        <w:tc>
          <w:tcPr/>
          <w:p>
            <w:pPr>
              <w:pStyle w:val="Compact"/>
            </w:pPr>
            <w:r>
              <w:t xml:space="preserve">39.3%</w:t>
            </w:r>
          </w:p>
        </w:tc>
        <w:tc>
          <w:tcPr/>
          <w:p>
            <w:pPr>
              <w:pStyle w:val="Compact"/>
            </w:pPr>
            <w:r>
              <w:t xml:space="preserve">31.5%</w:t>
            </w:r>
          </w:p>
        </w:tc>
      </w:tr>
      <w:tr>
        <w:tc>
          <w:tcPr/>
          <w:p>
            <w:pPr>
              <w:pStyle w:val="Compact"/>
            </w:pPr>
            <w:r>
              <w:t xml:space="preserve">2013</w:t>
            </w:r>
          </w:p>
        </w:tc>
        <w:tc>
          <w:tcPr/>
          <w:p>
            <w:pPr>
              <w:pStyle w:val="Compact"/>
            </w:pPr>
            <w:r>
              <w:t xml:space="preserve">MIGS</w:t>
            </w:r>
          </w:p>
        </w:tc>
        <w:tc>
          <w:tcPr/>
          <w:p>
            <w:pPr>
              <w:pStyle w:val="Compact"/>
            </w:pPr>
            <w:r>
              <w:t xml:space="preserve">3</w:t>
            </w:r>
          </w:p>
        </w:tc>
        <w:tc>
          <w:tcPr/>
          <w:p>
            <w:pPr>
              <w:pStyle w:val="Compact"/>
            </w:pPr>
            <w:r>
              <w:t xml:space="preserve">35</w:t>
            </w:r>
          </w:p>
        </w:tc>
        <w:tc>
          <w:tcPr/>
          <w:p>
            <w:pPr>
              <w:pStyle w:val="Compact"/>
            </w:pPr>
            <w:r>
              <w:t xml:space="preserve">12 (12–12)</w:t>
            </w:r>
          </w:p>
        </w:tc>
        <w:tc>
          <w:tcPr/>
          <w:p>
            <w:pPr>
              <w:pStyle w:val="Compact"/>
            </w:pPr>
            <w:r>
              <w:t xml:space="preserve">0.019</w:t>
            </w:r>
          </w:p>
        </w:tc>
        <w:tc>
          <w:tcPr/>
          <w:p>
            <w:pPr>
              <w:pStyle w:val="Compact"/>
            </w:pPr>
            <w:r>
              <w:t xml:space="preserve">3338.8</w:t>
            </w:r>
          </w:p>
        </w:tc>
        <w:tc>
          <w:tcPr/>
          <w:p>
            <w:pPr>
              <w:pStyle w:val="Compact"/>
            </w:pPr>
            <w:r>
              <w:t xml:space="preserve">34.3%</w:t>
            </w:r>
          </w:p>
        </w:tc>
        <w:tc>
          <w:tcPr/>
          <w:p>
            <w:pPr>
              <w:pStyle w:val="Compact"/>
            </w:pPr>
            <w:r>
              <w:t xml:space="preserve">34.3%</w:t>
            </w:r>
          </w:p>
        </w:tc>
        <w:tc>
          <w:tcPr/>
          <w:p>
            <w:pPr>
              <w:pStyle w:val="Compact"/>
            </w:pPr>
            <w:r>
              <w:t xml:space="preserve">31.4%</w:t>
            </w:r>
          </w:p>
        </w:tc>
      </w:tr>
      <w:tr>
        <w:tc>
          <w:tcPr/>
          <w:p>
            <w:pPr>
              <w:pStyle w:val="Compact"/>
            </w:pPr>
            <w:r>
              <w:t xml:space="preserve">2013</w:t>
            </w:r>
          </w:p>
        </w:tc>
        <w:tc>
          <w:tcPr/>
          <w:p>
            <w:pPr>
              <w:pStyle w:val="Compact"/>
            </w:pPr>
            <w:r>
              <w:t xml:space="preserve">General OB/GYN</w:t>
            </w:r>
          </w:p>
        </w:tc>
        <w:tc>
          <w:tcPr/>
          <w:p>
            <w:pPr>
              <w:pStyle w:val="Compact"/>
            </w:pPr>
            <w:r>
              <w:t xml:space="preserve">142</w:t>
            </w:r>
          </w:p>
        </w:tc>
        <w:tc>
          <w:tcPr/>
          <w:p>
            <w:pPr>
              <w:pStyle w:val="Compact"/>
            </w:pPr>
            <w:r>
              <w:t xml:space="preserve">2580</w:t>
            </w:r>
          </w:p>
        </w:tc>
        <w:tc>
          <w:tcPr/>
          <w:p>
            <w:pPr>
              <w:pStyle w:val="Compact"/>
            </w:pPr>
            <w:r>
              <w:t xml:space="preserve">14 (12–20)</w:t>
            </w:r>
          </w:p>
        </w:tc>
        <w:tc>
          <w:tcPr/>
          <w:p>
            <w:pPr>
              <w:pStyle w:val="Compact"/>
            </w:pPr>
            <w:r>
              <w:t xml:space="preserve">0.257</w:t>
            </w:r>
          </w:p>
        </w:tc>
        <w:tc>
          <w:tcPr/>
          <w:p>
            <w:pPr>
              <w:pStyle w:val="Compact"/>
            </w:pPr>
            <w:r>
              <w:t xml:space="preserve">93.1</w:t>
            </w:r>
          </w:p>
        </w:tc>
        <w:tc>
          <w:tcPr/>
          <w:p>
            <w:pPr>
              <w:pStyle w:val="Compact"/>
            </w:pPr>
            <w:r>
              <w:t xml:space="preserve">25.2%</w:t>
            </w:r>
          </w:p>
        </w:tc>
        <w:tc>
          <w:tcPr/>
          <w:p>
            <w:pPr>
              <w:pStyle w:val="Compact"/>
            </w:pPr>
            <w:r>
              <w:t xml:space="preserve">39.0%</w:t>
            </w:r>
          </w:p>
        </w:tc>
        <w:tc>
          <w:tcPr/>
          <w:p>
            <w:pPr>
              <w:pStyle w:val="Compact"/>
            </w:pPr>
            <w:r>
              <w:t xml:space="preserve">33.1%</w:t>
            </w:r>
          </w:p>
        </w:tc>
      </w:tr>
      <w:tr>
        <w:tc>
          <w:tcPr/>
          <w:p>
            <w:pPr>
              <w:pStyle w:val="Compact"/>
            </w:pPr>
            <w:r>
              <w:t xml:space="preserve">2013</w:t>
            </w:r>
          </w:p>
        </w:tc>
        <w:tc>
          <w:tcPr/>
          <w:p>
            <w:pPr>
              <w:pStyle w:val="Compact"/>
            </w:pPr>
            <w:r>
              <w:t xml:space="preserve">Urology</w:t>
            </w:r>
          </w:p>
        </w:tc>
        <w:tc>
          <w:tcPr/>
          <w:p>
            <w:pPr>
              <w:pStyle w:val="Compact"/>
            </w:pPr>
            <w:r>
              <w:t xml:space="preserve">211</w:t>
            </w:r>
          </w:p>
        </w:tc>
        <w:tc>
          <w:tcPr/>
          <w:p>
            <w:pPr>
              <w:pStyle w:val="Compact"/>
            </w:pPr>
            <w:r>
              <w:t xml:space="preserve">3563</w:t>
            </w:r>
          </w:p>
        </w:tc>
        <w:tc>
          <w:tcPr/>
          <w:p>
            <w:pPr>
              <w:pStyle w:val="Compact"/>
            </w:pPr>
            <w:r>
              <w:t xml:space="preserve">15 (12–19)</w:t>
            </w:r>
          </w:p>
        </w:tc>
        <w:tc>
          <w:tcPr/>
          <w:p>
            <w:pPr>
              <w:pStyle w:val="Compact"/>
            </w:pPr>
            <w:r>
              <w:t xml:space="preserve">0.198</w:t>
            </w:r>
          </w:p>
        </w:tc>
        <w:tc>
          <w:tcPr/>
          <w:p>
            <w:pPr>
              <w:pStyle w:val="Compact"/>
            </w:pPr>
            <w:r>
              <w:t xml:space="preserve">55.9</w:t>
            </w:r>
          </w:p>
        </w:tc>
        <w:tc>
          <w:tcPr/>
          <w:p>
            <w:pPr>
              <w:pStyle w:val="Compact"/>
            </w:pPr>
            <w:r>
              <w:t xml:space="preserve">20.8%</w:t>
            </w:r>
          </w:p>
        </w:tc>
        <w:tc>
          <w:tcPr/>
          <w:p>
            <w:pPr>
              <w:pStyle w:val="Compact"/>
            </w:pPr>
            <w:r>
              <w:t xml:space="preserve">33.7%</w:t>
            </w:r>
          </w:p>
        </w:tc>
        <w:tc>
          <w:tcPr/>
          <w:p>
            <w:pPr>
              <w:pStyle w:val="Compact"/>
            </w:pPr>
            <w:r>
              <w:t xml:space="preserve">36.3%</w:t>
            </w:r>
          </w:p>
        </w:tc>
      </w:tr>
      <w:tr>
        <w:tc>
          <w:tcPr/>
          <w:p>
            <w:pPr>
              <w:pStyle w:val="Compact"/>
            </w:pPr>
            <w:r>
              <w:t xml:space="preserve">2013</w:t>
            </w:r>
          </w:p>
        </w:tc>
        <w:tc>
          <w:tcPr/>
          <w:p>
            <w:pPr>
              <w:pStyle w:val="Compact"/>
            </w:pPr>
            <w:r>
              <w:t xml:space="preserve">Other/uncertain</w:t>
            </w:r>
          </w:p>
        </w:tc>
        <w:tc>
          <w:tcPr/>
          <w:p>
            <w:pPr>
              <w:pStyle w:val="Compact"/>
            </w:pPr>
            <w:r>
              <w:t xml:space="preserve">38</w:t>
            </w:r>
          </w:p>
        </w:tc>
        <w:tc>
          <w:tcPr/>
          <w:p>
            <w:pPr>
              <w:pStyle w:val="Compact"/>
            </w:pPr>
            <w:r>
              <w:t xml:space="preserve">945</w:t>
            </w:r>
          </w:p>
        </w:tc>
        <w:tc>
          <w:tcPr/>
          <w:p>
            <w:pPr>
              <w:pStyle w:val="Compact"/>
            </w:pPr>
            <w:r>
              <w:t xml:space="preserve">15 (12–35)</w:t>
            </w:r>
          </w:p>
        </w:tc>
        <w:tc>
          <w:tcPr/>
          <w:p>
            <w:pPr>
              <w:pStyle w:val="Compact"/>
            </w:pPr>
            <w:r>
              <w:t xml:space="preserve">0.363</w:t>
            </w:r>
          </w:p>
        </w:tc>
        <w:tc>
          <w:tcPr/>
          <w:p>
            <w:pPr>
              <w:pStyle w:val="Compact"/>
            </w:pPr>
            <w:r>
              <w:t xml:space="preserve">408.8</w:t>
            </w:r>
          </w:p>
        </w:tc>
        <w:tc>
          <w:tcPr/>
          <w:p>
            <w:pPr>
              <w:pStyle w:val="Compact"/>
            </w:pPr>
            <w:r>
              <w:t xml:space="preserve">28.5%</w:t>
            </w:r>
          </w:p>
        </w:tc>
        <w:tc>
          <w:tcPr/>
          <w:p>
            <w:pPr>
              <w:pStyle w:val="Compact"/>
            </w:pPr>
            <w:r>
              <w:t xml:space="preserve">47.4%</w:t>
            </w:r>
          </w:p>
        </w:tc>
        <w:tc>
          <w:tcPr/>
          <w:p>
            <w:pPr>
              <w:pStyle w:val="Compact"/>
            </w:pPr>
            <w:r>
              <w:t xml:space="preserve">25.4%</w:t>
            </w:r>
          </w:p>
        </w:tc>
      </w:tr>
      <w:tr>
        <w:tc>
          <w:tcPr/>
          <w:p>
            <w:pPr>
              <w:pStyle w:val="Compact"/>
            </w:pPr>
            <w:r>
              <w:t xml:space="preserve">2013</w:t>
            </w:r>
          </w:p>
        </w:tc>
        <w:tc>
          <w:tcPr/>
          <w:p>
            <w:pPr>
              <w:pStyle w:val="Compact"/>
            </w:pPr>
            <w:r>
              <w:t xml:space="preserve">URPS (OB/GYN)</w:t>
            </w:r>
          </w:p>
        </w:tc>
        <w:tc>
          <w:tcPr/>
          <w:p>
            <w:pPr>
              <w:pStyle w:val="Compact"/>
            </w:pPr>
            <w:r>
              <w:t xml:space="preserve">304</w:t>
            </w:r>
          </w:p>
        </w:tc>
        <w:tc>
          <w:tcPr/>
          <w:p>
            <w:pPr>
              <w:pStyle w:val="Compact"/>
            </w:pPr>
            <w:r>
              <w:t xml:space="preserve">7266</w:t>
            </w:r>
          </w:p>
        </w:tc>
        <w:tc>
          <w:tcPr/>
          <w:p>
            <w:pPr>
              <w:pStyle w:val="Compact"/>
            </w:pPr>
            <w:r>
              <w:t xml:space="preserve">19 (14–29)</w:t>
            </w:r>
          </w:p>
        </w:tc>
        <w:tc>
          <w:tcPr/>
          <w:p>
            <w:pPr>
              <w:pStyle w:val="Compact"/>
            </w:pPr>
            <w:r>
              <w:t xml:space="preserve">0.294</w:t>
            </w:r>
          </w:p>
        </w:tc>
        <w:tc>
          <w:tcPr/>
          <w:p>
            <w:pPr>
              <w:pStyle w:val="Compact"/>
            </w:pPr>
            <w:r>
              <w:t xml:space="preserve">44.3</w:t>
            </w:r>
          </w:p>
        </w:tc>
        <w:tc>
          <w:tcPr/>
          <w:p>
            <w:pPr>
              <w:pStyle w:val="Compact"/>
            </w:pPr>
            <w:r>
              <w:t xml:space="preserve">24.2%</w:t>
            </w:r>
          </w:p>
        </w:tc>
        <w:tc>
          <w:tcPr/>
          <w:p>
            <w:pPr>
              <w:pStyle w:val="Compact"/>
            </w:pPr>
            <w:r>
              <w:t xml:space="preserve">39.4%</w:t>
            </w:r>
          </w:p>
        </w:tc>
        <w:tc>
          <w:tcPr/>
          <w:p>
            <w:pPr>
              <w:pStyle w:val="Compact"/>
            </w:pPr>
            <w:r>
              <w:t xml:space="preserve">29.8%</w:t>
            </w:r>
          </w:p>
        </w:tc>
      </w:tr>
      <w:tr>
        <w:tc>
          <w:tcPr/>
          <w:p>
            <w:pPr>
              <w:pStyle w:val="Compact"/>
            </w:pPr>
            <w:r>
              <w:t xml:space="preserve">2013</w:t>
            </w:r>
          </w:p>
        </w:tc>
        <w:tc>
          <w:tcPr/>
          <w:p>
            <w:pPr>
              <w:pStyle w:val="Compact"/>
            </w:pPr>
            <w:r>
              <w:t xml:space="preserve">URPS (urology)</w:t>
            </w:r>
          </w:p>
        </w:tc>
        <w:tc>
          <w:tcPr/>
          <w:p>
            <w:pPr>
              <w:pStyle w:val="Compact"/>
            </w:pPr>
            <w:r>
              <w:t xml:space="preserve">81</w:t>
            </w:r>
          </w:p>
        </w:tc>
        <w:tc>
          <w:tcPr/>
          <w:p>
            <w:pPr>
              <w:pStyle w:val="Compact"/>
            </w:pPr>
            <w:r>
              <w:t xml:space="preserve">1483</w:t>
            </w:r>
          </w:p>
        </w:tc>
        <w:tc>
          <w:tcPr/>
          <w:p>
            <w:pPr>
              <w:pStyle w:val="Compact"/>
            </w:pPr>
            <w:r>
              <w:t xml:space="preserve">16 (14–20)</w:t>
            </w:r>
          </w:p>
        </w:tc>
        <w:tc>
          <w:tcPr/>
          <w:p>
            <w:pPr>
              <w:pStyle w:val="Compact"/>
            </w:pPr>
            <w:r>
              <w:t xml:space="preserve">0.199</w:t>
            </w:r>
          </w:p>
        </w:tc>
        <w:tc>
          <w:tcPr/>
          <w:p>
            <w:pPr>
              <w:pStyle w:val="Compact"/>
            </w:pPr>
            <w:r>
              <w:t xml:space="preserve">146.1</w:t>
            </w:r>
          </w:p>
        </w:tc>
        <w:tc>
          <w:tcPr/>
          <w:p>
            <w:pPr>
              <w:pStyle w:val="Compact"/>
            </w:pPr>
            <w:r>
              <w:t xml:space="preserve">22.0%</w:t>
            </w:r>
          </w:p>
        </w:tc>
        <w:tc>
          <w:tcPr/>
          <w:p>
            <w:pPr>
              <w:pStyle w:val="Compact"/>
            </w:pPr>
            <w:r>
              <w:t xml:space="preserve">34.3%</w:t>
            </w:r>
          </w:p>
        </w:tc>
        <w:tc>
          <w:tcPr/>
          <w:p>
            <w:pPr>
              <w:pStyle w:val="Compact"/>
            </w:pPr>
            <w:r>
              <w:t xml:space="preserve">36.2%</w:t>
            </w:r>
          </w:p>
        </w:tc>
      </w:tr>
      <w:tr>
        <w:tc>
          <w:tcPr/>
          <w:p>
            <w:pPr>
              <w:pStyle w:val="Compact"/>
            </w:pPr>
            <w:r>
              <w:t xml:space="preserve">2014</w:t>
            </w:r>
          </w:p>
        </w:tc>
        <w:tc>
          <w:tcPr/>
          <w:p>
            <w:pPr>
              <w:pStyle w:val="Compact"/>
            </w:pPr>
            <w:r>
              <w:t xml:space="preserve">All</w:t>
            </w:r>
          </w:p>
        </w:tc>
        <w:tc>
          <w:tcPr/>
          <w:p>
            <w:pPr>
              <w:pStyle w:val="Compact"/>
            </w:pPr>
            <w:r>
              <w:t xml:space="preserve">656</w:t>
            </w:r>
          </w:p>
        </w:tc>
        <w:tc>
          <w:tcPr/>
          <w:p>
            <w:pPr>
              <w:pStyle w:val="Compact"/>
            </w:pPr>
            <w:r>
              <w:t xml:space="preserve">13725</w:t>
            </w:r>
          </w:p>
        </w:tc>
        <w:tc>
          <w:tcPr/>
          <w:p>
            <w:pPr>
              <w:pStyle w:val="Compact"/>
            </w:pPr>
            <w:r>
              <w:t xml:space="preserve">17 (13–24)</w:t>
            </w:r>
          </w:p>
        </w:tc>
        <w:tc>
          <w:tcPr/>
          <w:p>
            <w:pPr>
              <w:pStyle w:val="Compact"/>
            </w:pPr>
            <w:r>
              <w:t xml:space="preserve">0.269</w:t>
            </w:r>
          </w:p>
        </w:tc>
        <w:tc>
          <w:tcPr/>
          <w:p>
            <w:pPr>
              <w:pStyle w:val="Compact"/>
            </w:pPr>
            <w:r>
              <w:t xml:space="preserve">19.9</w:t>
            </w:r>
          </w:p>
        </w:tc>
        <w:tc>
          <w:tcPr/>
          <w:p>
            <w:pPr>
              <w:pStyle w:val="Compact"/>
            </w:pPr>
            <w:r>
              <w:t xml:space="preserve">23.2%</w:t>
            </w:r>
          </w:p>
        </w:tc>
        <w:tc>
          <w:tcPr/>
          <w:p>
            <w:pPr>
              <w:pStyle w:val="Compact"/>
            </w:pPr>
            <w:r>
              <w:t xml:space="preserve">38.5%</w:t>
            </w:r>
          </w:p>
        </w:tc>
        <w:tc>
          <w:tcPr/>
          <w:p>
            <w:pPr>
              <w:pStyle w:val="Compact"/>
            </w:pPr>
            <w:r>
              <w:t xml:space="preserve">31.6%</w:t>
            </w:r>
          </w:p>
        </w:tc>
      </w:tr>
      <w:tr>
        <w:tc>
          <w:tcPr/>
          <w:p>
            <w:pPr>
              <w:pStyle w:val="Compact"/>
            </w:pPr>
            <w:r>
              <w:t xml:space="preserve">2014</w:t>
            </w:r>
          </w:p>
        </w:tc>
        <w:tc>
          <w:tcPr/>
          <w:p>
            <w:pPr>
              <w:pStyle w:val="Compact"/>
            </w:pPr>
            <w:r>
              <w:t xml:space="preserve">MIGS</w:t>
            </w:r>
          </w:p>
        </w:tc>
        <w:tc>
          <w:tcPr/>
          <w:p>
            <w:pPr>
              <w:pStyle w:val="Compact"/>
            </w:pPr>
            <w:r>
              <w:t xml:space="preserve">3</w:t>
            </w:r>
          </w:p>
        </w:tc>
        <w:tc>
          <w:tcPr/>
          <w:p>
            <w:pPr>
              <w:pStyle w:val="Compact"/>
            </w:pPr>
            <w:r>
              <w:t xml:space="preserve">41</w:t>
            </w:r>
          </w:p>
        </w:tc>
        <w:tc>
          <w:tcPr/>
          <w:p>
            <w:pPr>
              <w:pStyle w:val="Compact"/>
            </w:pPr>
            <w:r>
              <w:t xml:space="preserve">13 (12–15)</w:t>
            </w:r>
          </w:p>
        </w:tc>
        <w:tc>
          <w:tcPr/>
          <w:p>
            <w:pPr>
              <w:pStyle w:val="Compact"/>
            </w:pPr>
            <w:r>
              <w:t xml:space="preserve">0.098</w:t>
            </w:r>
          </w:p>
        </w:tc>
        <w:tc>
          <w:tcPr/>
          <w:p>
            <w:pPr>
              <w:pStyle w:val="Compact"/>
            </w:pPr>
            <w:r>
              <w:t xml:space="preserve">3444.4</w:t>
            </w:r>
          </w:p>
        </w:tc>
        <w:tc>
          <w:tcPr/>
          <w:p>
            <w:pPr>
              <w:pStyle w:val="Compact"/>
            </w:pPr>
            <w:r>
              <w:t xml:space="preserve">41.5%</w:t>
            </w:r>
          </w:p>
        </w:tc>
        <w:tc>
          <w:tcPr/>
          <w:p>
            <w:pPr>
              <w:pStyle w:val="Compact"/>
            </w:pPr>
            <w:r>
              <w:t xml:space="preserve">41.5%</w:t>
            </w:r>
          </w:p>
        </w:tc>
        <w:tc>
          <w:tcPr/>
          <w:p>
            <w:pPr>
              <w:pStyle w:val="Compact"/>
            </w:pPr>
            <w:r>
              <w:t xml:space="preserve">26.8%</w:t>
            </w:r>
          </w:p>
        </w:tc>
      </w:tr>
      <w:tr>
        <w:tc>
          <w:tcPr/>
          <w:p>
            <w:pPr>
              <w:pStyle w:val="Compact"/>
            </w:pPr>
            <w:r>
              <w:t xml:space="preserve">2014</w:t>
            </w:r>
          </w:p>
        </w:tc>
        <w:tc>
          <w:tcPr/>
          <w:p>
            <w:pPr>
              <w:pStyle w:val="Compact"/>
            </w:pPr>
            <w:r>
              <w:t xml:space="preserve">General OB/GYN</w:t>
            </w:r>
          </w:p>
        </w:tc>
        <w:tc>
          <w:tcPr/>
          <w:p>
            <w:pPr>
              <w:pStyle w:val="Compact"/>
            </w:pPr>
            <w:r>
              <w:t xml:space="preserve">114</w:t>
            </w:r>
          </w:p>
        </w:tc>
        <w:tc>
          <w:tcPr/>
          <w:p>
            <w:pPr>
              <w:pStyle w:val="Compact"/>
            </w:pPr>
            <w:r>
              <w:t xml:space="preserve">2076</w:t>
            </w:r>
          </w:p>
        </w:tc>
        <w:tc>
          <w:tcPr/>
          <w:p>
            <w:pPr>
              <w:pStyle w:val="Compact"/>
            </w:pPr>
            <w:r>
              <w:t xml:space="preserve">15 (12–21)</w:t>
            </w:r>
          </w:p>
        </w:tc>
        <w:tc>
          <w:tcPr/>
          <w:p>
            <w:pPr>
              <w:pStyle w:val="Compact"/>
            </w:pPr>
            <w:r>
              <w:t xml:space="preserve">0.239</w:t>
            </w:r>
          </w:p>
        </w:tc>
        <w:tc>
          <w:tcPr/>
          <w:p>
            <w:pPr>
              <w:pStyle w:val="Compact"/>
            </w:pPr>
            <w:r>
              <w:t xml:space="preserve">108.2</w:t>
            </w:r>
          </w:p>
        </w:tc>
        <w:tc>
          <w:tcPr/>
          <w:p>
            <w:pPr>
              <w:pStyle w:val="Compact"/>
            </w:pPr>
            <w:r>
              <w:t xml:space="preserve">22.8%</w:t>
            </w:r>
          </w:p>
        </w:tc>
        <w:tc>
          <w:tcPr/>
          <w:p>
            <w:pPr>
              <w:pStyle w:val="Compact"/>
            </w:pPr>
            <w:r>
              <w:t xml:space="preserve">36.6%</w:t>
            </w:r>
          </w:p>
        </w:tc>
        <w:tc>
          <w:tcPr/>
          <w:p>
            <w:pPr>
              <w:pStyle w:val="Compact"/>
            </w:pPr>
            <w:r>
              <w:t xml:space="preserve">33.6%</w:t>
            </w:r>
          </w:p>
        </w:tc>
      </w:tr>
      <w:tr>
        <w:tc>
          <w:tcPr/>
          <w:p>
            <w:pPr>
              <w:pStyle w:val="Compact"/>
            </w:pPr>
            <w:r>
              <w:t xml:space="preserve">2014</w:t>
            </w:r>
          </w:p>
        </w:tc>
        <w:tc>
          <w:tcPr/>
          <w:p>
            <w:pPr>
              <w:pStyle w:val="Compact"/>
            </w:pPr>
            <w:r>
              <w:t xml:space="preserve">Urology</w:t>
            </w:r>
          </w:p>
        </w:tc>
        <w:tc>
          <w:tcPr/>
          <w:p>
            <w:pPr>
              <w:pStyle w:val="Compact"/>
            </w:pPr>
            <w:r>
              <w:t xml:space="preserve">152</w:t>
            </w:r>
          </w:p>
        </w:tc>
        <w:tc>
          <w:tcPr/>
          <w:p>
            <w:pPr>
              <w:pStyle w:val="Compact"/>
            </w:pPr>
            <w:r>
              <w:t xml:space="preserve">2577</w:t>
            </w:r>
          </w:p>
        </w:tc>
        <w:tc>
          <w:tcPr/>
          <w:p>
            <w:pPr>
              <w:pStyle w:val="Compact"/>
            </w:pPr>
            <w:r>
              <w:t xml:space="preserve">15 (12–19)</w:t>
            </w:r>
          </w:p>
        </w:tc>
        <w:tc>
          <w:tcPr/>
          <w:p>
            <w:pPr>
              <w:pStyle w:val="Compact"/>
            </w:pPr>
            <w:r>
              <w:t xml:space="preserve">0.198</w:t>
            </w:r>
          </w:p>
        </w:tc>
        <w:tc>
          <w:tcPr/>
          <w:p>
            <w:pPr>
              <w:pStyle w:val="Compact"/>
            </w:pPr>
            <w:r>
              <w:t xml:space="preserve">77.1</w:t>
            </w:r>
          </w:p>
        </w:tc>
        <w:tc>
          <w:tcPr/>
          <w:p>
            <w:pPr>
              <w:pStyle w:val="Compact"/>
            </w:pPr>
            <w:r>
              <w:t xml:space="preserve">21.0%</w:t>
            </w:r>
          </w:p>
        </w:tc>
        <w:tc>
          <w:tcPr/>
          <w:p>
            <w:pPr>
              <w:pStyle w:val="Compact"/>
            </w:pPr>
            <w:r>
              <w:t xml:space="preserve">33.6%</w:t>
            </w:r>
          </w:p>
        </w:tc>
        <w:tc>
          <w:tcPr/>
          <w:p>
            <w:pPr>
              <w:pStyle w:val="Compact"/>
            </w:pPr>
            <w:r>
              <w:t xml:space="preserve">36.6%</w:t>
            </w:r>
          </w:p>
        </w:tc>
      </w:tr>
      <w:tr>
        <w:tc>
          <w:tcPr/>
          <w:p>
            <w:pPr>
              <w:pStyle w:val="Compact"/>
            </w:pPr>
            <w:r>
              <w:t xml:space="preserve">2014</w:t>
            </w:r>
          </w:p>
        </w:tc>
        <w:tc>
          <w:tcPr/>
          <w:p>
            <w:pPr>
              <w:pStyle w:val="Compact"/>
            </w:pPr>
            <w:r>
              <w:t xml:space="preserve">Other/uncertain</w:t>
            </w:r>
          </w:p>
        </w:tc>
        <w:tc>
          <w:tcPr/>
          <w:p>
            <w:pPr>
              <w:pStyle w:val="Compact"/>
            </w:pPr>
            <w:r>
              <w:t xml:space="preserve">31</w:t>
            </w:r>
          </w:p>
        </w:tc>
        <w:tc>
          <w:tcPr/>
          <w:p>
            <w:pPr>
              <w:pStyle w:val="Compact"/>
            </w:pPr>
            <w:r>
              <w:t xml:space="preserve">762</w:t>
            </w:r>
          </w:p>
        </w:tc>
        <w:tc>
          <w:tcPr/>
          <w:p>
            <w:pPr>
              <w:pStyle w:val="Compact"/>
            </w:pPr>
            <w:r>
              <w:t xml:space="preserve">19 (12–32)</w:t>
            </w:r>
          </w:p>
        </w:tc>
        <w:tc>
          <w:tcPr/>
          <w:p>
            <w:pPr>
              <w:pStyle w:val="Compact"/>
            </w:pPr>
            <w:r>
              <w:t xml:space="preserve">0.341</w:t>
            </w:r>
          </w:p>
        </w:tc>
        <w:tc>
          <w:tcPr/>
          <w:p>
            <w:pPr>
              <w:pStyle w:val="Compact"/>
            </w:pPr>
            <w:r>
              <w:t xml:space="preserve">479.1</w:t>
            </w:r>
          </w:p>
        </w:tc>
        <w:tc>
          <w:tcPr/>
          <w:p>
            <w:pPr>
              <w:pStyle w:val="Compact"/>
            </w:pPr>
            <w:r>
              <w:t xml:space="preserve">30.7%</w:t>
            </w:r>
          </w:p>
        </w:tc>
        <w:tc>
          <w:tcPr/>
          <w:p>
            <w:pPr>
              <w:pStyle w:val="Compact"/>
            </w:pPr>
            <w:r>
              <w:t xml:space="preserve">45.9%</w:t>
            </w:r>
          </w:p>
        </w:tc>
        <w:tc>
          <w:tcPr/>
          <w:p>
            <w:pPr>
              <w:pStyle w:val="Compact"/>
            </w:pPr>
            <w:r>
              <w:t xml:space="preserve">24.4%</w:t>
            </w:r>
          </w:p>
        </w:tc>
      </w:tr>
      <w:tr>
        <w:tc>
          <w:tcPr/>
          <w:p>
            <w:pPr>
              <w:pStyle w:val="Compact"/>
            </w:pPr>
            <w:r>
              <w:t xml:space="preserve">2014</w:t>
            </w:r>
          </w:p>
        </w:tc>
        <w:tc>
          <w:tcPr/>
          <w:p>
            <w:pPr>
              <w:pStyle w:val="Compact"/>
            </w:pPr>
            <w:r>
              <w:t xml:space="preserve">URPS (OB/GYN)</w:t>
            </w:r>
          </w:p>
        </w:tc>
        <w:tc>
          <w:tcPr/>
          <w:p>
            <w:pPr>
              <w:pStyle w:val="Compact"/>
            </w:pPr>
            <w:r>
              <w:t xml:space="preserve">290</w:t>
            </w:r>
          </w:p>
        </w:tc>
        <w:tc>
          <w:tcPr/>
          <w:p>
            <w:pPr>
              <w:pStyle w:val="Compact"/>
            </w:pPr>
            <w:r>
              <w:t xml:space="preserve">6952</w:t>
            </w:r>
          </w:p>
        </w:tc>
        <w:tc>
          <w:tcPr/>
          <w:p>
            <w:pPr>
              <w:pStyle w:val="Compact"/>
            </w:pPr>
            <w:r>
              <w:t xml:space="preserve">20 (15–30)</w:t>
            </w:r>
          </w:p>
        </w:tc>
        <w:tc>
          <w:tcPr/>
          <w:p>
            <w:pPr>
              <w:pStyle w:val="Compact"/>
            </w:pPr>
            <w:r>
              <w:t xml:space="preserve">0.275</w:t>
            </w:r>
          </w:p>
        </w:tc>
        <w:tc>
          <w:tcPr/>
          <w:p>
            <w:pPr>
              <w:pStyle w:val="Compact"/>
            </w:pPr>
            <w:r>
              <w:t xml:space="preserve">44.8</w:t>
            </w:r>
          </w:p>
        </w:tc>
        <w:tc>
          <w:tcPr/>
          <w:p>
            <w:pPr>
              <w:pStyle w:val="Compact"/>
            </w:pPr>
            <w:r>
              <w:t xml:space="preserve">22.7%</w:t>
            </w:r>
          </w:p>
        </w:tc>
        <w:tc>
          <w:tcPr/>
          <w:p>
            <w:pPr>
              <w:pStyle w:val="Compact"/>
            </w:pPr>
            <w:r>
              <w:t xml:space="preserve">37.8%</w:t>
            </w:r>
          </w:p>
        </w:tc>
        <w:tc>
          <w:tcPr/>
          <w:p>
            <w:pPr>
              <w:pStyle w:val="Compact"/>
            </w:pPr>
            <w:r>
              <w:t xml:space="preserve">30.9%</w:t>
            </w:r>
          </w:p>
        </w:tc>
      </w:tr>
      <w:tr>
        <w:tc>
          <w:tcPr/>
          <w:p>
            <w:pPr>
              <w:pStyle w:val="Compact"/>
            </w:pPr>
            <w:r>
              <w:t xml:space="preserve">2014</w:t>
            </w:r>
          </w:p>
        </w:tc>
        <w:tc>
          <w:tcPr/>
          <w:p>
            <w:pPr>
              <w:pStyle w:val="Compact"/>
            </w:pPr>
            <w:r>
              <w:t xml:space="preserve">URPS (urology)</w:t>
            </w:r>
          </w:p>
        </w:tc>
        <w:tc>
          <w:tcPr/>
          <w:p>
            <w:pPr>
              <w:pStyle w:val="Compact"/>
            </w:pPr>
            <w:r>
              <w:t xml:space="preserve">66</w:t>
            </w:r>
          </w:p>
        </w:tc>
        <w:tc>
          <w:tcPr/>
          <w:p>
            <w:pPr>
              <w:pStyle w:val="Compact"/>
            </w:pPr>
            <w:r>
              <w:t xml:space="preserve">1317</w:t>
            </w:r>
          </w:p>
        </w:tc>
        <w:tc>
          <w:tcPr/>
          <w:p>
            <w:pPr>
              <w:pStyle w:val="Compact"/>
            </w:pPr>
            <w:r>
              <w:t xml:space="preserve">16 (13–23)</w:t>
            </w:r>
          </w:p>
        </w:tc>
        <w:tc>
          <w:tcPr/>
          <w:p>
            <w:pPr>
              <w:pStyle w:val="Compact"/>
            </w:pPr>
            <w:r>
              <w:t xml:space="preserve">0.250</w:t>
            </w:r>
          </w:p>
        </w:tc>
        <w:tc>
          <w:tcPr/>
          <w:p>
            <w:pPr>
              <w:pStyle w:val="Compact"/>
            </w:pPr>
            <w:r>
              <w:t xml:space="preserve">188.7</w:t>
            </w:r>
          </w:p>
        </w:tc>
        <w:tc>
          <w:tcPr/>
          <w:p>
            <w:pPr>
              <w:pStyle w:val="Compact"/>
            </w:pPr>
            <w:r>
              <w:t xml:space="preserve">22.9%</w:t>
            </w:r>
          </w:p>
        </w:tc>
        <w:tc>
          <w:tcPr/>
          <w:p>
            <w:pPr>
              <w:pStyle w:val="Compact"/>
            </w:pPr>
            <w:r>
              <w:t xml:space="preserve">38.6%</w:t>
            </w:r>
          </w:p>
        </w:tc>
        <w:tc>
          <w:tcPr/>
          <w:p>
            <w:pPr>
              <w:pStyle w:val="Compact"/>
            </w:pPr>
            <w:r>
              <w:t xml:space="preserve">32.5%</w:t>
            </w:r>
          </w:p>
        </w:tc>
      </w:tr>
      <w:tr>
        <w:tc>
          <w:tcPr/>
          <w:p>
            <w:pPr>
              <w:pStyle w:val="Compact"/>
            </w:pPr>
            <w:r>
              <w:t xml:space="preserve">2015</w:t>
            </w:r>
          </w:p>
        </w:tc>
        <w:tc>
          <w:tcPr/>
          <w:p>
            <w:pPr>
              <w:pStyle w:val="Compact"/>
            </w:pPr>
            <w:r>
              <w:t xml:space="preserve">All</w:t>
            </w:r>
          </w:p>
        </w:tc>
        <w:tc>
          <w:tcPr/>
          <w:p>
            <w:pPr>
              <w:pStyle w:val="Compact"/>
            </w:pPr>
            <w:r>
              <w:t xml:space="preserve">627</w:t>
            </w:r>
          </w:p>
        </w:tc>
        <w:tc>
          <w:tcPr/>
          <w:p>
            <w:pPr>
              <w:pStyle w:val="Compact"/>
            </w:pPr>
            <w:r>
              <w:t xml:space="preserve">12846</w:t>
            </w:r>
          </w:p>
        </w:tc>
        <w:tc>
          <w:tcPr/>
          <w:p>
            <w:pPr>
              <w:pStyle w:val="Compact"/>
            </w:pPr>
            <w:r>
              <w:t xml:space="preserve">16 (13–24)</w:t>
            </w:r>
          </w:p>
        </w:tc>
        <w:tc>
          <w:tcPr/>
          <w:p>
            <w:pPr>
              <w:pStyle w:val="Compact"/>
            </w:pPr>
            <w:r>
              <w:t xml:space="preserve">0.269</w:t>
            </w:r>
          </w:p>
        </w:tc>
        <w:tc>
          <w:tcPr/>
          <w:p>
            <w:pPr>
              <w:pStyle w:val="Compact"/>
            </w:pPr>
            <w:r>
              <w:t xml:space="preserve">21.1</w:t>
            </w:r>
          </w:p>
        </w:tc>
        <w:tc>
          <w:tcPr/>
          <w:p>
            <w:pPr>
              <w:pStyle w:val="Compact"/>
            </w:pPr>
            <w:r>
              <w:t xml:space="preserve">23.4%</w:t>
            </w:r>
          </w:p>
        </w:tc>
        <w:tc>
          <w:tcPr/>
          <w:p>
            <w:pPr>
              <w:pStyle w:val="Compact"/>
            </w:pPr>
            <w:r>
              <w:t xml:space="preserve">38.4%</w:t>
            </w:r>
          </w:p>
        </w:tc>
        <w:tc>
          <w:tcPr/>
          <w:p>
            <w:pPr>
              <w:pStyle w:val="Compact"/>
            </w:pPr>
            <w:r>
              <w:t xml:space="preserve">31.6%</w:t>
            </w:r>
          </w:p>
        </w:tc>
      </w:tr>
      <w:tr>
        <w:tc>
          <w:tcPr/>
          <w:p>
            <w:pPr>
              <w:pStyle w:val="Compact"/>
            </w:pPr>
            <w:r>
              <w:t xml:space="preserve">2015</w:t>
            </w:r>
          </w:p>
        </w:tc>
        <w:tc>
          <w:tcPr/>
          <w:p>
            <w:pPr>
              <w:pStyle w:val="Compact"/>
            </w:pPr>
            <w:r>
              <w:t xml:space="preserve">MIGS</w:t>
            </w:r>
          </w:p>
        </w:tc>
        <w:tc>
          <w:tcPr/>
          <w:p>
            <w:pPr>
              <w:pStyle w:val="Compact"/>
            </w:pPr>
            <w:r>
              <w:t xml:space="preserve">5</w:t>
            </w:r>
          </w:p>
        </w:tc>
        <w:tc>
          <w:tcPr/>
          <w:p>
            <w:pPr>
              <w:pStyle w:val="Compact"/>
            </w:pPr>
            <w:r>
              <w:t xml:space="preserve">66</w:t>
            </w:r>
          </w:p>
        </w:tc>
        <w:tc>
          <w:tcPr/>
          <w:p>
            <w:pPr>
              <w:pStyle w:val="Compact"/>
            </w:pPr>
            <w:r>
              <w:t xml:space="preserve">12 (11–15)</w:t>
            </w:r>
          </w:p>
        </w:tc>
        <w:tc>
          <w:tcPr/>
          <w:p>
            <w:pPr>
              <w:pStyle w:val="Compact"/>
            </w:pPr>
            <w:r>
              <w:t xml:space="preserve">0.097</w:t>
            </w:r>
          </w:p>
        </w:tc>
        <w:tc>
          <w:tcPr/>
          <w:p>
            <w:pPr>
              <w:pStyle w:val="Compact"/>
            </w:pPr>
            <w:r>
              <w:t xml:space="preserve">2066.1</w:t>
            </w:r>
          </w:p>
        </w:tc>
        <w:tc>
          <w:tcPr/>
          <w:p>
            <w:pPr>
              <w:pStyle w:val="Compact"/>
            </w:pPr>
            <w:r>
              <w:t xml:space="preserve">25.8%</w:t>
            </w:r>
          </w:p>
        </w:tc>
        <w:tc>
          <w:tcPr/>
          <w:p>
            <w:pPr>
              <w:pStyle w:val="Compact"/>
            </w:pPr>
            <w:r>
              <w:t xml:space="preserve">25.8%</w:t>
            </w:r>
          </w:p>
        </w:tc>
        <w:tc>
          <w:tcPr/>
          <w:p>
            <w:pPr>
              <w:pStyle w:val="Compact"/>
            </w:pPr>
            <w:r>
              <w:t xml:space="preserve">33.3%</w:t>
            </w:r>
          </w:p>
        </w:tc>
      </w:tr>
      <w:tr>
        <w:tc>
          <w:tcPr/>
          <w:p>
            <w:pPr>
              <w:pStyle w:val="Compact"/>
            </w:pPr>
            <w:r>
              <w:t xml:space="preserve">2015</w:t>
            </w:r>
          </w:p>
        </w:tc>
        <w:tc>
          <w:tcPr/>
          <w:p>
            <w:pPr>
              <w:pStyle w:val="Compact"/>
            </w:pPr>
            <w:r>
              <w:t xml:space="preserve">General OB/GYN</w:t>
            </w:r>
          </w:p>
        </w:tc>
        <w:tc>
          <w:tcPr/>
          <w:p>
            <w:pPr>
              <w:pStyle w:val="Compact"/>
            </w:pPr>
            <w:r>
              <w:t xml:space="preserve">95</w:t>
            </w:r>
          </w:p>
        </w:tc>
        <w:tc>
          <w:tcPr/>
          <w:p>
            <w:pPr>
              <w:pStyle w:val="Compact"/>
            </w:pPr>
            <w:r>
              <w:t xml:space="preserve">1774</w:t>
            </w:r>
          </w:p>
        </w:tc>
        <w:tc>
          <w:tcPr/>
          <w:p>
            <w:pPr>
              <w:pStyle w:val="Compact"/>
            </w:pPr>
            <w:r>
              <w:t xml:space="preserve">15 (12–20)</w:t>
            </w:r>
          </w:p>
        </w:tc>
        <w:tc>
          <w:tcPr/>
          <w:p>
            <w:pPr>
              <w:pStyle w:val="Compact"/>
            </w:pPr>
            <w:r>
              <w:t xml:space="preserve">0.248</w:t>
            </w:r>
          </w:p>
        </w:tc>
        <w:tc>
          <w:tcPr/>
          <w:p>
            <w:pPr>
              <w:pStyle w:val="Compact"/>
            </w:pPr>
            <w:r>
              <w:t xml:space="preserve">135.5</w:t>
            </w:r>
          </w:p>
        </w:tc>
        <w:tc>
          <w:tcPr/>
          <w:p>
            <w:pPr>
              <w:pStyle w:val="Compact"/>
            </w:pPr>
            <w:r>
              <w:t xml:space="preserve">23.7%</w:t>
            </w:r>
          </w:p>
        </w:tc>
        <w:tc>
          <w:tcPr/>
          <w:p>
            <w:pPr>
              <w:pStyle w:val="Compact"/>
            </w:pPr>
            <w:r>
              <w:t xml:space="preserve">37.8%</w:t>
            </w:r>
          </w:p>
        </w:tc>
        <w:tc>
          <w:tcPr/>
          <w:p>
            <w:pPr>
              <w:pStyle w:val="Compact"/>
            </w:pPr>
            <w:r>
              <w:t xml:space="preserve">33.1%</w:t>
            </w:r>
          </w:p>
        </w:tc>
      </w:tr>
      <w:tr>
        <w:tc>
          <w:tcPr/>
          <w:p>
            <w:pPr>
              <w:pStyle w:val="Compact"/>
            </w:pPr>
            <w:r>
              <w:t xml:space="preserve">2015</w:t>
            </w:r>
          </w:p>
        </w:tc>
        <w:tc>
          <w:tcPr/>
          <w:p>
            <w:pPr>
              <w:pStyle w:val="Compact"/>
            </w:pPr>
            <w:r>
              <w:t xml:space="preserve">Urology</w:t>
            </w:r>
          </w:p>
        </w:tc>
        <w:tc>
          <w:tcPr/>
          <w:p>
            <w:pPr>
              <w:pStyle w:val="Compact"/>
            </w:pPr>
            <w:r>
              <w:t xml:space="preserve">129</w:t>
            </w:r>
          </w:p>
        </w:tc>
        <w:tc>
          <w:tcPr/>
          <w:p>
            <w:pPr>
              <w:pStyle w:val="Compact"/>
            </w:pPr>
            <w:r>
              <w:t xml:space="preserve">2109</w:t>
            </w:r>
          </w:p>
        </w:tc>
        <w:tc>
          <w:tcPr/>
          <w:p>
            <w:pPr>
              <w:pStyle w:val="Compact"/>
            </w:pPr>
            <w:r>
              <w:t xml:space="preserve">14 (12–18)</w:t>
            </w:r>
          </w:p>
        </w:tc>
        <w:tc>
          <w:tcPr/>
          <w:p>
            <w:pPr>
              <w:pStyle w:val="Compact"/>
            </w:pPr>
            <w:r>
              <w:t xml:space="preserve">0.196</w:t>
            </w:r>
          </w:p>
        </w:tc>
        <w:tc>
          <w:tcPr/>
          <w:p>
            <w:pPr>
              <w:pStyle w:val="Compact"/>
            </w:pPr>
            <w:r>
              <w:t xml:space="preserve">92.2</w:t>
            </w:r>
          </w:p>
        </w:tc>
        <w:tc>
          <w:tcPr/>
          <w:p>
            <w:pPr>
              <w:pStyle w:val="Compact"/>
            </w:pPr>
            <w:r>
              <w:t xml:space="preserve">20.2%</w:t>
            </w:r>
          </w:p>
        </w:tc>
        <w:tc>
          <w:tcPr/>
          <w:p>
            <w:pPr>
              <w:pStyle w:val="Compact"/>
            </w:pPr>
            <w:r>
              <w:t xml:space="preserve">33.6%</w:t>
            </w:r>
          </w:p>
        </w:tc>
        <w:tc>
          <w:tcPr/>
          <w:p>
            <w:pPr>
              <w:pStyle w:val="Compact"/>
            </w:pPr>
            <w:r>
              <w:t xml:space="preserve">36.5%</w:t>
            </w:r>
          </w:p>
        </w:tc>
      </w:tr>
      <w:tr>
        <w:tc>
          <w:tcPr/>
          <w:p>
            <w:pPr>
              <w:pStyle w:val="Compact"/>
            </w:pPr>
            <w:r>
              <w:t xml:space="preserve">2015</w:t>
            </w:r>
          </w:p>
        </w:tc>
        <w:tc>
          <w:tcPr/>
          <w:p>
            <w:pPr>
              <w:pStyle w:val="Compact"/>
            </w:pPr>
            <w:r>
              <w:t xml:space="preserve">Other/uncertain</w:t>
            </w:r>
          </w:p>
        </w:tc>
        <w:tc>
          <w:tcPr/>
          <w:p>
            <w:pPr>
              <w:pStyle w:val="Compact"/>
            </w:pPr>
            <w:r>
              <w:t xml:space="preserve">41</w:t>
            </w:r>
          </w:p>
        </w:tc>
        <w:tc>
          <w:tcPr/>
          <w:p>
            <w:pPr>
              <w:pStyle w:val="Compact"/>
            </w:pPr>
            <w:r>
              <w:t xml:space="preserve">979</w:t>
            </w:r>
          </w:p>
        </w:tc>
        <w:tc>
          <w:tcPr/>
          <w:p>
            <w:pPr>
              <w:pStyle w:val="Compact"/>
            </w:pPr>
            <w:r>
              <w:t xml:space="preserve">19 (13–31)</w:t>
            </w:r>
          </w:p>
        </w:tc>
        <w:tc>
          <w:tcPr/>
          <w:p>
            <w:pPr>
              <w:pStyle w:val="Compact"/>
            </w:pPr>
            <w:r>
              <w:t xml:space="preserve">0.309</w:t>
            </w:r>
          </w:p>
        </w:tc>
        <w:tc>
          <w:tcPr/>
          <w:p>
            <w:pPr>
              <w:pStyle w:val="Compact"/>
            </w:pPr>
            <w:r>
              <w:t xml:space="preserve">343.6</w:t>
            </w:r>
          </w:p>
        </w:tc>
        <w:tc>
          <w:tcPr/>
          <w:p>
            <w:pPr>
              <w:pStyle w:val="Compact"/>
            </w:pPr>
            <w:r>
              <w:t xml:space="preserve">27.9%</w:t>
            </w:r>
          </w:p>
        </w:tc>
        <w:tc>
          <w:tcPr/>
          <w:p>
            <w:pPr>
              <w:pStyle w:val="Compact"/>
            </w:pPr>
            <w:r>
              <w:t xml:space="preserve">42.7%</w:t>
            </w:r>
          </w:p>
        </w:tc>
        <w:tc>
          <w:tcPr/>
          <w:p>
            <w:pPr>
              <w:pStyle w:val="Compact"/>
            </w:pPr>
            <w:r>
              <w:t xml:space="preserve">27.6%</w:t>
            </w:r>
          </w:p>
        </w:tc>
      </w:tr>
      <w:tr>
        <w:tc>
          <w:tcPr/>
          <w:p>
            <w:pPr>
              <w:pStyle w:val="Compact"/>
            </w:pPr>
            <w:r>
              <w:t xml:space="preserve">2015</w:t>
            </w:r>
          </w:p>
        </w:tc>
        <w:tc>
          <w:tcPr/>
          <w:p>
            <w:pPr>
              <w:pStyle w:val="Compact"/>
            </w:pPr>
            <w:r>
              <w:t xml:space="preserve">URPS (OB/GYN)</w:t>
            </w:r>
          </w:p>
        </w:tc>
        <w:tc>
          <w:tcPr/>
          <w:p>
            <w:pPr>
              <w:pStyle w:val="Compact"/>
            </w:pPr>
            <w:r>
              <w:t xml:space="preserve">290</w:t>
            </w:r>
          </w:p>
        </w:tc>
        <w:tc>
          <w:tcPr/>
          <w:p>
            <w:pPr>
              <w:pStyle w:val="Compact"/>
            </w:pPr>
            <w:r>
              <w:t xml:space="preserve">6678</w:t>
            </w:r>
          </w:p>
        </w:tc>
        <w:tc>
          <w:tcPr/>
          <w:p>
            <w:pPr>
              <w:pStyle w:val="Compact"/>
            </w:pPr>
            <w:r>
              <w:t xml:space="preserve">19 (14–27)</w:t>
            </w:r>
          </w:p>
        </w:tc>
        <w:tc>
          <w:tcPr/>
          <w:p>
            <w:pPr>
              <w:pStyle w:val="Compact"/>
            </w:pPr>
            <w:r>
              <w:t xml:space="preserve">0.278</w:t>
            </w:r>
          </w:p>
        </w:tc>
        <w:tc>
          <w:tcPr/>
          <w:p>
            <w:pPr>
              <w:pStyle w:val="Compact"/>
            </w:pPr>
            <w:r>
              <w:t xml:space="preserve">45.2</w:t>
            </w:r>
          </w:p>
        </w:tc>
        <w:tc>
          <w:tcPr/>
          <w:p>
            <w:pPr>
              <w:pStyle w:val="Compact"/>
            </w:pPr>
            <w:r>
              <w:t xml:space="preserve">22.9%</w:t>
            </w:r>
          </w:p>
        </w:tc>
        <w:tc>
          <w:tcPr/>
          <w:p>
            <w:pPr>
              <w:pStyle w:val="Compact"/>
            </w:pPr>
            <w:r>
              <w:t xml:space="preserve">38.3%</w:t>
            </w:r>
          </w:p>
        </w:tc>
        <w:tc>
          <w:tcPr/>
          <w:p>
            <w:pPr>
              <w:pStyle w:val="Compact"/>
            </w:pPr>
            <w:r>
              <w:t xml:space="preserve">30.8%</w:t>
            </w:r>
          </w:p>
        </w:tc>
      </w:tr>
      <w:tr>
        <w:tc>
          <w:tcPr/>
          <w:p>
            <w:pPr>
              <w:pStyle w:val="Compact"/>
            </w:pPr>
            <w:r>
              <w:t xml:space="preserve">2015</w:t>
            </w:r>
          </w:p>
        </w:tc>
        <w:tc>
          <w:tcPr/>
          <w:p>
            <w:pPr>
              <w:pStyle w:val="Compact"/>
            </w:pPr>
            <w:r>
              <w:t xml:space="preserve">URPS (urology)</w:t>
            </w:r>
          </w:p>
        </w:tc>
        <w:tc>
          <w:tcPr/>
          <w:p>
            <w:pPr>
              <w:pStyle w:val="Compact"/>
            </w:pPr>
            <w:r>
              <w:t xml:space="preserve">67</w:t>
            </w:r>
          </w:p>
        </w:tc>
        <w:tc>
          <w:tcPr/>
          <w:p>
            <w:pPr>
              <w:pStyle w:val="Compact"/>
            </w:pPr>
            <w:r>
              <w:t xml:space="preserve">1240</w:t>
            </w:r>
          </w:p>
        </w:tc>
        <w:tc>
          <w:tcPr/>
          <w:p>
            <w:pPr>
              <w:pStyle w:val="Compact"/>
            </w:pPr>
            <w:r>
              <w:t xml:space="preserve">15 (12–24)</w:t>
            </w:r>
          </w:p>
        </w:tc>
        <w:tc>
          <w:tcPr/>
          <w:p>
            <w:pPr>
              <w:pStyle w:val="Compact"/>
            </w:pPr>
            <w:r>
              <w:t xml:space="preserve">0.236</w:t>
            </w:r>
          </w:p>
        </w:tc>
        <w:tc>
          <w:tcPr/>
          <w:p>
            <w:pPr>
              <w:pStyle w:val="Compact"/>
            </w:pPr>
            <w:r>
              <w:t xml:space="preserve">185.7</w:t>
            </w:r>
          </w:p>
        </w:tc>
        <w:tc>
          <w:tcPr/>
          <w:p>
            <w:pPr>
              <w:pStyle w:val="Compact"/>
            </w:pPr>
            <w:r>
              <w:t xml:space="preserve">21.5%</w:t>
            </w:r>
          </w:p>
        </w:tc>
        <w:tc>
          <w:tcPr/>
          <w:p>
            <w:pPr>
              <w:pStyle w:val="Compact"/>
            </w:pPr>
            <w:r>
              <w:t xml:space="preserve">36.5%</w:t>
            </w:r>
          </w:p>
        </w:tc>
        <w:tc>
          <w:tcPr/>
          <w:p>
            <w:pPr>
              <w:pStyle w:val="Compact"/>
            </w:pPr>
            <w:r>
              <w:t xml:space="preserve">33.1%</w:t>
            </w:r>
          </w:p>
        </w:tc>
      </w:tr>
      <w:tr>
        <w:tc>
          <w:tcPr/>
          <w:p>
            <w:pPr>
              <w:pStyle w:val="Compact"/>
            </w:pPr>
            <w:r>
              <w:t xml:space="preserve">2016</w:t>
            </w:r>
          </w:p>
        </w:tc>
        <w:tc>
          <w:tcPr/>
          <w:p>
            <w:pPr>
              <w:pStyle w:val="Compact"/>
            </w:pPr>
            <w:r>
              <w:t xml:space="preserve">All</w:t>
            </w:r>
          </w:p>
        </w:tc>
        <w:tc>
          <w:tcPr/>
          <w:p>
            <w:pPr>
              <w:pStyle w:val="Compact"/>
            </w:pPr>
            <w:r>
              <w:t xml:space="preserve">665</w:t>
            </w:r>
          </w:p>
        </w:tc>
        <w:tc>
          <w:tcPr/>
          <w:p>
            <w:pPr>
              <w:pStyle w:val="Compact"/>
            </w:pPr>
            <w:r>
              <w:t xml:space="preserve">14322</w:t>
            </w:r>
          </w:p>
        </w:tc>
        <w:tc>
          <w:tcPr/>
          <w:p>
            <w:pPr>
              <w:pStyle w:val="Compact"/>
            </w:pPr>
            <w:r>
              <w:t xml:space="preserve">18 (13–25)</w:t>
            </w:r>
          </w:p>
        </w:tc>
        <w:tc>
          <w:tcPr/>
          <w:p>
            <w:pPr>
              <w:pStyle w:val="Compact"/>
            </w:pPr>
            <w:r>
              <w:t xml:space="preserve">0.270</w:t>
            </w:r>
          </w:p>
        </w:tc>
        <w:tc>
          <w:tcPr/>
          <w:p>
            <w:pPr>
              <w:pStyle w:val="Compact"/>
            </w:pPr>
            <w:r>
              <w:t xml:space="preserve">19.9</w:t>
            </w:r>
          </w:p>
        </w:tc>
        <w:tc>
          <w:tcPr/>
          <w:p>
            <w:pPr>
              <w:pStyle w:val="Compact"/>
            </w:pPr>
            <w:r>
              <w:t xml:space="preserve">23.8%</w:t>
            </w:r>
          </w:p>
        </w:tc>
        <w:tc>
          <w:tcPr/>
          <w:p>
            <w:pPr>
              <w:pStyle w:val="Compact"/>
            </w:pPr>
            <w:r>
              <w:t xml:space="preserve">38.0%</w:t>
            </w:r>
          </w:p>
        </w:tc>
        <w:tc>
          <w:tcPr/>
          <w:p>
            <w:pPr>
              <w:pStyle w:val="Compact"/>
            </w:pPr>
            <w:r>
              <w:t xml:space="preserve">31.5%</w:t>
            </w:r>
          </w:p>
        </w:tc>
      </w:tr>
      <w:tr>
        <w:tc>
          <w:tcPr/>
          <w:p>
            <w:pPr>
              <w:pStyle w:val="Compact"/>
            </w:pPr>
            <w:r>
              <w:t xml:space="preserve">2016</w:t>
            </w:r>
          </w:p>
        </w:tc>
        <w:tc>
          <w:tcPr/>
          <w:p>
            <w:pPr>
              <w:pStyle w:val="Compact"/>
            </w:pPr>
            <w:r>
              <w:t xml:space="preserve">MIGS</w:t>
            </w:r>
          </w:p>
        </w:tc>
        <w:tc>
          <w:tcPr/>
          <w:p>
            <w:pPr>
              <w:pStyle w:val="Compact"/>
            </w:pPr>
            <w:r>
              <w:t xml:space="preserve">4</w:t>
            </w:r>
          </w:p>
        </w:tc>
        <w:tc>
          <w:tcPr/>
          <w:p>
            <w:pPr>
              <w:pStyle w:val="Compact"/>
            </w:pPr>
            <w:r>
              <w:t xml:space="preserve">62</w:t>
            </w:r>
          </w:p>
        </w:tc>
        <w:tc>
          <w:tcPr/>
          <w:p>
            <w:pPr>
              <w:pStyle w:val="Compact"/>
            </w:pPr>
            <w:r>
              <w:t xml:space="preserve">14 (12–18)</w:t>
            </w:r>
          </w:p>
        </w:tc>
        <w:tc>
          <w:tcPr/>
          <w:p>
            <w:pPr>
              <w:pStyle w:val="Compact"/>
            </w:pPr>
            <w:r>
              <w:t xml:space="preserve">0.161</w:t>
            </w:r>
          </w:p>
        </w:tc>
        <w:tc>
          <w:tcPr/>
          <w:p>
            <w:pPr>
              <w:pStyle w:val="Compact"/>
            </w:pPr>
            <w:r>
              <w:t xml:space="preserve">2731.5</w:t>
            </w:r>
          </w:p>
        </w:tc>
        <w:tc>
          <w:tcPr/>
          <w:p>
            <w:pPr>
              <w:pStyle w:val="Compact"/>
            </w:pPr>
            <w:r>
              <w:t xml:space="preserve">37.1%</w:t>
            </w:r>
          </w:p>
        </w:tc>
        <w:tc>
          <w:tcPr/>
          <w:p>
            <w:pPr>
              <w:pStyle w:val="Compact"/>
            </w:pPr>
            <w:r>
              <w:t xml:space="preserve">37.1%</w:t>
            </w:r>
          </w:p>
        </w:tc>
        <w:tc>
          <w:tcPr/>
          <w:p>
            <w:pPr>
              <w:pStyle w:val="Compact"/>
            </w:pPr>
            <w:r>
              <w:t xml:space="preserve">37.1%</w:t>
            </w:r>
          </w:p>
        </w:tc>
      </w:tr>
      <w:tr>
        <w:tc>
          <w:tcPr/>
          <w:p>
            <w:pPr>
              <w:pStyle w:val="Compact"/>
            </w:pPr>
            <w:r>
              <w:t xml:space="preserve">2016</w:t>
            </w:r>
          </w:p>
        </w:tc>
        <w:tc>
          <w:tcPr/>
          <w:p>
            <w:pPr>
              <w:pStyle w:val="Compact"/>
            </w:pPr>
            <w:r>
              <w:t xml:space="preserve">General OB/GYN</w:t>
            </w:r>
          </w:p>
        </w:tc>
        <w:tc>
          <w:tcPr/>
          <w:p>
            <w:pPr>
              <w:pStyle w:val="Compact"/>
            </w:pPr>
            <w:r>
              <w:t xml:space="preserve">97</w:t>
            </w:r>
          </w:p>
        </w:tc>
        <w:tc>
          <w:tcPr/>
          <w:p>
            <w:pPr>
              <w:pStyle w:val="Compact"/>
            </w:pPr>
            <w:r>
              <w:t xml:space="preserve">1858</w:t>
            </w:r>
          </w:p>
        </w:tc>
        <w:tc>
          <w:tcPr/>
          <w:p>
            <w:pPr>
              <w:pStyle w:val="Compact"/>
            </w:pPr>
            <w:r>
              <w:t xml:space="preserve">15 (13–22)</w:t>
            </w:r>
          </w:p>
        </w:tc>
        <w:tc>
          <w:tcPr/>
          <w:p>
            <w:pPr>
              <w:pStyle w:val="Compact"/>
            </w:pPr>
            <w:r>
              <w:t xml:space="preserve">0.247</w:t>
            </w:r>
          </w:p>
        </w:tc>
        <w:tc>
          <w:tcPr/>
          <w:p>
            <w:pPr>
              <w:pStyle w:val="Compact"/>
            </w:pPr>
            <w:r>
              <w:t xml:space="preserve">133.1</w:t>
            </w:r>
          </w:p>
        </w:tc>
        <w:tc>
          <w:tcPr/>
          <w:p>
            <w:pPr>
              <w:pStyle w:val="Compact"/>
            </w:pPr>
            <w:r>
              <w:t xml:space="preserve">23.1%</w:t>
            </w:r>
          </w:p>
        </w:tc>
        <w:tc>
          <w:tcPr/>
          <w:p>
            <w:pPr>
              <w:pStyle w:val="Compact"/>
            </w:pPr>
            <w:r>
              <w:t xml:space="preserve">37.7%</w:t>
            </w:r>
          </w:p>
        </w:tc>
        <w:tc>
          <w:tcPr/>
          <w:p>
            <w:pPr>
              <w:pStyle w:val="Compact"/>
            </w:pPr>
            <w:r>
              <w:t xml:space="preserve">32.7%</w:t>
            </w:r>
          </w:p>
        </w:tc>
      </w:tr>
      <w:tr>
        <w:tc>
          <w:tcPr/>
          <w:p>
            <w:pPr>
              <w:pStyle w:val="Compact"/>
            </w:pPr>
            <w:r>
              <w:t xml:space="preserve">2016</w:t>
            </w:r>
          </w:p>
        </w:tc>
        <w:tc>
          <w:tcPr/>
          <w:p>
            <w:pPr>
              <w:pStyle w:val="Compact"/>
            </w:pPr>
            <w:r>
              <w:t xml:space="preserve">Urology</w:t>
            </w:r>
          </w:p>
        </w:tc>
        <w:tc>
          <w:tcPr/>
          <w:p>
            <w:pPr>
              <w:pStyle w:val="Compact"/>
            </w:pPr>
            <w:r>
              <w:t xml:space="preserve">129</w:t>
            </w:r>
          </w:p>
        </w:tc>
        <w:tc>
          <w:tcPr/>
          <w:p>
            <w:pPr>
              <w:pStyle w:val="Compact"/>
            </w:pPr>
            <w:r>
              <w:t xml:space="preserve">2225</w:t>
            </w:r>
          </w:p>
        </w:tc>
        <w:tc>
          <w:tcPr/>
          <w:p>
            <w:pPr>
              <w:pStyle w:val="Compact"/>
            </w:pPr>
            <w:r>
              <w:t xml:space="preserve">15 (13–20)</w:t>
            </w:r>
          </w:p>
        </w:tc>
        <w:tc>
          <w:tcPr/>
          <w:p>
            <w:pPr>
              <w:pStyle w:val="Compact"/>
            </w:pPr>
            <w:r>
              <w:t xml:space="preserve">0.199</w:t>
            </w:r>
          </w:p>
        </w:tc>
        <w:tc>
          <w:tcPr/>
          <w:p>
            <w:pPr>
              <w:pStyle w:val="Compact"/>
            </w:pPr>
            <w:r>
              <w:t xml:space="preserve">94.9</w:t>
            </w:r>
          </w:p>
        </w:tc>
        <w:tc>
          <w:tcPr/>
          <w:p>
            <w:pPr>
              <w:pStyle w:val="Compact"/>
            </w:pPr>
            <w:r>
              <w:t xml:space="preserve">20.3%</w:t>
            </w:r>
          </w:p>
        </w:tc>
        <w:tc>
          <w:tcPr/>
          <w:p>
            <w:pPr>
              <w:pStyle w:val="Compact"/>
            </w:pPr>
            <w:r>
              <w:t xml:space="preserve">33.3%</w:t>
            </w:r>
          </w:p>
        </w:tc>
        <w:tc>
          <w:tcPr/>
          <w:p>
            <w:pPr>
              <w:pStyle w:val="Compact"/>
            </w:pPr>
            <w:r>
              <w:t xml:space="preserve">36.3%</w:t>
            </w:r>
          </w:p>
        </w:tc>
      </w:tr>
      <w:tr>
        <w:tc>
          <w:tcPr/>
          <w:p>
            <w:pPr>
              <w:pStyle w:val="Compact"/>
            </w:pPr>
            <w:r>
              <w:t xml:space="preserve">2016</w:t>
            </w:r>
          </w:p>
        </w:tc>
        <w:tc>
          <w:tcPr/>
          <w:p>
            <w:pPr>
              <w:pStyle w:val="Compact"/>
            </w:pPr>
            <w:r>
              <w:t xml:space="preserve">Other/uncertain</w:t>
            </w:r>
          </w:p>
        </w:tc>
        <w:tc>
          <w:tcPr/>
          <w:p>
            <w:pPr>
              <w:pStyle w:val="Compact"/>
            </w:pPr>
            <w:r>
              <w:t xml:space="preserve">49</w:t>
            </w:r>
          </w:p>
        </w:tc>
        <w:tc>
          <w:tcPr/>
          <w:p>
            <w:pPr>
              <w:pStyle w:val="Compact"/>
            </w:pPr>
            <w:r>
              <w:t xml:space="preserve">1072</w:t>
            </w:r>
          </w:p>
        </w:tc>
        <w:tc>
          <w:tcPr/>
          <w:p>
            <w:pPr>
              <w:pStyle w:val="Compact"/>
            </w:pPr>
            <w:r>
              <w:t xml:space="preserve">19 (13–26)</w:t>
            </w:r>
          </w:p>
        </w:tc>
        <w:tc>
          <w:tcPr/>
          <w:p>
            <w:pPr>
              <w:pStyle w:val="Compact"/>
            </w:pPr>
            <w:r>
              <w:t xml:space="preserve">0.269</w:t>
            </w:r>
          </w:p>
        </w:tc>
        <w:tc>
          <w:tcPr/>
          <w:p>
            <w:pPr>
              <w:pStyle w:val="Compact"/>
            </w:pPr>
            <w:r>
              <w:t xml:space="preserve">268.9</w:t>
            </w:r>
          </w:p>
        </w:tc>
        <w:tc>
          <w:tcPr/>
          <w:p>
            <w:pPr>
              <w:pStyle w:val="Compact"/>
            </w:pPr>
            <w:r>
              <w:t xml:space="preserve">22.8%</w:t>
            </w:r>
          </w:p>
        </w:tc>
        <w:tc>
          <w:tcPr/>
          <w:p>
            <w:pPr>
              <w:pStyle w:val="Compact"/>
            </w:pPr>
            <w:r>
              <w:t xml:space="preserve">37.9%</w:t>
            </w:r>
          </w:p>
        </w:tc>
        <w:tc>
          <w:tcPr/>
          <w:p>
            <w:pPr>
              <w:pStyle w:val="Compact"/>
            </w:pPr>
            <w:r>
              <w:t xml:space="preserve">30.4%</w:t>
            </w:r>
          </w:p>
        </w:tc>
      </w:tr>
      <w:tr>
        <w:tc>
          <w:tcPr/>
          <w:p>
            <w:pPr>
              <w:pStyle w:val="Compact"/>
            </w:pPr>
            <w:r>
              <w:t xml:space="preserve">2016</w:t>
            </w:r>
          </w:p>
        </w:tc>
        <w:tc>
          <w:tcPr/>
          <w:p>
            <w:pPr>
              <w:pStyle w:val="Compact"/>
            </w:pPr>
            <w:r>
              <w:t xml:space="preserve">URPS (OB/GYN)</w:t>
            </w:r>
          </w:p>
        </w:tc>
        <w:tc>
          <w:tcPr/>
          <w:p>
            <w:pPr>
              <w:pStyle w:val="Compact"/>
            </w:pPr>
            <w:r>
              <w:t xml:space="preserve">314</w:t>
            </w:r>
          </w:p>
        </w:tc>
        <w:tc>
          <w:tcPr/>
          <w:p>
            <w:pPr>
              <w:pStyle w:val="Compact"/>
            </w:pPr>
            <w:r>
              <w:t xml:space="preserve">7675</w:t>
            </w:r>
          </w:p>
        </w:tc>
        <w:tc>
          <w:tcPr/>
          <w:p>
            <w:pPr>
              <w:pStyle w:val="Compact"/>
            </w:pPr>
            <w:r>
              <w:t xml:space="preserve">20 (14–29)</w:t>
            </w:r>
          </w:p>
        </w:tc>
        <w:tc>
          <w:tcPr/>
          <w:p>
            <w:pPr>
              <w:pStyle w:val="Compact"/>
            </w:pPr>
            <w:r>
              <w:t xml:space="preserve">0.281</w:t>
            </w:r>
          </w:p>
        </w:tc>
        <w:tc>
          <w:tcPr/>
          <w:p>
            <w:pPr>
              <w:pStyle w:val="Compact"/>
            </w:pPr>
            <w:r>
              <w:t xml:space="preserve">41.7</w:t>
            </w:r>
          </w:p>
        </w:tc>
        <w:tc>
          <w:tcPr/>
          <w:p>
            <w:pPr>
              <w:pStyle w:val="Compact"/>
            </w:pPr>
            <w:r>
              <w:t xml:space="preserve">23.4%</w:t>
            </w:r>
          </w:p>
        </w:tc>
        <w:tc>
          <w:tcPr/>
          <w:p>
            <w:pPr>
              <w:pStyle w:val="Compact"/>
            </w:pPr>
            <w:r>
              <w:t xml:space="preserve">38.3%</w:t>
            </w:r>
          </w:p>
        </w:tc>
        <w:tc>
          <w:tcPr/>
          <w:p>
            <w:pPr>
              <w:pStyle w:val="Compact"/>
            </w:pPr>
            <w:r>
              <w:t xml:space="preserve">30.5%</w:t>
            </w:r>
          </w:p>
        </w:tc>
      </w:tr>
      <w:tr>
        <w:tc>
          <w:tcPr/>
          <w:p>
            <w:pPr>
              <w:pStyle w:val="Compact"/>
            </w:pPr>
            <w:r>
              <w:t xml:space="preserve">2016</w:t>
            </w:r>
          </w:p>
        </w:tc>
        <w:tc>
          <w:tcPr/>
          <w:p>
            <w:pPr>
              <w:pStyle w:val="Compact"/>
            </w:pPr>
            <w:r>
              <w:t xml:space="preserve">URPS (urology)</w:t>
            </w:r>
          </w:p>
        </w:tc>
        <w:tc>
          <w:tcPr/>
          <w:p>
            <w:pPr>
              <w:pStyle w:val="Compact"/>
            </w:pPr>
            <w:r>
              <w:t xml:space="preserve">72</w:t>
            </w:r>
          </w:p>
        </w:tc>
        <w:tc>
          <w:tcPr/>
          <w:p>
            <w:pPr>
              <w:pStyle w:val="Compact"/>
            </w:pPr>
            <w:r>
              <w:t xml:space="preserve">1430</w:t>
            </w:r>
          </w:p>
        </w:tc>
        <w:tc>
          <w:tcPr/>
          <w:p>
            <w:pPr>
              <w:pStyle w:val="Compact"/>
            </w:pPr>
            <w:r>
              <w:t xml:space="preserve">16 (14–23)</w:t>
            </w:r>
          </w:p>
        </w:tc>
        <w:tc>
          <w:tcPr/>
          <w:p>
            <w:pPr>
              <w:pStyle w:val="Compact"/>
            </w:pPr>
            <w:r>
              <w:t xml:space="preserve">0.241</w:t>
            </w:r>
          </w:p>
        </w:tc>
        <w:tc>
          <w:tcPr/>
          <w:p>
            <w:pPr>
              <w:pStyle w:val="Compact"/>
            </w:pPr>
            <w:r>
              <w:t xml:space="preserve">181.3</w:t>
            </w:r>
          </w:p>
        </w:tc>
        <w:tc>
          <w:tcPr/>
          <w:p>
            <w:pPr>
              <w:pStyle w:val="Compact"/>
            </w:pPr>
            <w:r>
              <w:t xml:space="preserve">24.3%</w:t>
            </w:r>
          </w:p>
        </w:tc>
        <w:tc>
          <w:tcPr/>
          <w:p>
            <w:pPr>
              <w:pStyle w:val="Compact"/>
            </w:pPr>
            <w:r>
              <w:t xml:space="preserve">37.1%</w:t>
            </w:r>
          </w:p>
        </w:tc>
        <w:tc>
          <w:tcPr/>
          <w:p>
            <w:pPr>
              <w:pStyle w:val="Compact"/>
            </w:pPr>
            <w:r>
              <w:t xml:space="preserve">33.8%</w:t>
            </w:r>
          </w:p>
        </w:tc>
      </w:tr>
      <w:tr>
        <w:tc>
          <w:tcPr/>
          <w:p>
            <w:pPr>
              <w:pStyle w:val="Compact"/>
            </w:pPr>
            <w:r>
              <w:t xml:space="preserve">2017</w:t>
            </w:r>
          </w:p>
        </w:tc>
        <w:tc>
          <w:tcPr/>
          <w:p>
            <w:pPr>
              <w:pStyle w:val="Compact"/>
            </w:pPr>
            <w:r>
              <w:t xml:space="preserve">All</w:t>
            </w:r>
          </w:p>
        </w:tc>
        <w:tc>
          <w:tcPr/>
          <w:p>
            <w:pPr>
              <w:pStyle w:val="Compact"/>
            </w:pPr>
            <w:r>
              <w:t xml:space="preserve">694</w:t>
            </w:r>
          </w:p>
        </w:tc>
        <w:tc>
          <w:tcPr/>
          <w:p>
            <w:pPr>
              <w:pStyle w:val="Compact"/>
            </w:pPr>
            <w:r>
              <w:t xml:space="preserve">15274</w:t>
            </w:r>
          </w:p>
        </w:tc>
        <w:tc>
          <w:tcPr/>
          <w:p>
            <w:pPr>
              <w:pStyle w:val="Compact"/>
            </w:pPr>
            <w:r>
              <w:t xml:space="preserve">18 (13–26)</w:t>
            </w:r>
          </w:p>
        </w:tc>
        <w:tc>
          <w:tcPr/>
          <w:p>
            <w:pPr>
              <w:pStyle w:val="Compact"/>
            </w:pPr>
            <w:r>
              <w:t xml:space="preserve">0.281</w:t>
            </w:r>
          </w:p>
        </w:tc>
        <w:tc>
          <w:tcPr/>
          <w:p>
            <w:pPr>
              <w:pStyle w:val="Compact"/>
            </w:pPr>
            <w:r>
              <w:t xml:space="preserve">19.2</w:t>
            </w:r>
          </w:p>
        </w:tc>
        <w:tc>
          <w:tcPr/>
          <w:p>
            <w:pPr>
              <w:pStyle w:val="Compact"/>
            </w:pPr>
            <w:r>
              <w:t xml:space="preserve">23.8%</w:t>
            </w:r>
          </w:p>
        </w:tc>
        <w:tc>
          <w:tcPr/>
          <w:p>
            <w:pPr>
              <w:pStyle w:val="Compact"/>
            </w:pPr>
            <w:r>
              <w:t xml:space="preserve">38.9%</w:t>
            </w:r>
          </w:p>
        </w:tc>
        <w:tc>
          <w:tcPr/>
          <w:p>
            <w:pPr>
              <w:pStyle w:val="Compact"/>
            </w:pPr>
            <w:r>
              <w:t xml:space="preserve">30.7%</w:t>
            </w:r>
          </w:p>
        </w:tc>
      </w:tr>
      <w:tr>
        <w:tc>
          <w:tcPr/>
          <w:p>
            <w:pPr>
              <w:pStyle w:val="Compact"/>
            </w:pPr>
            <w:r>
              <w:t xml:space="preserve">2017</w:t>
            </w:r>
          </w:p>
        </w:tc>
        <w:tc>
          <w:tcPr/>
          <w:p>
            <w:pPr>
              <w:pStyle w:val="Compact"/>
            </w:pPr>
            <w:r>
              <w:t xml:space="preserve">MIGS</w:t>
            </w:r>
          </w:p>
        </w:tc>
        <w:tc>
          <w:tcPr/>
          <w:p>
            <w:pPr>
              <w:pStyle w:val="Compact"/>
            </w:pPr>
            <w:r>
              <w:t xml:space="preserve">3</w:t>
            </w:r>
          </w:p>
        </w:tc>
        <w:tc>
          <w:tcPr/>
          <w:p>
            <w:pPr>
              <w:pStyle w:val="Compact"/>
            </w:pPr>
            <w:r>
              <w:t xml:space="preserve">79</w:t>
            </w:r>
          </w:p>
        </w:tc>
        <w:tc>
          <w:tcPr/>
          <w:p>
            <w:pPr>
              <w:pStyle w:val="Compact"/>
            </w:pPr>
            <w:r>
              <w:t xml:space="preserve">15 (14–34)</w:t>
            </w:r>
          </w:p>
        </w:tc>
        <w:tc>
          <w:tcPr/>
          <w:p>
            <w:pPr>
              <w:pStyle w:val="Compact"/>
            </w:pPr>
            <w:r>
              <w:t xml:space="preserve">0.338</w:t>
            </w:r>
          </w:p>
        </w:tc>
        <w:tc>
          <w:tcPr/>
          <w:p>
            <w:pPr>
              <w:pStyle w:val="Compact"/>
            </w:pPr>
            <w:r>
              <w:t xml:space="preserve">4923.9</w:t>
            </w:r>
          </w:p>
        </w:tc>
        <w:tc>
          <w:tcPr/>
          <w:p>
            <w:pPr>
              <w:pStyle w:val="Compact"/>
            </w:pPr>
            <w:r>
              <w:t xml:space="preserve">65.8%</w:t>
            </w:r>
          </w:p>
        </w:tc>
        <w:tc>
          <w:tcPr/>
          <w:p>
            <w:pPr>
              <w:pStyle w:val="Compact"/>
            </w:pPr>
            <w:r>
              <w:t xml:space="preserve">65.8%</w:t>
            </w:r>
          </w:p>
        </w:tc>
        <w:tc>
          <w:tcPr/>
          <w:p>
            <w:pPr>
              <w:pStyle w:val="Compact"/>
            </w:pPr>
            <w:r>
              <w:t xml:space="preserve">15.2%</w:t>
            </w:r>
          </w:p>
        </w:tc>
      </w:tr>
      <w:tr>
        <w:tc>
          <w:tcPr/>
          <w:p>
            <w:pPr>
              <w:pStyle w:val="Compact"/>
            </w:pPr>
            <w:r>
              <w:t xml:space="preserve">2017</w:t>
            </w:r>
          </w:p>
        </w:tc>
        <w:tc>
          <w:tcPr/>
          <w:p>
            <w:pPr>
              <w:pStyle w:val="Compact"/>
            </w:pPr>
            <w:r>
              <w:t xml:space="preserve">General OB/GYN</w:t>
            </w:r>
          </w:p>
        </w:tc>
        <w:tc>
          <w:tcPr/>
          <w:p>
            <w:pPr>
              <w:pStyle w:val="Compact"/>
            </w:pPr>
            <w:r>
              <w:t xml:space="preserve">95</w:t>
            </w:r>
          </w:p>
        </w:tc>
        <w:tc>
          <w:tcPr/>
          <w:p>
            <w:pPr>
              <w:pStyle w:val="Compact"/>
            </w:pPr>
            <w:r>
              <w:t xml:space="preserve">1925</w:t>
            </w:r>
          </w:p>
        </w:tc>
        <w:tc>
          <w:tcPr/>
          <w:p>
            <w:pPr>
              <w:pStyle w:val="Compact"/>
            </w:pPr>
            <w:r>
              <w:t xml:space="preserve">16 (13–24)</w:t>
            </w:r>
          </w:p>
        </w:tc>
        <w:tc>
          <w:tcPr/>
          <w:p>
            <w:pPr>
              <w:pStyle w:val="Compact"/>
            </w:pPr>
            <w:r>
              <w:t xml:space="preserve">0.269</w:t>
            </w:r>
          </w:p>
        </w:tc>
        <w:tc>
          <w:tcPr/>
          <w:p>
            <w:pPr>
              <w:pStyle w:val="Compact"/>
            </w:pPr>
            <w:r>
              <w:t xml:space="preserve">143.0</w:t>
            </w:r>
          </w:p>
        </w:tc>
        <w:tc>
          <w:tcPr/>
          <w:p>
            <w:pPr>
              <w:pStyle w:val="Compact"/>
            </w:pPr>
            <w:r>
              <w:t xml:space="preserve">25.4%</w:t>
            </w:r>
          </w:p>
        </w:tc>
        <w:tc>
          <w:tcPr/>
          <w:p>
            <w:pPr>
              <w:pStyle w:val="Compact"/>
            </w:pPr>
            <w:r>
              <w:t xml:space="preserve">38.4%</w:t>
            </w:r>
          </w:p>
        </w:tc>
        <w:tc>
          <w:tcPr/>
          <w:p>
            <w:pPr>
              <w:pStyle w:val="Compact"/>
            </w:pPr>
            <w:r>
              <w:t xml:space="preserve">31.5%</w:t>
            </w:r>
          </w:p>
        </w:tc>
      </w:tr>
      <w:tr>
        <w:tc>
          <w:tcPr/>
          <w:p>
            <w:pPr>
              <w:pStyle w:val="Compact"/>
            </w:pPr>
            <w:r>
              <w:t xml:space="preserve">2017</w:t>
            </w:r>
          </w:p>
        </w:tc>
        <w:tc>
          <w:tcPr/>
          <w:p>
            <w:pPr>
              <w:pStyle w:val="Compact"/>
            </w:pPr>
            <w:r>
              <w:t xml:space="preserve">Urology</w:t>
            </w:r>
          </w:p>
        </w:tc>
        <w:tc>
          <w:tcPr/>
          <w:p>
            <w:pPr>
              <w:pStyle w:val="Compact"/>
            </w:pPr>
            <w:r>
              <w:t xml:space="preserve">126</w:t>
            </w:r>
          </w:p>
        </w:tc>
        <w:tc>
          <w:tcPr/>
          <w:p>
            <w:pPr>
              <w:pStyle w:val="Compact"/>
            </w:pPr>
            <w:r>
              <w:t xml:space="preserve">2341</w:t>
            </w:r>
          </w:p>
        </w:tc>
        <w:tc>
          <w:tcPr/>
          <w:p>
            <w:pPr>
              <w:pStyle w:val="Compact"/>
            </w:pPr>
            <w:r>
              <w:t xml:space="preserve">15 (12–21)</w:t>
            </w:r>
          </w:p>
        </w:tc>
        <w:tc>
          <w:tcPr/>
          <w:p>
            <w:pPr>
              <w:pStyle w:val="Compact"/>
            </w:pPr>
            <w:r>
              <w:t xml:space="preserve">0.249</w:t>
            </w:r>
          </w:p>
        </w:tc>
        <w:tc>
          <w:tcPr/>
          <w:p>
            <w:pPr>
              <w:pStyle w:val="Compact"/>
            </w:pPr>
            <w:r>
              <w:t xml:space="preserve">109.3</w:t>
            </w:r>
          </w:p>
        </w:tc>
        <w:tc>
          <w:tcPr/>
          <w:p>
            <w:pPr>
              <w:pStyle w:val="Compact"/>
            </w:pPr>
            <w:r>
              <w:t xml:space="preserve">24.0%</w:t>
            </w:r>
          </w:p>
        </w:tc>
        <w:tc>
          <w:tcPr/>
          <w:p>
            <w:pPr>
              <w:pStyle w:val="Compact"/>
            </w:pPr>
            <w:r>
              <w:t xml:space="preserve">37.7%</w:t>
            </w:r>
          </w:p>
        </w:tc>
        <w:tc>
          <w:tcPr/>
          <w:p>
            <w:pPr>
              <w:pStyle w:val="Compact"/>
            </w:pPr>
            <w:r>
              <w:t xml:space="preserve">33.3%</w:t>
            </w:r>
          </w:p>
        </w:tc>
      </w:tr>
      <w:tr>
        <w:tc>
          <w:tcPr/>
          <w:p>
            <w:pPr>
              <w:pStyle w:val="Compact"/>
            </w:pPr>
            <w:r>
              <w:t xml:space="preserve">2017</w:t>
            </w:r>
          </w:p>
        </w:tc>
        <w:tc>
          <w:tcPr/>
          <w:p>
            <w:pPr>
              <w:pStyle w:val="Compact"/>
            </w:pPr>
            <w:r>
              <w:t xml:space="preserve">Other/uncertain</w:t>
            </w:r>
          </w:p>
        </w:tc>
        <w:tc>
          <w:tcPr/>
          <w:p>
            <w:pPr>
              <w:pStyle w:val="Compact"/>
            </w:pPr>
            <w:r>
              <w:t xml:space="preserve">55</w:t>
            </w:r>
          </w:p>
        </w:tc>
        <w:tc>
          <w:tcPr/>
          <w:p>
            <w:pPr>
              <w:pStyle w:val="Compact"/>
            </w:pPr>
            <w:r>
              <w:t xml:space="preserve">1189</w:t>
            </w:r>
          </w:p>
        </w:tc>
        <w:tc>
          <w:tcPr/>
          <w:p>
            <w:pPr>
              <w:pStyle w:val="Compact"/>
            </w:pPr>
            <w:r>
              <w:t xml:space="preserve">16 (13–26)</w:t>
            </w:r>
          </w:p>
        </w:tc>
        <w:tc>
          <w:tcPr/>
          <w:p>
            <w:pPr>
              <w:pStyle w:val="Compact"/>
            </w:pPr>
            <w:r>
              <w:t xml:space="preserve">0.286</w:t>
            </w:r>
          </w:p>
        </w:tc>
        <w:tc>
          <w:tcPr/>
          <w:p>
            <w:pPr>
              <w:pStyle w:val="Compact"/>
            </w:pPr>
            <w:r>
              <w:t xml:space="preserve">243.2</w:t>
            </w:r>
          </w:p>
        </w:tc>
        <w:tc>
          <w:tcPr/>
          <w:p>
            <w:pPr>
              <w:pStyle w:val="Compact"/>
            </w:pPr>
            <w:r>
              <w:t xml:space="preserve">25.5%</w:t>
            </w:r>
          </w:p>
        </w:tc>
        <w:tc>
          <w:tcPr/>
          <w:p>
            <w:pPr>
              <w:pStyle w:val="Compact"/>
            </w:pPr>
            <w:r>
              <w:t xml:space="preserve">39.1%</w:t>
            </w:r>
          </w:p>
        </w:tc>
        <w:tc>
          <w:tcPr/>
          <w:p>
            <w:pPr>
              <w:pStyle w:val="Compact"/>
            </w:pPr>
            <w:r>
              <w:t xml:space="preserve">29.4%</w:t>
            </w:r>
          </w:p>
        </w:tc>
      </w:tr>
      <w:tr>
        <w:tc>
          <w:tcPr/>
          <w:p>
            <w:pPr>
              <w:pStyle w:val="Compact"/>
            </w:pPr>
            <w:r>
              <w:t xml:space="preserve">2017</w:t>
            </w:r>
          </w:p>
        </w:tc>
        <w:tc>
          <w:tcPr/>
          <w:p>
            <w:pPr>
              <w:pStyle w:val="Compact"/>
            </w:pPr>
            <w:r>
              <w:t xml:space="preserve">URPS (OB/GYN)</w:t>
            </w:r>
          </w:p>
        </w:tc>
        <w:tc>
          <w:tcPr/>
          <w:p>
            <w:pPr>
              <w:pStyle w:val="Compact"/>
            </w:pPr>
            <w:r>
              <w:t xml:space="preserve">341</w:t>
            </w:r>
          </w:p>
        </w:tc>
        <w:tc>
          <w:tcPr/>
          <w:p>
            <w:pPr>
              <w:pStyle w:val="Compact"/>
            </w:pPr>
            <w:r>
              <w:t xml:space="preserve">8217</w:t>
            </w:r>
          </w:p>
        </w:tc>
        <w:tc>
          <w:tcPr/>
          <w:p>
            <w:pPr>
              <w:pStyle w:val="Compact"/>
            </w:pPr>
            <w:r>
              <w:t xml:space="preserve">20 (14–30)</w:t>
            </w:r>
          </w:p>
        </w:tc>
        <w:tc>
          <w:tcPr/>
          <w:p>
            <w:pPr>
              <w:pStyle w:val="Compact"/>
            </w:pPr>
            <w:r>
              <w:t xml:space="preserve">0.285</w:t>
            </w:r>
          </w:p>
        </w:tc>
        <w:tc>
          <w:tcPr/>
          <w:p>
            <w:pPr>
              <w:pStyle w:val="Compact"/>
            </w:pPr>
            <w:r>
              <w:t xml:space="preserve">38.4</w:t>
            </w:r>
          </w:p>
        </w:tc>
        <w:tc>
          <w:tcPr/>
          <w:p>
            <w:pPr>
              <w:pStyle w:val="Compact"/>
            </w:pPr>
            <w:r>
              <w:t xml:space="preserve">23.0%</w:t>
            </w:r>
          </w:p>
        </w:tc>
        <w:tc>
          <w:tcPr/>
          <w:p>
            <w:pPr>
              <w:pStyle w:val="Compact"/>
            </w:pPr>
            <w:r>
              <w:t xml:space="preserve">38.7%</w:t>
            </w:r>
          </w:p>
        </w:tc>
        <w:tc>
          <w:tcPr/>
          <w:p>
            <w:pPr>
              <w:pStyle w:val="Compact"/>
            </w:pPr>
            <w:r>
              <w:t xml:space="preserve">30.0%</w:t>
            </w:r>
          </w:p>
        </w:tc>
      </w:tr>
      <w:tr>
        <w:tc>
          <w:tcPr/>
          <w:p>
            <w:pPr>
              <w:pStyle w:val="Compact"/>
            </w:pPr>
            <w:r>
              <w:t xml:space="preserve">2017</w:t>
            </w:r>
          </w:p>
        </w:tc>
        <w:tc>
          <w:tcPr/>
          <w:p>
            <w:pPr>
              <w:pStyle w:val="Compact"/>
            </w:pPr>
            <w:r>
              <w:t xml:space="preserve">URPS (urology)</w:t>
            </w:r>
          </w:p>
        </w:tc>
        <w:tc>
          <w:tcPr/>
          <w:p>
            <w:pPr>
              <w:pStyle w:val="Compact"/>
            </w:pPr>
            <w:r>
              <w:t xml:space="preserve">74</w:t>
            </w:r>
          </w:p>
        </w:tc>
        <w:tc>
          <w:tcPr/>
          <w:p>
            <w:pPr>
              <w:pStyle w:val="Compact"/>
            </w:pPr>
            <w:r>
              <w:t xml:space="preserve">1523</w:t>
            </w:r>
          </w:p>
        </w:tc>
        <w:tc>
          <w:tcPr/>
          <w:p>
            <w:pPr>
              <w:pStyle w:val="Compact"/>
            </w:pPr>
            <w:r>
              <w:t xml:space="preserve">17 (14–24)</w:t>
            </w:r>
          </w:p>
        </w:tc>
        <w:tc>
          <w:tcPr/>
          <w:p>
            <w:pPr>
              <w:pStyle w:val="Compact"/>
            </w:pPr>
            <w:r>
              <w:t xml:space="preserve">0.246</w:t>
            </w:r>
          </w:p>
        </w:tc>
        <w:tc>
          <w:tcPr/>
          <w:p>
            <w:pPr>
              <w:pStyle w:val="Compact"/>
            </w:pPr>
            <w:r>
              <w:t xml:space="preserve">169.4</w:t>
            </w:r>
          </w:p>
        </w:tc>
        <w:tc>
          <w:tcPr/>
          <w:p>
            <w:pPr>
              <w:pStyle w:val="Compact"/>
            </w:pPr>
            <w:r>
              <w:t xml:space="preserve">22.9%</w:t>
            </w:r>
          </w:p>
        </w:tc>
        <w:tc>
          <w:tcPr/>
          <w:p>
            <w:pPr>
              <w:pStyle w:val="Compact"/>
            </w:pPr>
            <w:r>
              <w:t xml:space="preserve">36.0%</w:t>
            </w:r>
          </w:p>
        </w:tc>
        <w:tc>
          <w:tcPr/>
          <w:p>
            <w:pPr>
              <w:pStyle w:val="Compact"/>
            </w:pPr>
            <w:r>
              <w:t xml:space="preserve">32.9%</w:t>
            </w:r>
          </w:p>
        </w:tc>
      </w:tr>
      <w:tr>
        <w:tc>
          <w:tcPr/>
          <w:p>
            <w:pPr>
              <w:pStyle w:val="Compact"/>
            </w:pPr>
            <w:r>
              <w:t xml:space="preserve">2018</w:t>
            </w:r>
          </w:p>
        </w:tc>
        <w:tc>
          <w:tcPr/>
          <w:p>
            <w:pPr>
              <w:pStyle w:val="Compact"/>
            </w:pPr>
            <w:r>
              <w:t xml:space="preserve">All</w:t>
            </w:r>
          </w:p>
        </w:tc>
        <w:tc>
          <w:tcPr/>
          <w:p>
            <w:pPr>
              <w:pStyle w:val="Compact"/>
            </w:pPr>
            <w:r>
              <w:t xml:space="preserve">640</w:t>
            </w:r>
          </w:p>
        </w:tc>
        <w:tc>
          <w:tcPr/>
          <w:p>
            <w:pPr>
              <w:pStyle w:val="Compact"/>
            </w:pPr>
            <w:r>
              <w:t xml:space="preserve">14455</w:t>
            </w:r>
          </w:p>
        </w:tc>
        <w:tc>
          <w:tcPr/>
          <w:p>
            <w:pPr>
              <w:pStyle w:val="Compact"/>
            </w:pPr>
            <w:r>
              <w:t xml:space="preserve">19 (14–27)</w:t>
            </w:r>
          </w:p>
        </w:tc>
        <w:tc>
          <w:tcPr/>
          <w:p>
            <w:pPr>
              <w:pStyle w:val="Compact"/>
            </w:pPr>
            <w:r>
              <w:t xml:space="preserve">0.275</w:t>
            </w:r>
          </w:p>
        </w:tc>
        <w:tc>
          <w:tcPr/>
          <w:p>
            <w:pPr>
              <w:pStyle w:val="Compact"/>
            </w:pPr>
            <w:r>
              <w:t xml:space="preserve">20.4</w:t>
            </w:r>
          </w:p>
        </w:tc>
        <w:tc>
          <w:tcPr/>
          <w:p>
            <w:pPr>
              <w:pStyle w:val="Compact"/>
            </w:pPr>
            <w:r>
              <w:t xml:space="preserve">22.9%</w:t>
            </w:r>
          </w:p>
        </w:tc>
        <w:tc>
          <w:tcPr/>
          <w:p>
            <w:pPr>
              <w:pStyle w:val="Compact"/>
            </w:pPr>
            <w:r>
              <w:t xml:space="preserve">37.9%</w:t>
            </w:r>
          </w:p>
        </w:tc>
        <w:tc>
          <w:tcPr/>
          <w:p>
            <w:pPr>
              <w:pStyle w:val="Compact"/>
            </w:pPr>
            <w:r>
              <w:t xml:space="preserve">31.0%</w:t>
            </w:r>
          </w:p>
        </w:tc>
      </w:tr>
      <w:tr>
        <w:tc>
          <w:tcPr/>
          <w:p>
            <w:pPr>
              <w:pStyle w:val="Compact"/>
            </w:pPr>
            <w:r>
              <w:t xml:space="preserve">2018</w:t>
            </w:r>
          </w:p>
        </w:tc>
        <w:tc>
          <w:tcPr/>
          <w:p>
            <w:pPr>
              <w:pStyle w:val="Compact"/>
            </w:pPr>
            <w:r>
              <w:t xml:space="preserve">MIGS</w:t>
            </w:r>
          </w:p>
        </w:tc>
        <w:tc>
          <w:tcPr/>
          <w:p>
            <w:pPr>
              <w:pStyle w:val="Compact"/>
            </w:pPr>
            <w:r>
              <w:t xml:space="preserve">4</w:t>
            </w:r>
          </w:p>
        </w:tc>
        <w:tc>
          <w:tcPr/>
          <w:p>
            <w:pPr>
              <w:pStyle w:val="Compact"/>
            </w:pPr>
            <w:r>
              <w:t xml:space="preserve">126</w:t>
            </w:r>
          </w:p>
        </w:tc>
        <w:tc>
          <w:tcPr/>
          <w:p>
            <w:pPr>
              <w:pStyle w:val="Compact"/>
            </w:pPr>
            <w:r>
              <w:t xml:space="preserve">21 (20–33)</w:t>
            </w:r>
          </w:p>
        </w:tc>
        <w:tc>
          <w:tcPr/>
          <w:p>
            <w:pPr>
              <w:pStyle w:val="Compact"/>
            </w:pPr>
            <w:r>
              <w:t xml:space="preserve">0.278</w:t>
            </w:r>
          </w:p>
        </w:tc>
        <w:tc>
          <w:tcPr/>
          <w:p>
            <w:pPr>
              <w:pStyle w:val="Compact"/>
            </w:pPr>
            <w:r>
              <w:t xml:space="preserve">3445.5</w:t>
            </w:r>
          </w:p>
        </w:tc>
        <w:tc>
          <w:tcPr/>
          <w:p>
            <w:pPr>
              <w:pStyle w:val="Compact"/>
            </w:pPr>
            <w:r>
              <w:t xml:space="preserve">51.6%</w:t>
            </w:r>
          </w:p>
        </w:tc>
        <w:tc>
          <w:tcPr/>
          <w:p>
            <w:pPr>
              <w:pStyle w:val="Compact"/>
            </w:pPr>
            <w:r>
              <w:t xml:space="preserve">51.6%</w:t>
            </w:r>
          </w:p>
        </w:tc>
        <w:tc>
          <w:tcPr/>
          <w:p>
            <w:pPr>
              <w:pStyle w:val="Compact"/>
            </w:pPr>
            <w:r>
              <w:t xml:space="preserve">31.0%</w:t>
            </w:r>
          </w:p>
        </w:tc>
      </w:tr>
      <w:tr>
        <w:tc>
          <w:tcPr/>
          <w:p>
            <w:pPr>
              <w:pStyle w:val="Compact"/>
            </w:pPr>
            <w:r>
              <w:t xml:space="preserve">2018</w:t>
            </w:r>
          </w:p>
        </w:tc>
        <w:tc>
          <w:tcPr/>
          <w:p>
            <w:pPr>
              <w:pStyle w:val="Compact"/>
            </w:pPr>
            <w:r>
              <w:t xml:space="preserve">General OB/GYN</w:t>
            </w:r>
          </w:p>
        </w:tc>
        <w:tc>
          <w:tcPr/>
          <w:p>
            <w:pPr>
              <w:pStyle w:val="Compact"/>
            </w:pPr>
            <w:r>
              <w:t xml:space="preserve">82</w:t>
            </w:r>
          </w:p>
        </w:tc>
        <w:tc>
          <w:tcPr/>
          <w:p>
            <w:pPr>
              <w:pStyle w:val="Compact"/>
            </w:pPr>
            <w:r>
              <w:t xml:space="preserve">1611</w:t>
            </w:r>
          </w:p>
        </w:tc>
        <w:tc>
          <w:tcPr/>
          <w:p>
            <w:pPr>
              <w:pStyle w:val="Compact"/>
            </w:pPr>
            <w:r>
              <w:t xml:space="preserve">18 (13–23)</w:t>
            </w:r>
          </w:p>
        </w:tc>
        <w:tc>
          <w:tcPr/>
          <w:p>
            <w:pPr>
              <w:pStyle w:val="Compact"/>
            </w:pPr>
            <w:r>
              <w:t xml:space="preserve">0.241</w:t>
            </w:r>
          </w:p>
        </w:tc>
        <w:tc>
          <w:tcPr/>
          <w:p>
            <w:pPr>
              <w:pStyle w:val="Compact"/>
            </w:pPr>
            <w:r>
              <w:t xml:space="preserve">155.3</w:t>
            </w:r>
          </w:p>
        </w:tc>
        <w:tc>
          <w:tcPr/>
          <w:p>
            <w:pPr>
              <w:pStyle w:val="Compact"/>
            </w:pPr>
            <w:r>
              <w:t xml:space="preserve">23.5%</w:t>
            </w:r>
          </w:p>
        </w:tc>
        <w:tc>
          <w:tcPr/>
          <w:p>
            <w:pPr>
              <w:pStyle w:val="Compact"/>
            </w:pPr>
            <w:r>
              <w:t xml:space="preserve">36.2%</w:t>
            </w:r>
          </w:p>
        </w:tc>
        <w:tc>
          <w:tcPr/>
          <w:p>
            <w:pPr>
              <w:pStyle w:val="Compact"/>
            </w:pPr>
            <w:r>
              <w:t xml:space="preserve">33.5%</w:t>
            </w:r>
          </w:p>
        </w:tc>
      </w:tr>
      <w:tr>
        <w:tc>
          <w:tcPr/>
          <w:p>
            <w:pPr>
              <w:pStyle w:val="Compact"/>
            </w:pPr>
            <w:r>
              <w:t xml:space="preserve">2018</w:t>
            </w:r>
          </w:p>
        </w:tc>
        <w:tc>
          <w:tcPr/>
          <w:p>
            <w:pPr>
              <w:pStyle w:val="Compact"/>
            </w:pPr>
            <w:r>
              <w:t xml:space="preserve">Urology</w:t>
            </w:r>
          </w:p>
        </w:tc>
        <w:tc>
          <w:tcPr/>
          <w:p>
            <w:pPr>
              <w:pStyle w:val="Compact"/>
            </w:pPr>
            <w:r>
              <w:t xml:space="preserve">112</w:t>
            </w:r>
          </w:p>
        </w:tc>
        <w:tc>
          <w:tcPr/>
          <w:p>
            <w:pPr>
              <w:pStyle w:val="Compact"/>
            </w:pPr>
            <w:r>
              <w:t xml:space="preserve">2195</w:t>
            </w:r>
          </w:p>
        </w:tc>
        <w:tc>
          <w:tcPr/>
          <w:p>
            <w:pPr>
              <w:pStyle w:val="Compact"/>
            </w:pPr>
            <w:r>
              <w:t xml:space="preserve">16 (13–24)</w:t>
            </w:r>
          </w:p>
        </w:tc>
        <w:tc>
          <w:tcPr/>
          <w:p>
            <w:pPr>
              <w:pStyle w:val="Compact"/>
            </w:pPr>
            <w:r>
              <w:t xml:space="preserve">0.257</w:t>
            </w:r>
          </w:p>
        </w:tc>
        <w:tc>
          <w:tcPr/>
          <w:p>
            <w:pPr>
              <w:pStyle w:val="Compact"/>
            </w:pPr>
            <w:r>
              <w:t xml:space="preserve">117.5</w:t>
            </w:r>
          </w:p>
        </w:tc>
        <w:tc>
          <w:tcPr/>
          <w:p>
            <w:pPr>
              <w:pStyle w:val="Compact"/>
            </w:pPr>
            <w:r>
              <w:t xml:space="preserve">23.6%</w:t>
            </w:r>
          </w:p>
        </w:tc>
        <w:tc>
          <w:tcPr/>
          <w:p>
            <w:pPr>
              <w:pStyle w:val="Compact"/>
            </w:pPr>
            <w:r>
              <w:t xml:space="preserve">37.7%</w:t>
            </w:r>
          </w:p>
        </w:tc>
        <w:tc>
          <w:tcPr/>
          <w:p>
            <w:pPr>
              <w:pStyle w:val="Compact"/>
            </w:pPr>
            <w:r>
              <w:t xml:space="preserve">32.3%</w:t>
            </w:r>
          </w:p>
        </w:tc>
      </w:tr>
      <w:tr>
        <w:tc>
          <w:tcPr/>
          <w:p>
            <w:pPr>
              <w:pStyle w:val="Compact"/>
            </w:pPr>
            <w:r>
              <w:t xml:space="preserve">2018</w:t>
            </w:r>
          </w:p>
        </w:tc>
        <w:tc>
          <w:tcPr/>
          <w:p>
            <w:pPr>
              <w:pStyle w:val="Compact"/>
            </w:pPr>
            <w:r>
              <w:t xml:space="preserve">Other/uncertain</w:t>
            </w:r>
          </w:p>
        </w:tc>
        <w:tc>
          <w:tcPr/>
          <w:p>
            <w:pPr>
              <w:pStyle w:val="Compact"/>
            </w:pPr>
            <w:r>
              <w:t xml:space="preserve">55</w:t>
            </w:r>
          </w:p>
        </w:tc>
        <w:tc>
          <w:tcPr/>
          <w:p>
            <w:pPr>
              <w:pStyle w:val="Compact"/>
            </w:pPr>
            <w:r>
              <w:t xml:space="preserve">1284</w:t>
            </w:r>
          </w:p>
        </w:tc>
        <w:tc>
          <w:tcPr/>
          <w:p>
            <w:pPr>
              <w:pStyle w:val="Compact"/>
            </w:pPr>
            <w:r>
              <w:t xml:space="preserve">19 (14–26)</w:t>
            </w:r>
          </w:p>
        </w:tc>
        <w:tc>
          <w:tcPr/>
          <w:p>
            <w:pPr>
              <w:pStyle w:val="Compact"/>
            </w:pPr>
            <w:r>
              <w:t xml:space="preserve">0.275</w:t>
            </w:r>
          </w:p>
        </w:tc>
        <w:tc>
          <w:tcPr/>
          <w:p>
            <w:pPr>
              <w:pStyle w:val="Compact"/>
            </w:pPr>
            <w:r>
              <w:t xml:space="preserve">234.2</w:t>
            </w:r>
          </w:p>
        </w:tc>
        <w:tc>
          <w:tcPr/>
          <w:p>
            <w:pPr>
              <w:pStyle w:val="Compact"/>
            </w:pPr>
            <w:r>
              <w:t xml:space="preserve">24.0%</w:t>
            </w:r>
          </w:p>
        </w:tc>
        <w:tc>
          <w:tcPr/>
          <w:p>
            <w:pPr>
              <w:pStyle w:val="Compact"/>
            </w:pPr>
            <w:r>
              <w:t xml:space="preserve">39.2%</w:t>
            </w:r>
          </w:p>
        </w:tc>
        <w:tc>
          <w:tcPr/>
          <w:p>
            <w:pPr>
              <w:pStyle w:val="Compact"/>
            </w:pPr>
            <w:r>
              <w:t xml:space="preserve">30.5%</w:t>
            </w:r>
          </w:p>
        </w:tc>
      </w:tr>
      <w:tr>
        <w:tc>
          <w:tcPr/>
          <w:p>
            <w:pPr>
              <w:pStyle w:val="Compact"/>
            </w:pPr>
            <w:r>
              <w:t xml:space="preserve">2018</w:t>
            </w:r>
          </w:p>
        </w:tc>
        <w:tc>
          <w:tcPr/>
          <w:p>
            <w:pPr>
              <w:pStyle w:val="Compact"/>
            </w:pPr>
            <w:r>
              <w:t xml:space="preserve">URPS (OB/GYN)</w:t>
            </w:r>
          </w:p>
        </w:tc>
        <w:tc>
          <w:tcPr/>
          <w:p>
            <w:pPr>
              <w:pStyle w:val="Compact"/>
            </w:pPr>
            <w:r>
              <w:t xml:space="preserve">327</w:t>
            </w:r>
          </w:p>
        </w:tc>
        <w:tc>
          <w:tcPr/>
          <w:p>
            <w:pPr>
              <w:pStyle w:val="Compact"/>
            </w:pPr>
            <w:r>
              <w:t xml:space="preserve">8069</w:t>
            </w:r>
          </w:p>
        </w:tc>
        <w:tc>
          <w:tcPr/>
          <w:p>
            <w:pPr>
              <w:pStyle w:val="Compact"/>
            </w:pPr>
            <w:r>
              <w:t xml:space="preserve">21 (15–32)</w:t>
            </w:r>
          </w:p>
        </w:tc>
        <w:tc>
          <w:tcPr/>
          <w:p>
            <w:pPr>
              <w:pStyle w:val="Compact"/>
            </w:pPr>
            <w:r>
              <w:t xml:space="preserve">0.280</w:t>
            </w:r>
          </w:p>
        </w:tc>
        <w:tc>
          <w:tcPr/>
          <w:p>
            <w:pPr>
              <w:pStyle w:val="Compact"/>
            </w:pPr>
            <w:r>
              <w:t xml:space="preserve">39.6</w:t>
            </w:r>
          </w:p>
        </w:tc>
        <w:tc>
          <w:tcPr/>
          <w:p>
            <w:pPr>
              <w:pStyle w:val="Compact"/>
            </w:pPr>
            <w:r>
              <w:t xml:space="preserve">22.3%</w:t>
            </w:r>
          </w:p>
        </w:tc>
        <w:tc>
          <w:tcPr/>
          <w:p>
            <w:pPr>
              <w:pStyle w:val="Compact"/>
            </w:pPr>
            <w:r>
              <w:t xml:space="preserve">37.6%</w:t>
            </w:r>
          </w:p>
        </w:tc>
        <w:tc>
          <w:tcPr/>
          <w:p>
            <w:pPr>
              <w:pStyle w:val="Compact"/>
            </w:pPr>
            <w:r>
              <w:t xml:space="preserve">30.1%</w:t>
            </w:r>
          </w:p>
        </w:tc>
      </w:tr>
      <w:tr>
        <w:tc>
          <w:tcPr/>
          <w:p>
            <w:pPr>
              <w:pStyle w:val="Compact"/>
            </w:pPr>
            <w:r>
              <w:t xml:space="preserve">2018</w:t>
            </w:r>
          </w:p>
        </w:tc>
        <w:tc>
          <w:tcPr/>
          <w:p>
            <w:pPr>
              <w:pStyle w:val="Compact"/>
            </w:pPr>
            <w:r>
              <w:t xml:space="preserve">URPS (urology)</w:t>
            </w:r>
          </w:p>
        </w:tc>
        <w:tc>
          <w:tcPr/>
          <w:p>
            <w:pPr>
              <w:pStyle w:val="Compact"/>
            </w:pPr>
            <w:r>
              <w:t xml:space="preserve">60</w:t>
            </w:r>
          </w:p>
        </w:tc>
        <w:tc>
          <w:tcPr/>
          <w:p>
            <w:pPr>
              <w:pStyle w:val="Compact"/>
            </w:pPr>
            <w:r>
              <w:t xml:space="preserve">1170</w:t>
            </w:r>
          </w:p>
        </w:tc>
        <w:tc>
          <w:tcPr/>
          <w:p>
            <w:pPr>
              <w:pStyle w:val="Compact"/>
            </w:pPr>
            <w:r>
              <w:t xml:space="preserve">16 (14–24)</w:t>
            </w:r>
          </w:p>
        </w:tc>
        <w:tc>
          <w:tcPr/>
          <w:p>
            <w:pPr>
              <w:pStyle w:val="Compact"/>
            </w:pPr>
            <w:r>
              <w:t xml:space="preserve">0.224</w:t>
            </w:r>
          </w:p>
        </w:tc>
        <w:tc>
          <w:tcPr/>
          <w:p>
            <w:pPr>
              <w:pStyle w:val="Compact"/>
            </w:pPr>
            <w:r>
              <w:t xml:space="preserve">202.3</w:t>
            </w:r>
          </w:p>
        </w:tc>
        <w:tc>
          <w:tcPr/>
          <w:p>
            <w:pPr>
              <w:pStyle w:val="Compact"/>
            </w:pPr>
            <w:r>
              <w:t xml:space="preserve">20.1%</w:t>
            </w:r>
          </w:p>
        </w:tc>
        <w:tc>
          <w:tcPr/>
          <w:p>
            <w:pPr>
              <w:pStyle w:val="Compact"/>
            </w:pPr>
            <w:r>
              <w:t xml:space="preserve">34.1%</w:t>
            </w:r>
          </w:p>
        </w:tc>
        <w:tc>
          <w:tcPr/>
          <w:p>
            <w:pPr>
              <w:pStyle w:val="Compact"/>
            </w:pPr>
            <w:r>
              <w:t xml:space="preserve">34.4%</w:t>
            </w:r>
          </w:p>
        </w:tc>
      </w:tr>
      <w:tr>
        <w:tc>
          <w:tcPr/>
          <w:p>
            <w:pPr>
              <w:pStyle w:val="Compact"/>
            </w:pPr>
            <w:r>
              <w:t xml:space="preserve">2019</w:t>
            </w:r>
          </w:p>
        </w:tc>
        <w:tc>
          <w:tcPr/>
          <w:p>
            <w:pPr>
              <w:pStyle w:val="Compact"/>
            </w:pPr>
            <w:r>
              <w:t xml:space="preserve">All</w:t>
            </w:r>
          </w:p>
        </w:tc>
        <w:tc>
          <w:tcPr/>
          <w:p>
            <w:pPr>
              <w:pStyle w:val="Compact"/>
            </w:pPr>
            <w:r>
              <w:t xml:space="preserve">610</w:t>
            </w:r>
          </w:p>
        </w:tc>
        <w:tc>
          <w:tcPr/>
          <w:p>
            <w:pPr>
              <w:pStyle w:val="Compact"/>
            </w:pPr>
            <w:r>
              <w:t xml:space="preserve">13875</w:t>
            </w:r>
          </w:p>
        </w:tc>
        <w:tc>
          <w:tcPr/>
          <w:p>
            <w:pPr>
              <w:pStyle w:val="Compact"/>
            </w:pPr>
            <w:r>
              <w:t xml:space="preserve">19 (14–27)</w:t>
            </w:r>
          </w:p>
        </w:tc>
        <w:tc>
          <w:tcPr/>
          <w:p>
            <w:pPr>
              <w:pStyle w:val="Compact"/>
            </w:pPr>
            <w:r>
              <w:t xml:space="preserve">0.275</w:t>
            </w:r>
          </w:p>
        </w:tc>
        <w:tc>
          <w:tcPr/>
          <w:p>
            <w:pPr>
              <w:pStyle w:val="Compact"/>
            </w:pPr>
            <w:r>
              <w:t xml:space="preserve">21.4</w:t>
            </w:r>
          </w:p>
        </w:tc>
        <w:tc>
          <w:tcPr/>
          <w:p>
            <w:pPr>
              <w:pStyle w:val="Compact"/>
            </w:pPr>
            <w:r>
              <w:t xml:space="preserve">23.4%</w:t>
            </w:r>
          </w:p>
        </w:tc>
        <w:tc>
          <w:tcPr/>
          <w:p>
            <w:pPr>
              <w:pStyle w:val="Compact"/>
            </w:pPr>
            <w:r>
              <w:t xml:space="preserve">38.0%</w:t>
            </w:r>
          </w:p>
        </w:tc>
        <w:tc>
          <w:tcPr/>
          <w:p>
            <w:pPr>
              <w:pStyle w:val="Compact"/>
            </w:pPr>
            <w:r>
              <w:t xml:space="preserve">31.1%</w:t>
            </w:r>
          </w:p>
        </w:tc>
      </w:tr>
      <w:tr>
        <w:tc>
          <w:tcPr/>
          <w:p>
            <w:pPr>
              <w:pStyle w:val="Compact"/>
            </w:pPr>
            <w:r>
              <w:t xml:space="preserve">2019</w:t>
            </w:r>
          </w:p>
        </w:tc>
        <w:tc>
          <w:tcPr/>
          <w:p>
            <w:pPr>
              <w:pStyle w:val="Compact"/>
            </w:pPr>
            <w:r>
              <w:t xml:space="preserve">MIGS</w:t>
            </w:r>
          </w:p>
        </w:tc>
        <w:tc>
          <w:tcPr/>
          <w:p>
            <w:pPr>
              <w:pStyle w:val="Compact"/>
            </w:pPr>
            <w:r>
              <w:t xml:space="preserve">5</w:t>
            </w:r>
          </w:p>
        </w:tc>
        <w:tc>
          <w:tcPr/>
          <w:p>
            <w:pPr>
              <w:pStyle w:val="Compact"/>
            </w:pPr>
            <w:r>
              <w:t xml:space="preserve">168</w:t>
            </w:r>
          </w:p>
        </w:tc>
        <w:tc>
          <w:tcPr/>
          <w:p>
            <w:pPr>
              <w:pStyle w:val="Compact"/>
            </w:pPr>
            <w:r>
              <w:t xml:space="preserve">25 (16–34)</w:t>
            </w:r>
          </w:p>
        </w:tc>
        <w:tc>
          <w:tcPr/>
          <w:p>
            <w:pPr>
              <w:pStyle w:val="Compact"/>
            </w:pPr>
            <w:r>
              <w:t xml:space="preserve">0.333</w:t>
            </w:r>
          </w:p>
        </w:tc>
        <w:tc>
          <w:tcPr/>
          <w:p>
            <w:pPr>
              <w:pStyle w:val="Compact"/>
            </w:pPr>
            <w:r>
              <w:t xml:space="preserve">2913.1</w:t>
            </w:r>
          </w:p>
        </w:tc>
        <w:tc>
          <w:tcPr/>
          <w:p>
            <w:pPr>
              <w:pStyle w:val="Compact"/>
            </w:pPr>
            <w:r>
              <w:t xml:space="preserve">45.8%</w:t>
            </w:r>
          </w:p>
        </w:tc>
        <w:tc>
          <w:tcPr/>
          <w:p>
            <w:pPr>
              <w:pStyle w:val="Compact"/>
            </w:pPr>
            <w:r>
              <w:t xml:space="preserve">45.8%</w:t>
            </w:r>
          </w:p>
        </w:tc>
        <w:tc>
          <w:tcPr/>
          <w:p>
            <w:pPr>
              <w:pStyle w:val="Compact"/>
            </w:pPr>
            <w:r>
              <w:t xml:space="preserve">19.0%</w:t>
            </w:r>
          </w:p>
        </w:tc>
      </w:tr>
      <w:tr>
        <w:tc>
          <w:tcPr/>
          <w:p>
            <w:pPr>
              <w:pStyle w:val="Compact"/>
            </w:pPr>
            <w:r>
              <w:t xml:space="preserve">2019</w:t>
            </w:r>
          </w:p>
        </w:tc>
        <w:tc>
          <w:tcPr/>
          <w:p>
            <w:pPr>
              <w:pStyle w:val="Compact"/>
            </w:pPr>
            <w:r>
              <w:t xml:space="preserve">General OB/GYN</w:t>
            </w:r>
          </w:p>
        </w:tc>
        <w:tc>
          <w:tcPr/>
          <w:p>
            <w:pPr>
              <w:pStyle w:val="Compact"/>
            </w:pPr>
            <w:r>
              <w:t xml:space="preserve">85</w:t>
            </w:r>
          </w:p>
        </w:tc>
        <w:tc>
          <w:tcPr/>
          <w:p>
            <w:pPr>
              <w:pStyle w:val="Compact"/>
            </w:pPr>
            <w:r>
              <w:t xml:space="preserve">1757</w:t>
            </w:r>
          </w:p>
        </w:tc>
        <w:tc>
          <w:tcPr/>
          <w:p>
            <w:pPr>
              <w:pStyle w:val="Compact"/>
            </w:pPr>
            <w:r>
              <w:t xml:space="preserve">17 (13–25)</w:t>
            </w:r>
          </w:p>
        </w:tc>
        <w:tc>
          <w:tcPr/>
          <w:p>
            <w:pPr>
              <w:pStyle w:val="Compact"/>
            </w:pPr>
            <w:r>
              <w:t xml:space="preserve">0.275</w:t>
            </w:r>
          </w:p>
        </w:tc>
        <w:tc>
          <w:tcPr/>
          <w:p>
            <w:pPr>
              <w:pStyle w:val="Compact"/>
            </w:pPr>
            <w:r>
              <w:t xml:space="preserve">156.8</w:t>
            </w:r>
          </w:p>
        </w:tc>
        <w:tc>
          <w:tcPr/>
          <w:p>
            <w:pPr>
              <w:pStyle w:val="Compact"/>
            </w:pPr>
            <w:r>
              <w:t xml:space="preserve">24.6%</w:t>
            </w:r>
          </w:p>
        </w:tc>
        <w:tc>
          <w:tcPr/>
          <w:p>
            <w:pPr>
              <w:pStyle w:val="Compact"/>
            </w:pPr>
            <w:r>
              <w:t xml:space="preserve">38.6%</w:t>
            </w:r>
          </w:p>
        </w:tc>
        <w:tc>
          <w:tcPr/>
          <w:p>
            <w:pPr>
              <w:pStyle w:val="Compact"/>
            </w:pPr>
            <w:r>
              <w:t xml:space="preserve">30.6%</w:t>
            </w:r>
          </w:p>
        </w:tc>
      </w:tr>
      <w:tr>
        <w:tc>
          <w:tcPr/>
          <w:p>
            <w:pPr>
              <w:pStyle w:val="Compact"/>
            </w:pPr>
            <w:r>
              <w:t xml:space="preserve">2019</w:t>
            </w:r>
          </w:p>
        </w:tc>
        <w:tc>
          <w:tcPr/>
          <w:p>
            <w:pPr>
              <w:pStyle w:val="Compact"/>
            </w:pPr>
            <w:r>
              <w:t xml:space="preserve">Urology</w:t>
            </w:r>
          </w:p>
        </w:tc>
        <w:tc>
          <w:tcPr/>
          <w:p>
            <w:pPr>
              <w:pStyle w:val="Compact"/>
            </w:pPr>
            <w:r>
              <w:t xml:space="preserve">82</w:t>
            </w:r>
          </w:p>
        </w:tc>
        <w:tc>
          <w:tcPr/>
          <w:p>
            <w:pPr>
              <w:pStyle w:val="Compact"/>
            </w:pPr>
            <w:r>
              <w:t xml:space="preserve">1621</w:t>
            </w:r>
          </w:p>
        </w:tc>
        <w:tc>
          <w:tcPr/>
          <w:p>
            <w:pPr>
              <w:pStyle w:val="Compact"/>
            </w:pPr>
            <w:r>
              <w:t xml:space="preserve">16 (13–24)</w:t>
            </w:r>
          </w:p>
        </w:tc>
        <w:tc>
          <w:tcPr/>
          <w:p>
            <w:pPr>
              <w:pStyle w:val="Compact"/>
            </w:pPr>
            <w:r>
              <w:t xml:space="preserve">0.239</w:t>
            </w:r>
          </w:p>
        </w:tc>
        <w:tc>
          <w:tcPr/>
          <w:p>
            <w:pPr>
              <w:pStyle w:val="Compact"/>
            </w:pPr>
            <w:r>
              <w:t xml:space="preserve">152.7</w:t>
            </w:r>
          </w:p>
        </w:tc>
        <w:tc>
          <w:tcPr/>
          <w:p>
            <w:pPr>
              <w:pStyle w:val="Compact"/>
            </w:pPr>
            <w:r>
              <w:t xml:space="preserve">22.9%</w:t>
            </w:r>
          </w:p>
        </w:tc>
        <w:tc>
          <w:tcPr/>
          <w:p>
            <w:pPr>
              <w:pStyle w:val="Compact"/>
            </w:pPr>
            <w:r>
              <w:t xml:space="preserve">36.4%</w:t>
            </w:r>
          </w:p>
        </w:tc>
        <w:tc>
          <w:tcPr/>
          <w:p>
            <w:pPr>
              <w:pStyle w:val="Compact"/>
            </w:pPr>
            <w:r>
              <w:t xml:space="preserve">33.5%</w:t>
            </w:r>
          </w:p>
        </w:tc>
      </w:tr>
      <w:tr>
        <w:tc>
          <w:tcPr/>
          <w:p>
            <w:pPr>
              <w:pStyle w:val="Compact"/>
            </w:pPr>
            <w:r>
              <w:t xml:space="preserve">2019</w:t>
            </w:r>
          </w:p>
        </w:tc>
        <w:tc>
          <w:tcPr/>
          <w:p>
            <w:pPr>
              <w:pStyle w:val="Compact"/>
            </w:pPr>
            <w:r>
              <w:t xml:space="preserve">Other/uncertain</w:t>
            </w:r>
          </w:p>
        </w:tc>
        <w:tc>
          <w:tcPr/>
          <w:p>
            <w:pPr>
              <w:pStyle w:val="Compact"/>
            </w:pPr>
            <w:r>
              <w:t xml:space="preserve">52</w:t>
            </w:r>
          </w:p>
        </w:tc>
        <w:tc>
          <w:tcPr/>
          <w:p>
            <w:pPr>
              <w:pStyle w:val="Compact"/>
            </w:pPr>
            <w:r>
              <w:t xml:space="preserve">1155</w:t>
            </w:r>
          </w:p>
        </w:tc>
        <w:tc>
          <w:tcPr/>
          <w:p>
            <w:pPr>
              <w:pStyle w:val="Compact"/>
            </w:pPr>
            <w:r>
              <w:t xml:space="preserve">18 (14–27)</w:t>
            </w:r>
          </w:p>
        </w:tc>
        <w:tc>
          <w:tcPr/>
          <w:p>
            <w:pPr>
              <w:pStyle w:val="Compact"/>
            </w:pPr>
            <w:r>
              <w:t xml:space="preserve">0.271</w:t>
            </w:r>
          </w:p>
        </w:tc>
        <w:tc>
          <w:tcPr/>
          <w:p>
            <w:pPr>
              <w:pStyle w:val="Compact"/>
            </w:pPr>
            <w:r>
              <w:t xml:space="preserve">249.7</w:t>
            </w:r>
          </w:p>
        </w:tc>
        <w:tc>
          <w:tcPr/>
          <w:p>
            <w:pPr>
              <w:pStyle w:val="Compact"/>
            </w:pPr>
            <w:r>
              <w:t xml:space="preserve">25.7%</w:t>
            </w:r>
          </w:p>
        </w:tc>
        <w:tc>
          <w:tcPr/>
          <w:p>
            <w:pPr>
              <w:pStyle w:val="Compact"/>
            </w:pPr>
            <w:r>
              <w:t xml:space="preserve">39.0%</w:t>
            </w:r>
          </w:p>
        </w:tc>
        <w:tc>
          <w:tcPr/>
          <w:p>
            <w:pPr>
              <w:pStyle w:val="Compact"/>
            </w:pPr>
            <w:r>
              <w:t xml:space="preserve">31.2%</w:t>
            </w:r>
          </w:p>
        </w:tc>
      </w:tr>
      <w:tr>
        <w:tc>
          <w:tcPr/>
          <w:p>
            <w:pPr>
              <w:pStyle w:val="Compact"/>
            </w:pPr>
            <w:r>
              <w:t xml:space="preserve">2019</w:t>
            </w:r>
          </w:p>
        </w:tc>
        <w:tc>
          <w:tcPr/>
          <w:p>
            <w:pPr>
              <w:pStyle w:val="Compact"/>
            </w:pPr>
            <w:r>
              <w:t xml:space="preserve">URPS (OB/GYN)</w:t>
            </w:r>
          </w:p>
        </w:tc>
        <w:tc>
          <w:tcPr/>
          <w:p>
            <w:pPr>
              <w:pStyle w:val="Compact"/>
            </w:pPr>
            <w:r>
              <w:t xml:space="preserve">328</w:t>
            </w:r>
          </w:p>
        </w:tc>
        <w:tc>
          <w:tcPr/>
          <w:p>
            <w:pPr>
              <w:pStyle w:val="Compact"/>
            </w:pPr>
            <w:r>
              <w:t xml:space="preserve">8059</w:t>
            </w:r>
          </w:p>
        </w:tc>
        <w:tc>
          <w:tcPr/>
          <w:p>
            <w:pPr>
              <w:pStyle w:val="Compact"/>
            </w:pPr>
            <w:r>
              <w:t xml:space="preserve">20 (15–29)</w:t>
            </w:r>
          </w:p>
        </w:tc>
        <w:tc>
          <w:tcPr/>
          <w:p>
            <w:pPr>
              <w:pStyle w:val="Compact"/>
            </w:pPr>
            <w:r>
              <w:t xml:space="preserve">0.277</w:t>
            </w:r>
          </w:p>
        </w:tc>
        <w:tc>
          <w:tcPr/>
          <w:p>
            <w:pPr>
              <w:pStyle w:val="Compact"/>
            </w:pPr>
            <w:r>
              <w:t xml:space="preserve">39.4</w:t>
            </w:r>
          </w:p>
        </w:tc>
        <w:tc>
          <w:tcPr/>
          <w:p>
            <w:pPr>
              <w:pStyle w:val="Compact"/>
            </w:pPr>
            <w:r>
              <w:t xml:space="preserve">22.7%</w:t>
            </w:r>
          </w:p>
        </w:tc>
        <w:tc>
          <w:tcPr/>
          <w:p>
            <w:pPr>
              <w:pStyle w:val="Compact"/>
            </w:pPr>
            <w:r>
              <w:t xml:space="preserve">38.2%</w:t>
            </w:r>
          </w:p>
        </w:tc>
        <w:tc>
          <w:tcPr/>
          <w:p>
            <w:pPr>
              <w:pStyle w:val="Compact"/>
            </w:pPr>
            <w:r>
              <w:t xml:space="preserve">31.0%</w:t>
            </w:r>
          </w:p>
        </w:tc>
      </w:tr>
      <w:tr>
        <w:tc>
          <w:tcPr/>
          <w:p>
            <w:pPr>
              <w:pStyle w:val="Compact"/>
            </w:pPr>
            <w:r>
              <w:t xml:space="preserve">2019</w:t>
            </w:r>
          </w:p>
        </w:tc>
        <w:tc>
          <w:tcPr/>
          <w:p>
            <w:pPr>
              <w:pStyle w:val="Compact"/>
            </w:pPr>
            <w:r>
              <w:t xml:space="preserve">URPS (urology)</w:t>
            </w:r>
          </w:p>
        </w:tc>
        <w:tc>
          <w:tcPr/>
          <w:p>
            <w:pPr>
              <w:pStyle w:val="Compact"/>
            </w:pPr>
            <w:r>
              <w:t xml:space="preserve">58</w:t>
            </w:r>
          </w:p>
        </w:tc>
        <w:tc>
          <w:tcPr/>
          <w:p>
            <w:pPr>
              <w:pStyle w:val="Compact"/>
            </w:pPr>
            <w:r>
              <w:t xml:space="preserve">1115</w:t>
            </w:r>
          </w:p>
        </w:tc>
        <w:tc>
          <w:tcPr/>
          <w:p>
            <w:pPr>
              <w:pStyle w:val="Compact"/>
            </w:pPr>
            <w:r>
              <w:t xml:space="preserve">16 (13–24)</w:t>
            </w:r>
          </w:p>
        </w:tc>
        <w:tc>
          <w:tcPr/>
          <w:p>
            <w:pPr>
              <w:pStyle w:val="Compact"/>
            </w:pPr>
            <w:r>
              <w:t xml:space="preserve">0.225</w:t>
            </w:r>
          </w:p>
        </w:tc>
        <w:tc>
          <w:tcPr/>
          <w:p>
            <w:pPr>
              <w:pStyle w:val="Compact"/>
            </w:pPr>
            <w:r>
              <w:t xml:space="preserve">215.0</w:t>
            </w:r>
          </w:p>
        </w:tc>
        <w:tc>
          <w:tcPr/>
          <w:p>
            <w:pPr>
              <w:pStyle w:val="Compact"/>
            </w:pPr>
            <w:r>
              <w:t xml:space="preserve">21.3%</w:t>
            </w:r>
          </w:p>
        </w:tc>
        <w:tc>
          <w:tcPr/>
          <w:p>
            <w:pPr>
              <w:pStyle w:val="Compact"/>
            </w:pPr>
            <w:r>
              <w:t xml:space="preserve">35.3%</w:t>
            </w:r>
          </w:p>
        </w:tc>
        <w:tc>
          <w:tcPr/>
          <w:p>
            <w:pPr>
              <w:pStyle w:val="Compact"/>
            </w:pPr>
            <w:r>
              <w:t xml:space="preserve">34.6%</w:t>
            </w:r>
          </w:p>
        </w:tc>
      </w:tr>
      <w:tr>
        <w:tc>
          <w:tcPr/>
          <w:p>
            <w:pPr>
              <w:pStyle w:val="Compact"/>
            </w:pPr>
            <w:r>
              <w:t xml:space="preserve">2020</w:t>
            </w:r>
          </w:p>
        </w:tc>
        <w:tc>
          <w:tcPr/>
          <w:p>
            <w:pPr>
              <w:pStyle w:val="Compact"/>
            </w:pPr>
            <w:r>
              <w:t xml:space="preserve">All</w:t>
            </w:r>
          </w:p>
        </w:tc>
        <w:tc>
          <w:tcPr/>
          <w:p>
            <w:pPr>
              <w:pStyle w:val="Compact"/>
            </w:pPr>
            <w:r>
              <w:t xml:space="preserve">423</w:t>
            </w:r>
          </w:p>
        </w:tc>
        <w:tc>
          <w:tcPr/>
          <w:p>
            <w:pPr>
              <w:pStyle w:val="Compact"/>
            </w:pPr>
            <w:r>
              <w:t xml:space="preserve">8783</w:t>
            </w:r>
          </w:p>
        </w:tc>
        <w:tc>
          <w:tcPr/>
          <w:p>
            <w:pPr>
              <w:pStyle w:val="Compact"/>
            </w:pPr>
            <w:r>
              <w:t xml:space="preserve">17 (13–24)</w:t>
            </w:r>
          </w:p>
        </w:tc>
        <w:tc>
          <w:tcPr/>
          <w:p>
            <w:pPr>
              <w:pStyle w:val="Compact"/>
            </w:pPr>
            <w:r>
              <w:t xml:space="preserve">0.257</w:t>
            </w:r>
          </w:p>
        </w:tc>
        <w:tc>
          <w:tcPr/>
          <w:p>
            <w:pPr>
              <w:pStyle w:val="Compact"/>
            </w:pPr>
            <w:r>
              <w:t xml:space="preserve">30.1</w:t>
            </w:r>
          </w:p>
        </w:tc>
        <w:tc>
          <w:tcPr/>
          <w:p>
            <w:pPr>
              <w:pStyle w:val="Compact"/>
            </w:pPr>
            <w:r>
              <w:t xml:space="preserve">22.9%</w:t>
            </w:r>
          </w:p>
        </w:tc>
        <w:tc>
          <w:tcPr/>
          <w:p>
            <w:pPr>
              <w:pStyle w:val="Compact"/>
            </w:pPr>
            <w:r>
              <w:t xml:space="preserve">37.1%</w:t>
            </w:r>
          </w:p>
        </w:tc>
        <w:tc>
          <w:tcPr/>
          <w:p>
            <w:pPr>
              <w:pStyle w:val="Compact"/>
            </w:pPr>
            <w:r>
              <w:t xml:space="preserve">32.4%</w:t>
            </w:r>
          </w:p>
        </w:tc>
      </w:tr>
      <w:tr>
        <w:tc>
          <w:tcPr/>
          <w:p>
            <w:pPr>
              <w:pStyle w:val="Compact"/>
            </w:pPr>
            <w:r>
              <w:t xml:space="preserve">2020</w:t>
            </w:r>
          </w:p>
        </w:tc>
        <w:tc>
          <w:tcPr/>
          <w:p>
            <w:pPr>
              <w:pStyle w:val="Compact"/>
            </w:pPr>
            <w:r>
              <w:t xml:space="preserve">MIGS</w:t>
            </w:r>
          </w:p>
        </w:tc>
        <w:tc>
          <w:tcPr/>
          <w:p>
            <w:pPr>
              <w:pStyle w:val="Compact"/>
            </w:pPr>
            <w:r>
              <w:t xml:space="preserve">2</w:t>
            </w:r>
          </w:p>
        </w:tc>
        <w:tc>
          <w:tcPr/>
          <w:p>
            <w:pPr>
              <w:pStyle w:val="Compact"/>
            </w:pPr>
            <w:r>
              <w:t xml:space="preserve">81</w:t>
            </w:r>
          </w:p>
        </w:tc>
        <w:tc>
          <w:tcPr/>
          <w:p>
            <w:pPr>
              <w:pStyle w:val="Compact"/>
            </w:pPr>
            <w:r>
              <w:t xml:space="preserve">40 (34–47)</w:t>
            </w:r>
          </w:p>
        </w:tc>
        <w:tc>
          <w:tcPr/>
          <w:p>
            <w:pPr>
              <w:pStyle w:val="Compact"/>
            </w:pPr>
            <w:r>
              <w:t xml:space="preserve">0.154</w:t>
            </w:r>
          </w:p>
        </w:tc>
        <w:tc>
          <w:tcPr/>
          <w:p>
            <w:pPr>
              <w:pStyle w:val="Compact"/>
            </w:pPr>
            <w:r>
              <w:t xml:space="preserve">5476.3</w:t>
            </w:r>
          </w:p>
        </w:tc>
        <w:tc>
          <w:tcPr/>
          <w:p>
            <w:pPr>
              <w:pStyle w:val="Compact"/>
            </w:pPr>
            <w:r>
              <w:t xml:space="preserve">65.4%</w:t>
            </w:r>
          </w:p>
        </w:tc>
        <w:tc>
          <w:tcPr/>
          <w:p>
            <w:pPr>
              <w:pStyle w:val="Compact"/>
            </w:pPr>
            <w:r>
              <w:t xml:space="preserve">65.4%</w:t>
            </w:r>
          </w:p>
        </w:tc>
        <w:tc>
          <w:tcPr/>
          <w:p>
            <w:pPr>
              <w:pStyle w:val="Compact"/>
            </w:pPr>
            <w:r>
              <w:t xml:space="preserve">34.6%</w:t>
            </w:r>
          </w:p>
        </w:tc>
      </w:tr>
      <w:tr>
        <w:tc>
          <w:tcPr/>
          <w:p>
            <w:pPr>
              <w:pStyle w:val="Compact"/>
            </w:pPr>
            <w:r>
              <w:t xml:space="preserve">2020</w:t>
            </w:r>
          </w:p>
        </w:tc>
        <w:tc>
          <w:tcPr/>
          <w:p>
            <w:pPr>
              <w:pStyle w:val="Compact"/>
            </w:pPr>
            <w:r>
              <w:t xml:space="preserve">General OB/GYN</w:t>
            </w:r>
          </w:p>
        </w:tc>
        <w:tc>
          <w:tcPr/>
          <w:p>
            <w:pPr>
              <w:pStyle w:val="Compact"/>
            </w:pPr>
            <w:r>
              <w:t xml:space="preserve">46</w:t>
            </w:r>
          </w:p>
        </w:tc>
        <w:tc>
          <w:tcPr/>
          <w:p>
            <w:pPr>
              <w:pStyle w:val="Compact"/>
            </w:pPr>
            <w:r>
              <w:t xml:space="preserve">941</w:t>
            </w:r>
          </w:p>
        </w:tc>
        <w:tc>
          <w:tcPr/>
          <w:p>
            <w:pPr>
              <w:pStyle w:val="Compact"/>
            </w:pPr>
            <w:r>
              <w:t xml:space="preserve">17 (13–24)</w:t>
            </w:r>
          </w:p>
        </w:tc>
        <w:tc>
          <w:tcPr/>
          <w:p>
            <w:pPr>
              <w:pStyle w:val="Compact"/>
            </w:pPr>
            <w:r>
              <w:t xml:space="preserve">0.250</w:t>
            </w:r>
          </w:p>
        </w:tc>
        <w:tc>
          <w:tcPr/>
          <w:p>
            <w:pPr>
              <w:pStyle w:val="Compact"/>
            </w:pPr>
            <w:r>
              <w:t xml:space="preserve">274.4</w:t>
            </w:r>
          </w:p>
        </w:tc>
        <w:tc>
          <w:tcPr/>
          <w:p>
            <w:pPr>
              <w:pStyle w:val="Compact"/>
            </w:pPr>
            <w:r>
              <w:t xml:space="preserve">23.5%</w:t>
            </w:r>
          </w:p>
        </w:tc>
        <w:tc>
          <w:tcPr/>
          <w:p>
            <w:pPr>
              <w:pStyle w:val="Compact"/>
            </w:pPr>
            <w:r>
              <w:t xml:space="preserve">38.8%</w:t>
            </w:r>
          </w:p>
        </w:tc>
        <w:tc>
          <w:tcPr/>
          <w:p>
            <w:pPr>
              <w:pStyle w:val="Compact"/>
            </w:pPr>
            <w:r>
              <w:t xml:space="preserve">33.3%</w:t>
            </w:r>
          </w:p>
        </w:tc>
      </w:tr>
      <w:tr>
        <w:tc>
          <w:tcPr/>
          <w:p>
            <w:pPr>
              <w:pStyle w:val="Compact"/>
            </w:pPr>
            <w:r>
              <w:t xml:space="preserve">2020</w:t>
            </w:r>
          </w:p>
        </w:tc>
        <w:tc>
          <w:tcPr/>
          <w:p>
            <w:pPr>
              <w:pStyle w:val="Compact"/>
            </w:pPr>
            <w:r>
              <w:t xml:space="preserve">Urology</w:t>
            </w:r>
          </w:p>
        </w:tc>
        <w:tc>
          <w:tcPr/>
          <w:p>
            <w:pPr>
              <w:pStyle w:val="Compact"/>
            </w:pPr>
            <w:r>
              <w:t xml:space="preserve">57</w:t>
            </w:r>
          </w:p>
        </w:tc>
        <w:tc>
          <w:tcPr/>
          <w:p>
            <w:pPr>
              <w:pStyle w:val="Compact"/>
            </w:pPr>
            <w:r>
              <w:t xml:space="preserve">940</w:t>
            </w:r>
          </w:p>
        </w:tc>
        <w:tc>
          <w:tcPr/>
          <w:p>
            <w:pPr>
              <w:pStyle w:val="Compact"/>
            </w:pPr>
            <w:r>
              <w:t xml:space="preserve">14 (12–19)</w:t>
            </w:r>
          </w:p>
        </w:tc>
        <w:tc>
          <w:tcPr/>
          <w:p>
            <w:pPr>
              <w:pStyle w:val="Compact"/>
            </w:pPr>
            <w:r>
              <w:t xml:space="preserve">0.192</w:t>
            </w:r>
          </w:p>
        </w:tc>
        <w:tc>
          <w:tcPr/>
          <w:p>
            <w:pPr>
              <w:pStyle w:val="Compact"/>
            </w:pPr>
            <w:r>
              <w:t xml:space="preserve">204.4</w:t>
            </w:r>
          </w:p>
        </w:tc>
        <w:tc>
          <w:tcPr/>
          <w:p>
            <w:pPr>
              <w:pStyle w:val="Compact"/>
            </w:pPr>
            <w:r>
              <w:t xml:space="preserve">20.2%</w:t>
            </w:r>
          </w:p>
        </w:tc>
        <w:tc>
          <w:tcPr/>
          <w:p>
            <w:pPr>
              <w:pStyle w:val="Compact"/>
            </w:pPr>
            <w:r>
              <w:t xml:space="preserve">34.0%</w:t>
            </w:r>
          </w:p>
        </w:tc>
        <w:tc>
          <w:tcPr/>
          <w:p>
            <w:pPr>
              <w:pStyle w:val="Compact"/>
            </w:pPr>
            <w:r>
              <w:t xml:space="preserve">36.3%</w:t>
            </w:r>
          </w:p>
        </w:tc>
      </w:tr>
      <w:tr>
        <w:tc>
          <w:tcPr/>
          <w:p>
            <w:pPr>
              <w:pStyle w:val="Compact"/>
            </w:pPr>
            <w:r>
              <w:t xml:space="preserve">2020</w:t>
            </w:r>
          </w:p>
        </w:tc>
        <w:tc>
          <w:tcPr/>
          <w:p>
            <w:pPr>
              <w:pStyle w:val="Compact"/>
            </w:pPr>
            <w:r>
              <w:t xml:space="preserve">Other/uncertain</w:t>
            </w:r>
          </w:p>
        </w:tc>
        <w:tc>
          <w:tcPr/>
          <w:p>
            <w:pPr>
              <w:pStyle w:val="Compact"/>
            </w:pPr>
            <w:r>
              <w:t xml:space="preserve">38</w:t>
            </w:r>
          </w:p>
        </w:tc>
        <w:tc>
          <w:tcPr/>
          <w:p>
            <w:pPr>
              <w:pStyle w:val="Compact"/>
            </w:pPr>
            <w:r>
              <w:t xml:space="preserve">770</w:t>
            </w:r>
          </w:p>
        </w:tc>
        <w:tc>
          <w:tcPr/>
          <w:p>
            <w:pPr>
              <w:pStyle w:val="Compact"/>
            </w:pPr>
            <w:r>
              <w:t xml:space="preserve">16 (13–25)</w:t>
            </w:r>
          </w:p>
        </w:tc>
        <w:tc>
          <w:tcPr/>
          <w:p>
            <w:pPr>
              <w:pStyle w:val="Compact"/>
            </w:pPr>
            <w:r>
              <w:t xml:space="preserve">0.234</w:t>
            </w:r>
          </w:p>
        </w:tc>
        <w:tc>
          <w:tcPr/>
          <w:p>
            <w:pPr>
              <w:pStyle w:val="Compact"/>
            </w:pPr>
            <w:r>
              <w:t xml:space="preserve">325.5</w:t>
            </w:r>
          </w:p>
        </w:tc>
        <w:tc>
          <w:tcPr/>
          <w:p>
            <w:pPr>
              <w:pStyle w:val="Compact"/>
            </w:pPr>
            <w:r>
              <w:t xml:space="preserve">21.3%</w:t>
            </w:r>
          </w:p>
        </w:tc>
        <w:tc>
          <w:tcPr/>
          <w:p>
            <w:pPr>
              <w:pStyle w:val="Compact"/>
            </w:pPr>
            <w:r>
              <w:t xml:space="preserve">35.8%</w:t>
            </w:r>
          </w:p>
        </w:tc>
        <w:tc>
          <w:tcPr/>
          <w:p>
            <w:pPr>
              <w:pStyle w:val="Compact"/>
            </w:pPr>
            <w:r>
              <w:t xml:space="preserve">33.5%</w:t>
            </w:r>
          </w:p>
        </w:tc>
      </w:tr>
      <w:tr>
        <w:tc>
          <w:tcPr/>
          <w:p>
            <w:pPr>
              <w:pStyle w:val="Compact"/>
            </w:pPr>
            <w:r>
              <w:t xml:space="preserve">2020</w:t>
            </w:r>
          </w:p>
        </w:tc>
        <w:tc>
          <w:tcPr/>
          <w:p>
            <w:pPr>
              <w:pStyle w:val="Compact"/>
            </w:pPr>
            <w:r>
              <w:t xml:space="preserve">URPS (OB/GYN)</w:t>
            </w:r>
          </w:p>
        </w:tc>
        <w:tc>
          <w:tcPr/>
          <w:p>
            <w:pPr>
              <w:pStyle w:val="Compact"/>
            </w:pPr>
            <w:r>
              <w:t xml:space="preserve">243</w:t>
            </w:r>
          </w:p>
        </w:tc>
        <w:tc>
          <w:tcPr/>
          <w:p>
            <w:pPr>
              <w:pStyle w:val="Compact"/>
            </w:pPr>
            <w:r>
              <w:t xml:space="preserve">5379</w:t>
            </w:r>
          </w:p>
        </w:tc>
        <w:tc>
          <w:tcPr/>
          <w:p>
            <w:pPr>
              <w:pStyle w:val="Compact"/>
            </w:pPr>
            <w:r>
              <w:t xml:space="preserve">19 (14–26)</w:t>
            </w:r>
          </w:p>
        </w:tc>
        <w:tc>
          <w:tcPr/>
          <w:p>
            <w:pPr>
              <w:pStyle w:val="Compact"/>
            </w:pPr>
            <w:r>
              <w:t xml:space="preserve">0.265</w:t>
            </w:r>
          </w:p>
        </w:tc>
        <w:tc>
          <w:tcPr/>
          <w:p>
            <w:pPr>
              <w:pStyle w:val="Compact"/>
            </w:pPr>
            <w:r>
              <w:t xml:space="preserve">52.6</w:t>
            </w:r>
          </w:p>
        </w:tc>
        <w:tc>
          <w:tcPr/>
          <w:p>
            <w:pPr>
              <w:pStyle w:val="Compact"/>
            </w:pPr>
            <w:r>
              <w:t xml:space="preserve">23.1%</w:t>
            </w:r>
          </w:p>
        </w:tc>
        <w:tc>
          <w:tcPr/>
          <w:p>
            <w:pPr>
              <w:pStyle w:val="Compact"/>
            </w:pPr>
            <w:r>
              <w:t xml:space="preserve">37.7%</w:t>
            </w:r>
          </w:p>
        </w:tc>
        <w:tc>
          <w:tcPr/>
          <w:p>
            <w:pPr>
              <w:pStyle w:val="Compact"/>
            </w:pPr>
            <w:r>
              <w:t xml:space="preserve">31.6%</w:t>
            </w:r>
          </w:p>
        </w:tc>
      </w:tr>
      <w:tr>
        <w:tc>
          <w:tcPr/>
          <w:p>
            <w:pPr>
              <w:pStyle w:val="Compact"/>
            </w:pPr>
            <w:r>
              <w:t xml:space="preserve">2020</w:t>
            </w:r>
          </w:p>
        </w:tc>
        <w:tc>
          <w:tcPr/>
          <w:p>
            <w:pPr>
              <w:pStyle w:val="Compact"/>
            </w:pPr>
            <w:r>
              <w:t xml:space="preserve">URPS (urology)</w:t>
            </w:r>
          </w:p>
        </w:tc>
        <w:tc>
          <w:tcPr/>
          <w:p>
            <w:pPr>
              <w:pStyle w:val="Compact"/>
            </w:pPr>
            <w:r>
              <w:t xml:space="preserve">37</w:t>
            </w:r>
          </w:p>
        </w:tc>
        <w:tc>
          <w:tcPr/>
          <w:p>
            <w:pPr>
              <w:pStyle w:val="Compact"/>
            </w:pPr>
            <w:r>
              <w:t xml:space="preserve">672</w:t>
            </w:r>
          </w:p>
        </w:tc>
        <w:tc>
          <w:tcPr/>
          <w:p>
            <w:pPr>
              <w:pStyle w:val="Compact"/>
            </w:pPr>
            <w:r>
              <w:t xml:space="preserve">17 (12–19)</w:t>
            </w:r>
          </w:p>
        </w:tc>
        <w:tc>
          <w:tcPr/>
          <w:p>
            <w:pPr>
              <w:pStyle w:val="Compact"/>
            </w:pPr>
            <w:r>
              <w:t xml:space="preserve">0.216</w:t>
            </w:r>
          </w:p>
        </w:tc>
        <w:tc>
          <w:tcPr/>
          <w:p>
            <w:pPr>
              <w:pStyle w:val="Compact"/>
            </w:pPr>
            <w:r>
              <w:t xml:space="preserve">331.5</w:t>
            </w:r>
          </w:p>
        </w:tc>
        <w:tc>
          <w:tcPr/>
          <w:p>
            <w:pPr>
              <w:pStyle w:val="Compact"/>
            </w:pPr>
            <w:r>
              <w:t xml:space="preserve">22.6%</w:t>
            </w:r>
          </w:p>
        </w:tc>
        <w:tc>
          <w:tcPr/>
          <w:p>
            <w:pPr>
              <w:pStyle w:val="Compact"/>
            </w:pPr>
            <w:r>
              <w:t xml:space="preserve">36.2%</w:t>
            </w:r>
          </w:p>
        </w:tc>
        <w:tc>
          <w:tcPr/>
          <w:p>
            <w:pPr>
              <w:pStyle w:val="Compact"/>
            </w:pPr>
            <w:r>
              <w:t xml:space="preserve">34.4%</w:t>
            </w:r>
          </w:p>
        </w:tc>
      </w:tr>
      <w:tr>
        <w:tc>
          <w:tcPr/>
          <w:p>
            <w:pPr>
              <w:pStyle w:val="Compact"/>
            </w:pPr>
            <w:r>
              <w:t xml:space="preserve">2021</w:t>
            </w:r>
          </w:p>
        </w:tc>
        <w:tc>
          <w:tcPr/>
          <w:p>
            <w:pPr>
              <w:pStyle w:val="Compact"/>
            </w:pPr>
            <w:r>
              <w:t xml:space="preserve">All</w:t>
            </w:r>
          </w:p>
        </w:tc>
        <w:tc>
          <w:tcPr/>
          <w:p>
            <w:pPr>
              <w:pStyle w:val="Compact"/>
            </w:pPr>
            <w:r>
              <w:t xml:space="preserve">429</w:t>
            </w:r>
          </w:p>
        </w:tc>
        <w:tc>
          <w:tcPr/>
          <w:p>
            <w:pPr>
              <w:pStyle w:val="Compact"/>
            </w:pPr>
            <w:r>
              <w:t xml:space="preserve">9020</w:t>
            </w:r>
          </w:p>
        </w:tc>
        <w:tc>
          <w:tcPr/>
          <w:p>
            <w:pPr>
              <w:pStyle w:val="Compact"/>
            </w:pPr>
            <w:r>
              <w:t xml:space="preserve">17 (13–24)</w:t>
            </w:r>
          </w:p>
        </w:tc>
        <w:tc>
          <w:tcPr/>
          <w:p>
            <w:pPr>
              <w:pStyle w:val="Compact"/>
            </w:pPr>
            <w:r>
              <w:t xml:space="preserve">0.266</w:t>
            </w:r>
          </w:p>
        </w:tc>
        <w:tc>
          <w:tcPr/>
          <w:p>
            <w:pPr>
              <w:pStyle w:val="Compact"/>
            </w:pPr>
            <w:r>
              <w:t xml:space="preserve">30.0</w:t>
            </w:r>
          </w:p>
        </w:tc>
        <w:tc>
          <w:tcPr/>
          <w:p>
            <w:pPr>
              <w:pStyle w:val="Compact"/>
            </w:pPr>
            <w:r>
              <w:t xml:space="preserve">22.8%</w:t>
            </w:r>
          </w:p>
        </w:tc>
        <w:tc>
          <w:tcPr/>
          <w:p>
            <w:pPr>
              <w:pStyle w:val="Compact"/>
            </w:pPr>
            <w:r>
              <w:t xml:space="preserve">37.9%</w:t>
            </w:r>
          </w:p>
        </w:tc>
        <w:tc>
          <w:tcPr/>
          <w:p>
            <w:pPr>
              <w:pStyle w:val="Compact"/>
            </w:pPr>
            <w:r>
              <w:t xml:space="preserve">31.6%</w:t>
            </w:r>
          </w:p>
        </w:tc>
      </w:tr>
      <w:tr>
        <w:tc>
          <w:tcPr/>
          <w:p>
            <w:pPr>
              <w:pStyle w:val="Compact"/>
            </w:pPr>
            <w:r>
              <w:t xml:space="preserve">2021</w:t>
            </w:r>
          </w:p>
        </w:tc>
        <w:tc>
          <w:tcPr/>
          <w:p>
            <w:pPr>
              <w:pStyle w:val="Compact"/>
            </w:pPr>
            <w:r>
              <w:t xml:space="preserve">MIGS</w:t>
            </w:r>
          </w:p>
        </w:tc>
        <w:tc>
          <w:tcPr/>
          <w:p>
            <w:pPr>
              <w:pStyle w:val="Compact"/>
            </w:pPr>
            <w:r>
              <w:t xml:space="preserve">3</w:t>
            </w:r>
          </w:p>
        </w:tc>
        <w:tc>
          <w:tcPr/>
          <w:p>
            <w:pPr>
              <w:pStyle w:val="Compact"/>
            </w:pPr>
            <w:r>
              <w:t xml:space="preserve">97</w:t>
            </w:r>
          </w:p>
        </w:tc>
        <w:tc>
          <w:tcPr/>
          <w:p>
            <w:pPr>
              <w:pStyle w:val="Compact"/>
            </w:pPr>
            <w:r>
              <w:t xml:space="preserve">18 (16–41)</w:t>
            </w:r>
          </w:p>
        </w:tc>
        <w:tc>
          <w:tcPr/>
          <w:p>
            <w:pPr>
              <w:pStyle w:val="Compact"/>
            </w:pPr>
            <w:r>
              <w:t xml:space="preserve">0.337</w:t>
            </w:r>
          </w:p>
        </w:tc>
        <w:tc>
          <w:tcPr/>
          <w:p>
            <w:pPr>
              <w:pStyle w:val="Compact"/>
            </w:pPr>
            <w:r>
              <w:t xml:space="preserve">4936.8</w:t>
            </w:r>
          </w:p>
        </w:tc>
        <w:tc>
          <w:tcPr/>
          <w:p>
            <w:pPr>
              <w:pStyle w:val="Compact"/>
            </w:pPr>
            <w:r>
              <w:t xml:space="preserve">66.0%</w:t>
            </w:r>
          </w:p>
        </w:tc>
        <w:tc>
          <w:tcPr/>
          <w:p>
            <w:pPr>
              <w:pStyle w:val="Compact"/>
            </w:pPr>
            <w:r>
              <w:t xml:space="preserve">66.0%</w:t>
            </w:r>
          </w:p>
        </w:tc>
        <w:tc>
          <w:tcPr/>
          <w:p>
            <w:pPr>
              <w:pStyle w:val="Compact"/>
            </w:pPr>
            <w:r>
              <w:t xml:space="preserve">15.5%</w:t>
            </w:r>
          </w:p>
        </w:tc>
      </w:tr>
      <w:tr>
        <w:tc>
          <w:tcPr/>
          <w:p>
            <w:pPr>
              <w:pStyle w:val="Compact"/>
            </w:pPr>
            <w:r>
              <w:t xml:space="preserve">2021</w:t>
            </w:r>
          </w:p>
        </w:tc>
        <w:tc>
          <w:tcPr/>
          <w:p>
            <w:pPr>
              <w:pStyle w:val="Compact"/>
            </w:pPr>
            <w:r>
              <w:t xml:space="preserve">General OB/GYN</w:t>
            </w:r>
          </w:p>
        </w:tc>
        <w:tc>
          <w:tcPr/>
          <w:p>
            <w:pPr>
              <w:pStyle w:val="Compact"/>
            </w:pPr>
            <w:r>
              <w:t xml:space="preserve">58</w:t>
            </w:r>
          </w:p>
        </w:tc>
        <w:tc>
          <w:tcPr/>
          <w:p>
            <w:pPr>
              <w:pStyle w:val="Compact"/>
            </w:pPr>
            <w:r>
              <w:t xml:space="preserve">1076</w:t>
            </w:r>
          </w:p>
        </w:tc>
        <w:tc>
          <w:tcPr/>
          <w:p>
            <w:pPr>
              <w:pStyle w:val="Compact"/>
            </w:pPr>
            <w:r>
              <w:t xml:space="preserve">15 (12–20)</w:t>
            </w:r>
          </w:p>
        </w:tc>
        <w:tc>
          <w:tcPr/>
          <w:p>
            <w:pPr>
              <w:pStyle w:val="Compact"/>
            </w:pPr>
            <w:r>
              <w:t xml:space="preserve">0.268</w:t>
            </w:r>
          </w:p>
        </w:tc>
        <w:tc>
          <w:tcPr/>
          <w:p>
            <w:pPr>
              <w:pStyle w:val="Compact"/>
            </w:pPr>
            <w:r>
              <w:t xml:space="preserve">238.9</w:t>
            </w:r>
          </w:p>
        </w:tc>
        <w:tc>
          <w:tcPr/>
          <w:p>
            <w:pPr>
              <w:pStyle w:val="Compact"/>
            </w:pPr>
            <w:r>
              <w:t xml:space="preserve">25.8%</w:t>
            </w:r>
          </w:p>
        </w:tc>
        <w:tc>
          <w:tcPr/>
          <w:p>
            <w:pPr>
              <w:pStyle w:val="Compact"/>
            </w:pPr>
            <w:r>
              <w:t xml:space="preserve">40.6%</w:t>
            </w:r>
          </w:p>
        </w:tc>
        <w:tc>
          <w:tcPr/>
          <w:p>
            <w:pPr>
              <w:pStyle w:val="Compact"/>
            </w:pPr>
            <w:r>
              <w:t xml:space="preserve">32.6%</w:t>
            </w:r>
          </w:p>
        </w:tc>
      </w:tr>
      <w:tr>
        <w:tc>
          <w:tcPr/>
          <w:p>
            <w:pPr>
              <w:pStyle w:val="Compact"/>
            </w:pPr>
            <w:r>
              <w:t xml:space="preserve">2021</w:t>
            </w:r>
          </w:p>
        </w:tc>
        <w:tc>
          <w:tcPr/>
          <w:p>
            <w:pPr>
              <w:pStyle w:val="Compact"/>
            </w:pPr>
            <w:r>
              <w:t xml:space="preserve">Urology</w:t>
            </w:r>
          </w:p>
        </w:tc>
        <w:tc>
          <w:tcPr/>
          <w:p>
            <w:pPr>
              <w:pStyle w:val="Compact"/>
            </w:pPr>
            <w:r>
              <w:t xml:space="preserve">42</w:t>
            </w:r>
          </w:p>
        </w:tc>
        <w:tc>
          <w:tcPr/>
          <w:p>
            <w:pPr>
              <w:pStyle w:val="Compact"/>
            </w:pPr>
            <w:r>
              <w:t xml:space="preserve">764</w:t>
            </w:r>
          </w:p>
        </w:tc>
        <w:tc>
          <w:tcPr/>
          <w:p>
            <w:pPr>
              <w:pStyle w:val="Compact"/>
            </w:pPr>
            <w:r>
              <w:t xml:space="preserve">16 (13–23)</w:t>
            </w:r>
          </w:p>
        </w:tc>
        <w:tc>
          <w:tcPr/>
          <w:p>
            <w:pPr>
              <w:pStyle w:val="Compact"/>
            </w:pPr>
            <w:r>
              <w:t xml:space="preserve">0.207</w:t>
            </w:r>
          </w:p>
        </w:tc>
        <w:tc>
          <w:tcPr/>
          <w:p>
            <w:pPr>
              <w:pStyle w:val="Compact"/>
            </w:pPr>
            <w:r>
              <w:t xml:space="preserve">274.6</w:t>
            </w:r>
          </w:p>
        </w:tc>
        <w:tc>
          <w:tcPr/>
          <w:p>
            <w:pPr>
              <w:pStyle w:val="Compact"/>
            </w:pPr>
            <w:r>
              <w:t xml:space="preserve">21.9%</w:t>
            </w:r>
          </w:p>
        </w:tc>
        <w:tc>
          <w:tcPr/>
          <w:p>
            <w:pPr>
              <w:pStyle w:val="Compact"/>
            </w:pPr>
            <w:r>
              <w:t xml:space="preserve">34.8%</w:t>
            </w:r>
          </w:p>
        </w:tc>
        <w:tc>
          <w:tcPr/>
          <w:p>
            <w:pPr>
              <w:pStyle w:val="Compact"/>
            </w:pPr>
            <w:r>
              <w:t xml:space="preserve">35.5%</w:t>
            </w:r>
          </w:p>
        </w:tc>
      </w:tr>
      <w:tr>
        <w:tc>
          <w:tcPr/>
          <w:p>
            <w:pPr>
              <w:pStyle w:val="Compact"/>
            </w:pPr>
            <w:r>
              <w:t xml:space="preserve">2021</w:t>
            </w:r>
          </w:p>
        </w:tc>
        <w:tc>
          <w:tcPr/>
          <w:p>
            <w:pPr>
              <w:pStyle w:val="Compact"/>
            </w:pPr>
            <w:r>
              <w:t xml:space="preserve">Other/uncertain</w:t>
            </w:r>
          </w:p>
        </w:tc>
        <w:tc>
          <w:tcPr/>
          <w:p>
            <w:pPr>
              <w:pStyle w:val="Compact"/>
            </w:pPr>
            <w:r>
              <w:t xml:space="preserve">44</w:t>
            </w:r>
          </w:p>
        </w:tc>
        <w:tc>
          <w:tcPr/>
          <w:p>
            <w:pPr>
              <w:pStyle w:val="Compact"/>
            </w:pPr>
            <w:r>
              <w:t xml:space="preserve">969</w:t>
            </w:r>
          </w:p>
        </w:tc>
        <w:tc>
          <w:tcPr/>
          <w:p>
            <w:pPr>
              <w:pStyle w:val="Compact"/>
            </w:pPr>
            <w:r>
              <w:t xml:space="preserve">18 (14–28)</w:t>
            </w:r>
          </w:p>
        </w:tc>
        <w:tc>
          <w:tcPr/>
          <w:p>
            <w:pPr>
              <w:pStyle w:val="Compact"/>
            </w:pPr>
            <w:r>
              <w:t xml:space="preserve">0.237</w:t>
            </w:r>
          </w:p>
        </w:tc>
        <w:tc>
          <w:tcPr/>
          <w:p>
            <w:pPr>
              <w:pStyle w:val="Compact"/>
            </w:pPr>
            <w:r>
              <w:t xml:space="preserve">269.5</w:t>
            </w:r>
          </w:p>
        </w:tc>
        <w:tc>
          <w:tcPr/>
          <w:p>
            <w:pPr>
              <w:pStyle w:val="Compact"/>
            </w:pPr>
            <w:r>
              <w:t xml:space="preserve">20.9%</w:t>
            </w:r>
          </w:p>
        </w:tc>
        <w:tc>
          <w:tcPr/>
          <w:p>
            <w:pPr>
              <w:pStyle w:val="Compact"/>
            </w:pPr>
            <w:r>
              <w:t xml:space="preserve">35.2%</w:t>
            </w:r>
          </w:p>
        </w:tc>
        <w:tc>
          <w:tcPr/>
          <w:p>
            <w:pPr>
              <w:pStyle w:val="Compact"/>
            </w:pPr>
            <w:r>
              <w:t xml:space="preserve">32.9%</w:t>
            </w:r>
          </w:p>
        </w:tc>
      </w:tr>
      <w:tr>
        <w:tc>
          <w:tcPr/>
          <w:p>
            <w:pPr>
              <w:pStyle w:val="Compact"/>
            </w:pPr>
            <w:r>
              <w:t xml:space="preserve">2021</w:t>
            </w:r>
          </w:p>
        </w:tc>
        <w:tc>
          <w:tcPr/>
          <w:p>
            <w:pPr>
              <w:pStyle w:val="Compact"/>
            </w:pPr>
            <w:r>
              <w:t xml:space="preserve">URPS (OB/GYN)</w:t>
            </w:r>
          </w:p>
        </w:tc>
        <w:tc>
          <w:tcPr/>
          <w:p>
            <w:pPr>
              <w:pStyle w:val="Compact"/>
            </w:pPr>
            <w:r>
              <w:t xml:space="preserve">250</w:t>
            </w:r>
          </w:p>
        </w:tc>
        <w:tc>
          <w:tcPr/>
          <w:p>
            <w:pPr>
              <w:pStyle w:val="Compact"/>
            </w:pPr>
            <w:r>
              <w:t xml:space="preserve">5523</w:t>
            </w:r>
          </w:p>
        </w:tc>
        <w:tc>
          <w:tcPr/>
          <w:p>
            <w:pPr>
              <w:pStyle w:val="Compact"/>
            </w:pPr>
            <w:r>
              <w:t xml:space="preserve">18 (14–27)</w:t>
            </w:r>
          </w:p>
        </w:tc>
        <w:tc>
          <w:tcPr/>
          <w:p>
            <w:pPr>
              <w:pStyle w:val="Compact"/>
            </w:pPr>
            <w:r>
              <w:t xml:space="preserve">0.271</w:t>
            </w:r>
          </w:p>
        </w:tc>
        <w:tc>
          <w:tcPr/>
          <w:p>
            <w:pPr>
              <w:pStyle w:val="Compact"/>
            </w:pPr>
            <w:r>
              <w:t xml:space="preserve">51.3</w:t>
            </w:r>
          </w:p>
        </w:tc>
        <w:tc>
          <w:tcPr/>
          <w:p>
            <w:pPr>
              <w:pStyle w:val="Compact"/>
            </w:pPr>
            <w:r>
              <w:t xml:space="preserve">22.6%</w:t>
            </w:r>
          </w:p>
        </w:tc>
        <w:tc>
          <w:tcPr/>
          <w:p>
            <w:pPr>
              <w:pStyle w:val="Compact"/>
            </w:pPr>
            <w:r>
              <w:t xml:space="preserve">38.0%</w:t>
            </w:r>
          </w:p>
        </w:tc>
        <w:tc>
          <w:tcPr/>
          <w:p>
            <w:pPr>
              <w:pStyle w:val="Compact"/>
            </w:pPr>
            <w:r>
              <w:t xml:space="preserve">31.3%</w:t>
            </w:r>
          </w:p>
        </w:tc>
      </w:tr>
      <w:tr>
        <w:tc>
          <w:tcPr/>
          <w:p>
            <w:pPr>
              <w:pStyle w:val="Compact"/>
            </w:pPr>
            <w:r>
              <w:t xml:space="preserve">2021</w:t>
            </w:r>
          </w:p>
        </w:tc>
        <w:tc>
          <w:tcPr/>
          <w:p>
            <w:pPr>
              <w:pStyle w:val="Compact"/>
            </w:pPr>
            <w:r>
              <w:t xml:space="preserve">URPS (urology)</w:t>
            </w:r>
          </w:p>
        </w:tc>
        <w:tc>
          <w:tcPr/>
          <w:p>
            <w:pPr>
              <w:pStyle w:val="Compact"/>
            </w:pPr>
            <w:r>
              <w:t xml:space="preserve">32</w:t>
            </w:r>
          </w:p>
        </w:tc>
        <w:tc>
          <w:tcPr/>
          <w:p>
            <w:pPr>
              <w:pStyle w:val="Compact"/>
            </w:pPr>
            <w:r>
              <w:t xml:space="preserve">591</w:t>
            </w:r>
          </w:p>
        </w:tc>
        <w:tc>
          <w:tcPr/>
          <w:p>
            <w:pPr>
              <w:pStyle w:val="Compact"/>
            </w:pPr>
            <w:r>
              <w:t xml:space="preserve">16 (12–20)</w:t>
            </w:r>
          </w:p>
        </w:tc>
        <w:tc>
          <w:tcPr/>
          <w:p>
            <w:pPr>
              <w:pStyle w:val="Compact"/>
            </w:pPr>
            <w:r>
              <w:t xml:space="preserve">0.234</w:t>
            </w:r>
          </w:p>
        </w:tc>
        <w:tc>
          <w:tcPr/>
          <w:p>
            <w:pPr>
              <w:pStyle w:val="Compact"/>
            </w:pPr>
            <w:r>
              <w:t xml:space="preserve">397.4</w:t>
            </w:r>
          </w:p>
        </w:tc>
        <w:tc>
          <w:tcPr/>
          <w:p>
            <w:pPr>
              <w:pStyle w:val="Compact"/>
            </w:pPr>
            <w:r>
              <w:t xml:space="preserve">26.1%</w:t>
            </w:r>
          </w:p>
        </w:tc>
        <w:tc>
          <w:tcPr/>
          <w:p>
            <w:pPr>
              <w:pStyle w:val="Compact"/>
            </w:pPr>
            <w:r>
              <w:t xml:space="preserve">38.1%</w:t>
            </w:r>
          </w:p>
        </w:tc>
        <w:tc>
          <w:tcPr/>
          <w:p>
            <w:pPr>
              <w:pStyle w:val="Compact"/>
            </w:pPr>
            <w:r>
              <w:t xml:space="preserve">33.8%</w:t>
            </w:r>
          </w:p>
        </w:tc>
      </w:tr>
      <w:tr>
        <w:tc>
          <w:tcPr/>
          <w:p>
            <w:pPr>
              <w:pStyle w:val="Compact"/>
            </w:pPr>
            <w:r>
              <w:t xml:space="preserve">2022</w:t>
            </w:r>
          </w:p>
        </w:tc>
        <w:tc>
          <w:tcPr/>
          <w:p>
            <w:pPr>
              <w:pStyle w:val="Compact"/>
            </w:pPr>
            <w:r>
              <w:t xml:space="preserve">All</w:t>
            </w:r>
          </w:p>
        </w:tc>
        <w:tc>
          <w:tcPr/>
          <w:p>
            <w:pPr>
              <w:pStyle w:val="Compact"/>
            </w:pPr>
            <w:r>
              <w:t xml:space="preserve">524</w:t>
            </w:r>
          </w:p>
        </w:tc>
        <w:tc>
          <w:tcPr/>
          <w:p>
            <w:pPr>
              <w:pStyle w:val="Compact"/>
            </w:pPr>
            <w:r>
              <w:t xml:space="preserve">11367</w:t>
            </w:r>
          </w:p>
        </w:tc>
        <w:tc>
          <w:tcPr/>
          <w:p>
            <w:pPr>
              <w:pStyle w:val="Compact"/>
            </w:pPr>
            <w:r>
              <w:t xml:space="preserve">17 (14–26)</w:t>
            </w:r>
          </w:p>
        </w:tc>
        <w:tc>
          <w:tcPr/>
          <w:p>
            <w:pPr>
              <w:pStyle w:val="Compact"/>
            </w:pPr>
            <w:r>
              <w:t xml:space="preserve">0.275</w:t>
            </w:r>
          </w:p>
        </w:tc>
        <w:tc>
          <w:tcPr/>
          <w:p>
            <w:pPr>
              <w:pStyle w:val="Compact"/>
            </w:pPr>
            <w:r>
              <w:t xml:space="preserve">25.2</w:t>
            </w:r>
          </w:p>
        </w:tc>
        <w:tc>
          <w:tcPr/>
          <w:p>
            <w:pPr>
              <w:pStyle w:val="Compact"/>
            </w:pPr>
            <w:r>
              <w:t xml:space="preserve">24.0%</w:t>
            </w:r>
          </w:p>
        </w:tc>
        <w:tc>
          <w:tcPr/>
          <w:p>
            <w:pPr>
              <w:pStyle w:val="Compact"/>
            </w:pPr>
            <w:r>
              <w:t xml:space="preserve">38.9%</w:t>
            </w:r>
          </w:p>
        </w:tc>
        <w:tc>
          <w:tcPr/>
          <w:p>
            <w:pPr>
              <w:pStyle w:val="Compact"/>
            </w:pPr>
            <w:r>
              <w:t xml:space="preserve">31.3%</w:t>
            </w:r>
          </w:p>
        </w:tc>
      </w:tr>
      <w:tr>
        <w:tc>
          <w:tcPr/>
          <w:p>
            <w:pPr>
              <w:pStyle w:val="Compact"/>
            </w:pPr>
            <w:r>
              <w:t xml:space="preserve">2022</w:t>
            </w:r>
          </w:p>
        </w:tc>
        <w:tc>
          <w:tcPr/>
          <w:p>
            <w:pPr>
              <w:pStyle w:val="Compact"/>
            </w:pPr>
            <w:r>
              <w:t xml:space="preserve">MIGS</w:t>
            </w:r>
          </w:p>
        </w:tc>
        <w:tc>
          <w:tcPr/>
          <w:p>
            <w:pPr>
              <w:pStyle w:val="Compact"/>
            </w:pPr>
            <w:r>
              <w:t xml:space="preserve">3</w:t>
            </w:r>
          </w:p>
        </w:tc>
        <w:tc>
          <w:tcPr/>
          <w:p>
            <w:pPr>
              <w:pStyle w:val="Compact"/>
            </w:pPr>
            <w:r>
              <w:t xml:space="preserve">87</w:t>
            </w:r>
          </w:p>
        </w:tc>
        <w:tc>
          <w:tcPr/>
          <w:p>
            <w:pPr>
              <w:pStyle w:val="Compact"/>
            </w:pPr>
            <w:r>
              <w:t xml:space="preserve">17 (14–38)</w:t>
            </w:r>
          </w:p>
        </w:tc>
        <w:tc>
          <w:tcPr/>
          <w:p>
            <w:pPr>
              <w:pStyle w:val="Compact"/>
            </w:pPr>
            <w:r>
              <w:t xml:space="preserve">0.352</w:t>
            </w:r>
          </w:p>
        </w:tc>
        <w:tc>
          <w:tcPr/>
          <w:p>
            <w:pPr>
              <w:pStyle w:val="Compact"/>
            </w:pPr>
            <w:r>
              <w:t xml:space="preserve">5016.5</w:t>
            </w:r>
          </w:p>
        </w:tc>
        <w:tc>
          <w:tcPr/>
          <w:p>
            <w:pPr>
              <w:pStyle w:val="Compact"/>
            </w:pPr>
            <w:r>
              <w:t xml:space="preserve">66.7%</w:t>
            </w:r>
          </w:p>
        </w:tc>
        <w:tc>
          <w:tcPr/>
          <w:p>
            <w:pPr>
              <w:pStyle w:val="Compact"/>
            </w:pPr>
            <w:r>
              <w:t xml:space="preserve">66.7%</w:t>
            </w:r>
          </w:p>
        </w:tc>
        <w:tc>
          <w:tcPr/>
          <w:p>
            <w:pPr>
              <w:pStyle w:val="Compact"/>
            </w:pPr>
            <w:r>
              <w:t xml:space="preserve">13.8%</w:t>
            </w:r>
          </w:p>
        </w:tc>
      </w:tr>
      <w:tr>
        <w:tc>
          <w:tcPr/>
          <w:p>
            <w:pPr>
              <w:pStyle w:val="Compact"/>
            </w:pPr>
            <w:r>
              <w:t xml:space="preserve">2022</w:t>
            </w:r>
          </w:p>
        </w:tc>
        <w:tc>
          <w:tcPr/>
          <w:p>
            <w:pPr>
              <w:pStyle w:val="Compact"/>
            </w:pPr>
            <w:r>
              <w:t xml:space="preserve">General OB/GYN</w:t>
            </w:r>
          </w:p>
        </w:tc>
        <w:tc>
          <w:tcPr/>
          <w:p>
            <w:pPr>
              <w:pStyle w:val="Compact"/>
            </w:pPr>
            <w:r>
              <w:t xml:space="preserve">63</w:t>
            </w:r>
          </w:p>
        </w:tc>
        <w:tc>
          <w:tcPr/>
          <w:p>
            <w:pPr>
              <w:pStyle w:val="Compact"/>
            </w:pPr>
            <w:r>
              <w:t xml:space="preserve">1218</w:t>
            </w:r>
          </w:p>
        </w:tc>
        <w:tc>
          <w:tcPr/>
          <w:p>
            <w:pPr>
              <w:pStyle w:val="Compact"/>
            </w:pPr>
            <w:r>
              <w:t xml:space="preserve">15 (13–21)</w:t>
            </w:r>
          </w:p>
        </w:tc>
        <w:tc>
          <w:tcPr/>
          <w:p>
            <w:pPr>
              <w:pStyle w:val="Compact"/>
            </w:pPr>
            <w:r>
              <w:t xml:space="preserve">0.257</w:t>
            </w:r>
          </w:p>
        </w:tc>
        <w:tc>
          <w:tcPr/>
          <w:p>
            <w:pPr>
              <w:pStyle w:val="Compact"/>
            </w:pPr>
            <w:r>
              <w:t xml:space="preserve">206.2</w:t>
            </w:r>
          </w:p>
        </w:tc>
        <w:tc>
          <w:tcPr/>
          <w:p>
            <w:pPr>
              <w:pStyle w:val="Compact"/>
            </w:pPr>
            <w:r>
              <w:t xml:space="preserve">25.5%</w:t>
            </w:r>
          </w:p>
        </w:tc>
        <w:tc>
          <w:tcPr/>
          <w:p>
            <w:pPr>
              <w:pStyle w:val="Compact"/>
            </w:pPr>
            <w:r>
              <w:t xml:space="preserve">39.0%</w:t>
            </w:r>
          </w:p>
        </w:tc>
        <w:tc>
          <w:tcPr/>
          <w:p>
            <w:pPr>
              <w:pStyle w:val="Compact"/>
            </w:pPr>
            <w:r>
              <w:t xml:space="preserve">32.2%</w:t>
            </w:r>
          </w:p>
        </w:tc>
      </w:tr>
      <w:tr>
        <w:tc>
          <w:tcPr/>
          <w:p>
            <w:pPr>
              <w:pStyle w:val="Compact"/>
            </w:pPr>
            <w:r>
              <w:t xml:space="preserve">2022</w:t>
            </w:r>
          </w:p>
        </w:tc>
        <w:tc>
          <w:tcPr/>
          <w:p>
            <w:pPr>
              <w:pStyle w:val="Compact"/>
            </w:pPr>
            <w:r>
              <w:t xml:space="preserve">Urology</w:t>
            </w:r>
          </w:p>
        </w:tc>
        <w:tc>
          <w:tcPr/>
          <w:p>
            <w:pPr>
              <w:pStyle w:val="Compact"/>
            </w:pPr>
            <w:r>
              <w:t xml:space="preserve">62</w:t>
            </w:r>
          </w:p>
        </w:tc>
        <w:tc>
          <w:tcPr/>
          <w:p>
            <w:pPr>
              <w:pStyle w:val="Compact"/>
            </w:pPr>
            <w:r>
              <w:t xml:space="preserve">1192</w:t>
            </w:r>
          </w:p>
        </w:tc>
        <w:tc>
          <w:tcPr/>
          <w:p>
            <w:pPr>
              <w:pStyle w:val="Compact"/>
            </w:pPr>
            <w:r>
              <w:t xml:space="preserve">17 (13–22)</w:t>
            </w:r>
          </w:p>
        </w:tc>
        <w:tc>
          <w:tcPr/>
          <w:p>
            <w:pPr>
              <w:pStyle w:val="Compact"/>
            </w:pPr>
            <w:r>
              <w:t xml:space="preserve">0.223</w:t>
            </w:r>
          </w:p>
        </w:tc>
        <w:tc>
          <w:tcPr/>
          <w:p>
            <w:pPr>
              <w:pStyle w:val="Compact"/>
            </w:pPr>
            <w:r>
              <w:t xml:space="preserve">195.4</w:t>
            </w:r>
          </w:p>
        </w:tc>
        <w:tc>
          <w:tcPr/>
          <w:p>
            <w:pPr>
              <w:pStyle w:val="Compact"/>
            </w:pPr>
            <w:r>
              <w:t xml:space="preserve">22.1%</w:t>
            </w:r>
          </w:p>
        </w:tc>
        <w:tc>
          <w:tcPr/>
          <w:p>
            <w:pPr>
              <w:pStyle w:val="Compact"/>
            </w:pPr>
            <w:r>
              <w:t xml:space="preserve">35.8%</w:t>
            </w:r>
          </w:p>
        </w:tc>
        <w:tc>
          <w:tcPr/>
          <w:p>
            <w:pPr>
              <w:pStyle w:val="Compact"/>
            </w:pPr>
            <w:r>
              <w:t xml:space="preserve">34.9%</w:t>
            </w:r>
          </w:p>
        </w:tc>
      </w:tr>
      <w:tr>
        <w:tc>
          <w:tcPr/>
          <w:p>
            <w:pPr>
              <w:pStyle w:val="Compact"/>
            </w:pPr>
            <w:r>
              <w:t xml:space="preserve">2022</w:t>
            </w:r>
          </w:p>
        </w:tc>
        <w:tc>
          <w:tcPr/>
          <w:p>
            <w:pPr>
              <w:pStyle w:val="Compact"/>
            </w:pPr>
            <w:r>
              <w:t xml:space="preserve">Other/uncertain</w:t>
            </w:r>
          </w:p>
        </w:tc>
        <w:tc>
          <w:tcPr/>
          <w:p>
            <w:pPr>
              <w:pStyle w:val="Compact"/>
            </w:pPr>
            <w:r>
              <w:t xml:space="preserve">55</w:t>
            </w:r>
          </w:p>
        </w:tc>
        <w:tc>
          <w:tcPr/>
          <w:p>
            <w:pPr>
              <w:pStyle w:val="Compact"/>
            </w:pPr>
            <w:r>
              <w:t xml:space="preserve">1258</w:t>
            </w:r>
          </w:p>
        </w:tc>
        <w:tc>
          <w:tcPr/>
          <w:p>
            <w:pPr>
              <w:pStyle w:val="Compact"/>
            </w:pPr>
            <w:r>
              <w:t xml:space="preserve">17 (14–32)</w:t>
            </w:r>
          </w:p>
        </w:tc>
        <w:tc>
          <w:tcPr/>
          <w:p>
            <w:pPr>
              <w:pStyle w:val="Compact"/>
            </w:pPr>
            <w:r>
              <w:t xml:space="preserve">0.282</w:t>
            </w:r>
          </w:p>
        </w:tc>
        <w:tc>
          <w:tcPr/>
          <w:p>
            <w:pPr>
              <w:pStyle w:val="Compact"/>
            </w:pPr>
            <w:r>
              <w:t xml:space="preserve">235.3</w:t>
            </w:r>
          </w:p>
        </w:tc>
        <w:tc>
          <w:tcPr/>
          <w:p>
            <w:pPr>
              <w:pStyle w:val="Compact"/>
            </w:pPr>
            <w:r>
              <w:t xml:space="preserve">23.9%</w:t>
            </w:r>
          </w:p>
        </w:tc>
        <w:tc>
          <w:tcPr/>
          <w:p>
            <w:pPr>
              <w:pStyle w:val="Compact"/>
            </w:pPr>
            <w:r>
              <w:t xml:space="preserve">38.3%</w:t>
            </w:r>
          </w:p>
        </w:tc>
        <w:tc>
          <w:tcPr/>
          <w:p>
            <w:pPr>
              <w:pStyle w:val="Compact"/>
            </w:pPr>
            <w:r>
              <w:t xml:space="preserve">29.3%</w:t>
            </w:r>
          </w:p>
        </w:tc>
      </w:tr>
      <w:tr>
        <w:tc>
          <w:tcPr/>
          <w:p>
            <w:pPr>
              <w:pStyle w:val="Compact"/>
            </w:pPr>
            <w:r>
              <w:t xml:space="preserve">2022</w:t>
            </w:r>
          </w:p>
        </w:tc>
        <w:tc>
          <w:tcPr/>
          <w:p>
            <w:pPr>
              <w:pStyle w:val="Compact"/>
            </w:pPr>
            <w:r>
              <w:t xml:space="preserve">URPS (OB/GYN)</w:t>
            </w:r>
          </w:p>
        </w:tc>
        <w:tc>
          <w:tcPr/>
          <w:p>
            <w:pPr>
              <w:pStyle w:val="Compact"/>
            </w:pPr>
            <w:r>
              <w:t xml:space="preserve">292</w:t>
            </w:r>
          </w:p>
        </w:tc>
        <w:tc>
          <w:tcPr/>
          <w:p>
            <w:pPr>
              <w:pStyle w:val="Compact"/>
            </w:pPr>
            <w:r>
              <w:t xml:space="preserve">6734</w:t>
            </w:r>
          </w:p>
        </w:tc>
        <w:tc>
          <w:tcPr/>
          <w:p>
            <w:pPr>
              <w:pStyle w:val="Compact"/>
            </w:pPr>
            <w:r>
              <w:t xml:space="preserve">19 (14–27)</w:t>
            </w:r>
          </w:p>
        </w:tc>
        <w:tc>
          <w:tcPr/>
          <w:p>
            <w:pPr>
              <w:pStyle w:val="Compact"/>
            </w:pPr>
            <w:r>
              <w:t xml:space="preserve">0.287</w:t>
            </w:r>
          </w:p>
        </w:tc>
        <w:tc>
          <w:tcPr/>
          <w:p>
            <w:pPr>
              <w:pStyle w:val="Compact"/>
            </w:pPr>
            <w:r>
              <w:t xml:space="preserve">45.7</w:t>
            </w:r>
          </w:p>
        </w:tc>
        <w:tc>
          <w:tcPr/>
          <w:p>
            <w:pPr>
              <w:pStyle w:val="Compact"/>
            </w:pPr>
            <w:r>
              <w:t xml:space="preserve">24.2%</w:t>
            </w:r>
          </w:p>
        </w:tc>
        <w:tc>
          <w:tcPr/>
          <w:p>
            <w:pPr>
              <w:pStyle w:val="Compact"/>
            </w:pPr>
            <w:r>
              <w:t xml:space="preserve">39.7%</w:t>
            </w:r>
          </w:p>
        </w:tc>
        <w:tc>
          <w:tcPr/>
          <w:p>
            <w:pPr>
              <w:pStyle w:val="Compact"/>
            </w:pPr>
            <w:r>
              <w:t xml:space="preserve">30.4%</w:t>
            </w:r>
          </w:p>
        </w:tc>
      </w:tr>
      <w:tr>
        <w:tc>
          <w:tcPr/>
          <w:p>
            <w:pPr>
              <w:pStyle w:val="Compact"/>
            </w:pPr>
            <w:r>
              <w:t xml:space="preserve">2022</w:t>
            </w:r>
          </w:p>
        </w:tc>
        <w:tc>
          <w:tcPr/>
          <w:p>
            <w:pPr>
              <w:pStyle w:val="Compact"/>
            </w:pPr>
            <w:r>
              <w:t xml:space="preserve">URPS (urology)</w:t>
            </w:r>
          </w:p>
        </w:tc>
        <w:tc>
          <w:tcPr/>
          <w:p>
            <w:pPr>
              <w:pStyle w:val="Compact"/>
            </w:pPr>
            <w:r>
              <w:t xml:space="preserve">49</w:t>
            </w:r>
          </w:p>
        </w:tc>
        <w:tc>
          <w:tcPr/>
          <w:p>
            <w:pPr>
              <w:pStyle w:val="Compact"/>
            </w:pPr>
            <w:r>
              <w:t xml:space="preserve">878</w:t>
            </w:r>
          </w:p>
        </w:tc>
        <w:tc>
          <w:tcPr/>
          <w:p>
            <w:pPr>
              <w:pStyle w:val="Compact"/>
            </w:pPr>
            <w:r>
              <w:t xml:space="preserve">16 (13–20)</w:t>
            </w:r>
          </w:p>
        </w:tc>
        <w:tc>
          <w:tcPr/>
          <w:p>
            <w:pPr>
              <w:pStyle w:val="Compact"/>
            </w:pPr>
            <w:r>
              <w:t xml:space="preserve">0.194</w:t>
            </w:r>
          </w:p>
        </w:tc>
        <w:tc>
          <w:tcPr/>
          <w:p>
            <w:pPr>
              <w:pStyle w:val="Compact"/>
            </w:pPr>
            <w:r>
              <w:t xml:space="preserve">239.3</w:t>
            </w:r>
          </w:p>
        </w:tc>
        <w:tc>
          <w:tcPr/>
          <w:p>
            <w:pPr>
              <w:pStyle w:val="Compact"/>
            </w:pPr>
            <w:r>
              <w:t xml:space="preserve">20.0%</w:t>
            </w:r>
          </w:p>
        </w:tc>
        <w:tc>
          <w:tcPr/>
          <w:p>
            <w:pPr>
              <w:pStyle w:val="Compact"/>
            </w:pPr>
            <w:r>
              <w:t xml:space="preserve">33.1%</w:t>
            </w:r>
          </w:p>
        </w:tc>
        <w:tc>
          <w:tcPr/>
          <w:p>
            <w:pPr>
              <w:pStyle w:val="Compact"/>
            </w:pPr>
            <w:r>
              <w:t xml:space="preserve">36.3%</w:t>
            </w:r>
          </w:p>
        </w:tc>
      </w:tr>
      <w:tr>
        <w:tc>
          <w:tcPr/>
          <w:p>
            <w:pPr>
              <w:pStyle w:val="Compact"/>
            </w:pPr>
            <w:r>
              <w:t xml:space="preserve">2023</w:t>
            </w:r>
          </w:p>
        </w:tc>
        <w:tc>
          <w:tcPr/>
          <w:p>
            <w:pPr>
              <w:pStyle w:val="Compact"/>
            </w:pPr>
            <w:r>
              <w:t xml:space="preserve">All</w:t>
            </w:r>
          </w:p>
        </w:tc>
        <w:tc>
          <w:tcPr/>
          <w:p>
            <w:pPr>
              <w:pStyle w:val="Compact"/>
            </w:pPr>
            <w:r>
              <w:t xml:space="preserve">522</w:t>
            </w:r>
          </w:p>
        </w:tc>
        <w:tc>
          <w:tcPr/>
          <w:p>
            <w:pPr>
              <w:pStyle w:val="Compact"/>
            </w:pPr>
            <w:r>
              <w:t xml:space="preserve">11470</w:t>
            </w:r>
          </w:p>
        </w:tc>
        <w:tc>
          <w:tcPr/>
          <w:p>
            <w:pPr>
              <w:pStyle w:val="Compact"/>
            </w:pPr>
            <w:r>
              <w:t xml:space="preserve">18 (14–26)</w:t>
            </w:r>
          </w:p>
        </w:tc>
        <w:tc>
          <w:tcPr/>
          <w:p>
            <w:pPr>
              <w:pStyle w:val="Compact"/>
            </w:pPr>
            <w:r>
              <w:t xml:space="preserve">0.267</w:t>
            </w:r>
          </w:p>
        </w:tc>
        <w:tc>
          <w:tcPr/>
          <w:p>
            <w:pPr>
              <w:pStyle w:val="Compact"/>
            </w:pPr>
            <w:r>
              <w:t xml:space="preserve">24.6</w:t>
            </w:r>
          </w:p>
        </w:tc>
        <w:tc>
          <w:tcPr/>
          <w:p>
            <w:pPr>
              <w:pStyle w:val="Compact"/>
            </w:pPr>
            <w:r>
              <w:t xml:space="preserve">22.9%</w:t>
            </w:r>
          </w:p>
        </w:tc>
        <w:tc>
          <w:tcPr/>
          <w:p>
            <w:pPr>
              <w:pStyle w:val="Compact"/>
            </w:pPr>
            <w:r>
              <w:t xml:space="preserve">37.8%</w:t>
            </w:r>
          </w:p>
        </w:tc>
        <w:tc>
          <w:tcPr/>
          <w:p>
            <w:pPr>
              <w:pStyle w:val="Compact"/>
            </w:pPr>
            <w:r>
              <w:t xml:space="preserve">31.6%</w:t>
            </w:r>
          </w:p>
        </w:tc>
      </w:tr>
      <w:tr>
        <w:tc>
          <w:tcPr/>
          <w:p>
            <w:pPr>
              <w:pStyle w:val="Compact"/>
            </w:pPr>
            <w:r>
              <w:t xml:space="preserve">2023</w:t>
            </w:r>
          </w:p>
        </w:tc>
        <w:tc>
          <w:tcPr/>
          <w:p>
            <w:pPr>
              <w:pStyle w:val="Compact"/>
            </w:pPr>
            <w:r>
              <w:t xml:space="preserve">MIGS</w:t>
            </w:r>
          </w:p>
        </w:tc>
        <w:tc>
          <w:tcPr/>
          <w:p>
            <w:pPr>
              <w:pStyle w:val="Compact"/>
            </w:pPr>
            <w:r>
              <w:t xml:space="preserve">4</w:t>
            </w:r>
          </w:p>
        </w:tc>
        <w:tc>
          <w:tcPr/>
          <w:p>
            <w:pPr>
              <w:pStyle w:val="Compact"/>
            </w:pPr>
            <w:r>
              <w:t xml:space="preserve">99</w:t>
            </w:r>
          </w:p>
        </w:tc>
        <w:tc>
          <w:tcPr/>
          <w:p>
            <w:pPr>
              <w:pStyle w:val="Compact"/>
            </w:pPr>
            <w:r>
              <w:t xml:space="preserve">14 (12–27)</w:t>
            </w:r>
          </w:p>
        </w:tc>
        <w:tc>
          <w:tcPr/>
          <w:p>
            <w:pPr>
              <w:pStyle w:val="Compact"/>
            </w:pPr>
            <w:r>
              <w:t xml:space="preserve">0.381</w:t>
            </w:r>
          </w:p>
        </w:tc>
        <w:tc>
          <w:tcPr/>
          <w:p>
            <w:pPr>
              <w:pStyle w:val="Compact"/>
            </w:pPr>
            <w:r>
              <w:t xml:space="preserve">4204.7</w:t>
            </w:r>
          </w:p>
        </w:tc>
        <w:tc>
          <w:tcPr/>
          <w:p>
            <w:pPr>
              <w:pStyle w:val="Compact"/>
            </w:pPr>
            <w:r>
              <w:t xml:space="preserve">60.6%</w:t>
            </w:r>
          </w:p>
        </w:tc>
        <w:tc>
          <w:tcPr/>
          <w:p>
            <w:pPr>
              <w:pStyle w:val="Compact"/>
            </w:pPr>
            <w:r>
              <w:t xml:space="preserve">60.6%</w:t>
            </w:r>
          </w:p>
        </w:tc>
        <w:tc>
          <w:tcPr/>
          <w:p>
            <w:pPr>
              <w:pStyle w:val="Compact"/>
            </w:pPr>
            <w:r>
              <w:t xml:space="preserve">23.2%</w:t>
            </w:r>
          </w:p>
        </w:tc>
      </w:tr>
      <w:tr>
        <w:tc>
          <w:tcPr/>
          <w:p>
            <w:pPr>
              <w:pStyle w:val="Compact"/>
            </w:pPr>
            <w:r>
              <w:t xml:space="preserve">2023</w:t>
            </w:r>
          </w:p>
        </w:tc>
        <w:tc>
          <w:tcPr/>
          <w:p>
            <w:pPr>
              <w:pStyle w:val="Compact"/>
            </w:pPr>
            <w:r>
              <w:t xml:space="preserve">General OB/GYN</w:t>
            </w:r>
          </w:p>
        </w:tc>
        <w:tc>
          <w:tcPr/>
          <w:p>
            <w:pPr>
              <w:pStyle w:val="Compact"/>
            </w:pPr>
            <w:r>
              <w:t xml:space="preserve">76</w:t>
            </w:r>
          </w:p>
        </w:tc>
        <w:tc>
          <w:tcPr/>
          <w:p>
            <w:pPr>
              <w:pStyle w:val="Compact"/>
            </w:pPr>
            <w:r>
              <w:t xml:space="preserve">1500</w:t>
            </w:r>
          </w:p>
        </w:tc>
        <w:tc>
          <w:tcPr/>
          <w:p>
            <w:pPr>
              <w:pStyle w:val="Compact"/>
            </w:pPr>
            <w:r>
              <w:t xml:space="preserve">16 (13–23)</w:t>
            </w:r>
          </w:p>
        </w:tc>
        <w:tc>
          <w:tcPr/>
          <w:p>
            <w:pPr>
              <w:pStyle w:val="Compact"/>
            </w:pPr>
            <w:r>
              <w:t xml:space="preserve">0.248</w:t>
            </w:r>
          </w:p>
        </w:tc>
        <w:tc>
          <w:tcPr/>
          <w:p>
            <w:pPr>
              <w:pStyle w:val="Compact"/>
            </w:pPr>
            <w:r>
              <w:t xml:space="preserve">163.9</w:t>
            </w:r>
          </w:p>
        </w:tc>
        <w:tc>
          <w:tcPr/>
          <w:p>
            <w:pPr>
              <w:pStyle w:val="Compact"/>
            </w:pPr>
            <w:r>
              <w:t xml:space="preserve">22.7%</w:t>
            </w:r>
          </w:p>
        </w:tc>
        <w:tc>
          <w:tcPr/>
          <w:p>
            <w:pPr>
              <w:pStyle w:val="Compact"/>
            </w:pPr>
            <w:r>
              <w:t xml:space="preserve">37.7%</w:t>
            </w:r>
          </w:p>
        </w:tc>
        <w:tc>
          <w:tcPr/>
          <w:p>
            <w:pPr>
              <w:pStyle w:val="Compact"/>
            </w:pPr>
            <w:r>
              <w:t xml:space="preserve">32.7%</w:t>
            </w:r>
          </w:p>
        </w:tc>
      </w:tr>
      <w:tr>
        <w:tc>
          <w:tcPr/>
          <w:p>
            <w:pPr>
              <w:pStyle w:val="Compact"/>
            </w:pPr>
            <w:r>
              <w:t xml:space="preserve">2023</w:t>
            </w:r>
          </w:p>
        </w:tc>
        <w:tc>
          <w:tcPr/>
          <w:p>
            <w:pPr>
              <w:pStyle w:val="Compact"/>
            </w:pPr>
            <w:r>
              <w:t xml:space="preserve">Urology</w:t>
            </w:r>
          </w:p>
        </w:tc>
        <w:tc>
          <w:tcPr/>
          <w:p>
            <w:pPr>
              <w:pStyle w:val="Compact"/>
            </w:pPr>
            <w:r>
              <w:t xml:space="preserve">48</w:t>
            </w:r>
          </w:p>
        </w:tc>
        <w:tc>
          <w:tcPr/>
          <w:p>
            <w:pPr>
              <w:pStyle w:val="Compact"/>
            </w:pPr>
            <w:r>
              <w:t xml:space="preserve">948</w:t>
            </w:r>
          </w:p>
        </w:tc>
        <w:tc>
          <w:tcPr/>
          <w:p>
            <w:pPr>
              <w:pStyle w:val="Compact"/>
            </w:pPr>
            <w:r>
              <w:t xml:space="preserve">17 (13–23)</w:t>
            </w:r>
          </w:p>
        </w:tc>
        <w:tc>
          <w:tcPr/>
          <w:p>
            <w:pPr>
              <w:pStyle w:val="Compact"/>
            </w:pPr>
            <w:r>
              <w:t xml:space="preserve">0.236</w:t>
            </w:r>
          </w:p>
        </w:tc>
        <w:tc>
          <w:tcPr/>
          <w:p>
            <w:pPr>
              <w:pStyle w:val="Compact"/>
            </w:pPr>
            <w:r>
              <w:t xml:space="preserve">253.9</w:t>
            </w:r>
          </w:p>
        </w:tc>
        <w:tc>
          <w:tcPr/>
          <w:p>
            <w:pPr>
              <w:pStyle w:val="Compact"/>
            </w:pPr>
            <w:r>
              <w:t xml:space="preserve">20.9%</w:t>
            </w:r>
          </w:p>
        </w:tc>
        <w:tc>
          <w:tcPr/>
          <w:p>
            <w:pPr>
              <w:pStyle w:val="Compact"/>
            </w:pPr>
            <w:r>
              <w:t xml:space="preserve">35.9%</w:t>
            </w:r>
          </w:p>
        </w:tc>
        <w:tc>
          <w:tcPr/>
          <w:p>
            <w:pPr>
              <w:pStyle w:val="Compact"/>
            </w:pPr>
            <w:r>
              <w:t xml:space="preserve">33.3%</w:t>
            </w:r>
          </w:p>
        </w:tc>
      </w:tr>
      <w:tr>
        <w:tc>
          <w:tcPr/>
          <w:p>
            <w:pPr>
              <w:pStyle w:val="Compact"/>
            </w:pPr>
            <w:r>
              <w:t xml:space="preserve">2023</w:t>
            </w:r>
          </w:p>
        </w:tc>
        <w:tc>
          <w:tcPr/>
          <w:p>
            <w:pPr>
              <w:pStyle w:val="Compact"/>
            </w:pPr>
            <w:r>
              <w:t xml:space="preserve">Other/uncertain</w:t>
            </w:r>
          </w:p>
        </w:tc>
        <w:tc>
          <w:tcPr/>
          <w:p>
            <w:pPr>
              <w:pStyle w:val="Compact"/>
            </w:pPr>
            <w:r>
              <w:t xml:space="preserve">56</w:t>
            </w:r>
          </w:p>
        </w:tc>
        <w:tc>
          <w:tcPr/>
          <w:p>
            <w:pPr>
              <w:pStyle w:val="Compact"/>
            </w:pPr>
            <w:r>
              <w:t xml:space="preserve">1121</w:t>
            </w:r>
          </w:p>
        </w:tc>
        <w:tc>
          <w:tcPr/>
          <w:p>
            <w:pPr>
              <w:pStyle w:val="Compact"/>
            </w:pPr>
            <w:r>
              <w:t xml:space="preserve">16 (13–25)</w:t>
            </w:r>
          </w:p>
        </w:tc>
        <w:tc>
          <w:tcPr/>
          <w:p>
            <w:pPr>
              <w:pStyle w:val="Compact"/>
            </w:pPr>
            <w:r>
              <w:t xml:space="preserve">0.242</w:t>
            </w:r>
          </w:p>
        </w:tc>
        <w:tc>
          <w:tcPr/>
          <w:p>
            <w:pPr>
              <w:pStyle w:val="Compact"/>
            </w:pPr>
            <w:r>
              <w:t xml:space="preserve">218.0</w:t>
            </w:r>
          </w:p>
        </w:tc>
        <w:tc>
          <w:tcPr/>
          <w:p>
            <w:pPr>
              <w:pStyle w:val="Compact"/>
            </w:pPr>
            <w:r>
              <w:t xml:space="preserve">21.6%</w:t>
            </w:r>
          </w:p>
        </w:tc>
        <w:tc>
          <w:tcPr/>
          <w:p>
            <w:pPr>
              <w:pStyle w:val="Compact"/>
            </w:pPr>
            <w:r>
              <w:t xml:space="preserve">36.6%</w:t>
            </w:r>
          </w:p>
        </w:tc>
        <w:tc>
          <w:tcPr/>
          <w:p>
            <w:pPr>
              <w:pStyle w:val="Compact"/>
            </w:pPr>
            <w:r>
              <w:t xml:space="preserve">32.3%</w:t>
            </w:r>
          </w:p>
        </w:tc>
      </w:tr>
      <w:tr>
        <w:tc>
          <w:tcPr/>
          <w:p>
            <w:pPr>
              <w:pStyle w:val="Compact"/>
            </w:pPr>
            <w:r>
              <w:t xml:space="preserve">2023</w:t>
            </w:r>
          </w:p>
        </w:tc>
        <w:tc>
          <w:tcPr/>
          <w:p>
            <w:pPr>
              <w:pStyle w:val="Compact"/>
            </w:pPr>
            <w:r>
              <w:t xml:space="preserve">URPS (OB/GYN)</w:t>
            </w:r>
          </w:p>
        </w:tc>
        <w:tc>
          <w:tcPr/>
          <w:p>
            <w:pPr>
              <w:pStyle w:val="Compact"/>
            </w:pPr>
            <w:r>
              <w:t xml:space="preserve">293</w:t>
            </w:r>
          </w:p>
        </w:tc>
        <w:tc>
          <w:tcPr/>
          <w:p>
            <w:pPr>
              <w:pStyle w:val="Compact"/>
            </w:pPr>
            <w:r>
              <w:t xml:space="preserve">6949</w:t>
            </w:r>
          </w:p>
        </w:tc>
        <w:tc>
          <w:tcPr/>
          <w:p>
            <w:pPr>
              <w:pStyle w:val="Compact"/>
            </w:pPr>
            <w:r>
              <w:t xml:space="preserve">20 (15–28)</w:t>
            </w:r>
          </w:p>
        </w:tc>
        <w:tc>
          <w:tcPr/>
          <w:p>
            <w:pPr>
              <w:pStyle w:val="Compact"/>
            </w:pPr>
            <w:r>
              <w:t xml:space="preserve">0.275</w:t>
            </w:r>
          </w:p>
        </w:tc>
        <w:tc>
          <w:tcPr/>
          <w:p>
            <w:pPr>
              <w:pStyle w:val="Compact"/>
            </w:pPr>
            <w:r>
              <w:t xml:space="preserve">44.2</w:t>
            </w:r>
          </w:p>
        </w:tc>
        <w:tc>
          <w:tcPr/>
          <w:p>
            <w:pPr>
              <w:pStyle w:val="Compact"/>
            </w:pPr>
            <w:r>
              <w:t xml:space="preserve">23.1%</w:t>
            </w:r>
          </w:p>
        </w:tc>
        <w:tc>
          <w:tcPr/>
          <w:p>
            <w:pPr>
              <w:pStyle w:val="Compact"/>
            </w:pPr>
            <w:r>
              <w:t xml:space="preserve">38.4%</w:t>
            </w:r>
          </w:p>
        </w:tc>
        <w:tc>
          <w:tcPr/>
          <w:p>
            <w:pPr>
              <w:pStyle w:val="Compact"/>
            </w:pPr>
            <w:r>
              <w:t xml:space="preserve">31.0%</w:t>
            </w:r>
          </w:p>
        </w:tc>
      </w:tr>
      <w:tr>
        <w:tc>
          <w:tcPr/>
          <w:p>
            <w:pPr>
              <w:pStyle w:val="Compact"/>
            </w:pPr>
            <w:r>
              <w:t xml:space="preserve">2023</w:t>
            </w:r>
          </w:p>
        </w:tc>
        <w:tc>
          <w:tcPr/>
          <w:p>
            <w:pPr>
              <w:pStyle w:val="Compact"/>
            </w:pPr>
            <w:r>
              <w:t xml:space="preserve">URPS (urology)</w:t>
            </w:r>
          </w:p>
        </w:tc>
        <w:tc>
          <w:tcPr/>
          <w:p>
            <w:pPr>
              <w:pStyle w:val="Compact"/>
            </w:pPr>
            <w:r>
              <w:t xml:space="preserve">45</w:t>
            </w:r>
          </w:p>
        </w:tc>
        <w:tc>
          <w:tcPr/>
          <w:p>
            <w:pPr>
              <w:pStyle w:val="Compact"/>
            </w:pPr>
            <w:r>
              <w:t xml:space="preserve">853</w:t>
            </w:r>
          </w:p>
        </w:tc>
        <w:tc>
          <w:tcPr/>
          <w:p>
            <w:pPr>
              <w:pStyle w:val="Compact"/>
            </w:pPr>
            <w:r>
              <w:t xml:space="preserve">16 (12–23)</w:t>
            </w:r>
          </w:p>
        </w:tc>
        <w:tc>
          <w:tcPr/>
          <w:p>
            <w:pPr>
              <w:pStyle w:val="Compact"/>
            </w:pPr>
            <w:r>
              <w:t xml:space="preserve">0.227</w:t>
            </w:r>
          </w:p>
        </w:tc>
        <w:tc>
          <w:tcPr/>
          <w:p>
            <w:pPr>
              <w:pStyle w:val="Compact"/>
            </w:pPr>
            <w:r>
              <w:t xml:space="preserve">264.9</w:t>
            </w:r>
          </w:p>
        </w:tc>
        <w:tc>
          <w:tcPr/>
          <w:p>
            <w:pPr>
              <w:pStyle w:val="Compact"/>
            </w:pPr>
            <w:r>
              <w:t xml:space="preserve">21.7%</w:t>
            </w:r>
          </w:p>
        </w:tc>
        <w:tc>
          <w:tcPr/>
          <w:p>
            <w:pPr>
              <w:pStyle w:val="Compact"/>
            </w:pPr>
            <w:r>
              <w:t xml:space="preserve">34.2%</w:t>
            </w:r>
          </w:p>
        </w:tc>
        <w:tc>
          <w:tcPr/>
          <w:p>
            <w:pPr>
              <w:pStyle w:val="Compact"/>
            </w:pPr>
            <w:r>
              <w:t xml:space="preserve">33.1%</w:t>
            </w:r>
          </w:p>
        </w:tc>
      </w:tr>
    </w:tbl>
    <w:p>
      <w:pPr>
        <w:pStyle w:val="BodyText"/>
      </w:pPr>
      <w:r>
        <w:rPr>
          <w:b/>
          <w:bCs/>
        </w:rPr>
        <w:t xml:space="preserve">Supplementary Table S2.</w:t>
      </w:r>
      <w:r>
        <w:t xml:space="preserve"> </w:t>
      </w:r>
      <w:r>
        <w:t xml:space="preserve">Trend regressions for annual concentration and volume measures on calendar year, overall and by specialty (ordinary least squares).</w:t>
      </w:r>
    </w:p>
    <w:tbl>
      <w:tblPr>
        <w:tblStyle w:val="Table"/>
        <w:tblW w:type="pct" w:w="5000"/>
        <w:tblLayout w:type="fixed"/>
        <w:tblLook w:firstRow="1" w:lastRow="0" w:firstColumn="0" w:lastColumn="0" w:noHBand="0" w:noVBand="0" w:val="0020"/>
      </w:tblPr>
      <w:tblGrid>
        <w:gridCol w:w="2020"/>
        <w:gridCol w:w="1373"/>
        <w:gridCol w:w="888"/>
        <w:gridCol w:w="888"/>
        <w:gridCol w:w="1131"/>
        <w:gridCol w:w="888"/>
        <w:gridCol w:w="727"/>
      </w:tblGrid>
      <w:tr>
        <w:trPr>
          <w:tblHeader w:val="on"/>
        </w:trPr>
        <w:tc>
          <w:tcPr/>
          <w:p>
            <w:pPr>
              <w:pStyle w:val="Compact"/>
            </w:pPr>
            <w:r>
              <w:t xml:space="preserve">Measure</w:t>
            </w:r>
          </w:p>
        </w:tc>
        <w:tc>
          <w:tcPr/>
          <w:p>
            <w:pPr>
              <w:pStyle w:val="Compact"/>
            </w:pPr>
            <w:r>
              <w:t xml:space="preserve">Specialty</w:t>
            </w:r>
          </w:p>
        </w:tc>
        <w:tc>
          <w:tcPr/>
          <w:p>
            <w:pPr>
              <w:pStyle w:val="Compact"/>
            </w:pPr>
            <w:r>
              <w:t xml:space="preserve">Start</w:t>
            </w:r>
          </w:p>
        </w:tc>
        <w:tc>
          <w:tcPr/>
          <w:p>
            <w:pPr>
              <w:pStyle w:val="Compact"/>
            </w:pPr>
            <w:r>
              <w:t xml:space="preserve">End</w:t>
            </w:r>
          </w:p>
        </w:tc>
        <w:tc>
          <w:tcPr/>
          <w:p>
            <w:pPr>
              <w:pStyle w:val="Compact"/>
            </w:pPr>
            <w:r>
              <w:t xml:space="preserve">Slope / year</w:t>
            </w:r>
          </w:p>
        </w:tc>
        <w:tc>
          <w:tcPr/>
          <w:p>
            <w:pPr>
              <w:pStyle w:val="Compact"/>
            </w:pPr>
            <w:r>
              <w:t xml:space="preserve">R-squared</w:t>
            </w:r>
          </w:p>
        </w:tc>
        <w:tc>
          <w:tcPr/>
          <w:p>
            <w:pPr>
              <w:pStyle w:val="Compact"/>
            </w:pPr>
            <w:r>
              <w:t xml:space="preserve">p-value</w:t>
            </w:r>
          </w:p>
        </w:tc>
      </w:tr>
      <w:tr>
        <w:tc>
          <w:tcPr/>
          <w:p>
            <w:pPr>
              <w:pStyle w:val="Compact"/>
            </w:pPr>
            <w:r>
              <w:t xml:space="preserve">Total procedures</w:t>
            </w:r>
          </w:p>
        </w:tc>
        <w:tc>
          <w:tcPr/>
          <w:p>
            <w:pPr>
              <w:pStyle w:val="Compact"/>
            </w:pPr>
            <w:r>
              <w:t xml:space="preserve">All</w:t>
            </w:r>
          </w:p>
        </w:tc>
        <w:tc>
          <w:tcPr/>
          <w:p>
            <w:pPr>
              <w:pStyle w:val="Compact"/>
            </w:pPr>
            <w:r>
              <w:t xml:space="preserve">15872.000</w:t>
            </w:r>
          </w:p>
        </w:tc>
        <w:tc>
          <w:tcPr/>
          <w:p>
            <w:pPr>
              <w:pStyle w:val="Compact"/>
            </w:pPr>
            <w:r>
              <w:t xml:space="preserve">11470.000</w:t>
            </w:r>
          </w:p>
        </w:tc>
        <w:tc>
          <w:tcPr/>
          <w:p>
            <w:pPr>
              <w:pStyle w:val="Compact"/>
            </w:pPr>
            <w:r>
              <w:t xml:space="preserve">-503.609</w:t>
            </w:r>
          </w:p>
        </w:tc>
        <w:tc>
          <w:tcPr/>
          <w:p>
            <w:pPr>
              <w:pStyle w:val="Compact"/>
            </w:pPr>
            <w:r>
              <w:t xml:space="preserve">0.491</w:t>
            </w:r>
          </w:p>
        </w:tc>
        <w:tc>
          <w:tcPr/>
          <w:p>
            <w:pPr>
              <w:pStyle w:val="Compact"/>
            </w:pPr>
            <w:r>
              <w:t xml:space="preserve">0.020</w:t>
            </w:r>
          </w:p>
        </w:tc>
      </w:tr>
      <w:tr>
        <w:tc>
          <w:tcPr/>
          <w:p>
            <w:pPr>
              <w:pStyle w:val="Compact"/>
            </w:pPr>
            <w:r>
              <w:t xml:space="preserve">Total procedures</w:t>
            </w:r>
          </w:p>
        </w:tc>
        <w:tc>
          <w:tcPr/>
          <w:p>
            <w:pPr>
              <w:pStyle w:val="Compact"/>
            </w:pPr>
            <w:r>
              <w:t xml:space="preserve">General OB/GYN</w:t>
            </w:r>
          </w:p>
        </w:tc>
        <w:tc>
          <w:tcPr/>
          <w:p>
            <w:pPr>
              <w:pStyle w:val="Compact"/>
            </w:pPr>
            <w:r>
              <w:t xml:space="preserve">2580.000</w:t>
            </w:r>
          </w:p>
        </w:tc>
        <w:tc>
          <w:tcPr/>
          <w:p>
            <w:pPr>
              <w:pStyle w:val="Compact"/>
            </w:pPr>
            <w:r>
              <w:t xml:space="preserve">1500.000</w:t>
            </w:r>
          </w:p>
        </w:tc>
        <w:tc>
          <w:tcPr/>
          <w:p>
            <w:pPr>
              <w:pStyle w:val="Compact"/>
            </w:pPr>
            <w:r>
              <w:t xml:space="preserve">-117.527</w:t>
            </w:r>
          </w:p>
        </w:tc>
        <w:tc>
          <w:tcPr/>
          <w:p>
            <w:pPr>
              <w:pStyle w:val="Compact"/>
            </w:pPr>
            <w:r>
              <w:t xml:space="preserve">0.681</w:t>
            </w:r>
          </w:p>
        </w:tc>
        <w:tc>
          <w:tcPr/>
          <w:p>
            <w:pPr>
              <w:pStyle w:val="Compact"/>
            </w:pPr>
            <w:r>
              <w:t xml:space="preserve">0.002</w:t>
            </w:r>
          </w:p>
        </w:tc>
      </w:tr>
      <w:tr>
        <w:tc>
          <w:tcPr/>
          <w:p>
            <w:pPr>
              <w:pStyle w:val="Compact"/>
            </w:pPr>
            <w:r>
              <w:t xml:space="preserve">Total procedures</w:t>
            </w:r>
          </w:p>
        </w:tc>
        <w:tc>
          <w:tcPr/>
          <w:p>
            <w:pPr>
              <w:pStyle w:val="Compact"/>
            </w:pPr>
            <w:r>
              <w:t xml:space="preserve">MIGS</w:t>
            </w:r>
          </w:p>
        </w:tc>
        <w:tc>
          <w:tcPr/>
          <w:p>
            <w:pPr>
              <w:pStyle w:val="Compact"/>
            </w:pPr>
            <w:r>
              <w:t xml:space="preserve">35.000</w:t>
            </w:r>
          </w:p>
        </w:tc>
        <w:tc>
          <w:tcPr/>
          <w:p>
            <w:pPr>
              <w:pStyle w:val="Compact"/>
            </w:pPr>
            <w:r>
              <w:t xml:space="preserve">99.000</w:t>
            </w:r>
          </w:p>
        </w:tc>
        <w:tc>
          <w:tcPr/>
          <w:p>
            <w:pPr>
              <w:pStyle w:val="Compact"/>
            </w:pPr>
            <w:r>
              <w:t xml:space="preserve">6.582</w:t>
            </w:r>
          </w:p>
        </w:tc>
        <w:tc>
          <w:tcPr/>
          <w:p>
            <w:pPr>
              <w:pStyle w:val="Compact"/>
            </w:pPr>
            <w:r>
              <w:t xml:space="preserve">0.333</w:t>
            </w:r>
          </w:p>
        </w:tc>
        <w:tc>
          <w:tcPr/>
          <w:p>
            <w:pPr>
              <w:pStyle w:val="Compact"/>
            </w:pPr>
            <w:r>
              <w:t xml:space="preserve">0.060</w:t>
            </w:r>
          </w:p>
        </w:tc>
      </w:tr>
      <w:tr>
        <w:tc>
          <w:tcPr/>
          <w:p>
            <w:pPr>
              <w:pStyle w:val="Compact"/>
            </w:pPr>
            <w:r>
              <w:t xml:space="preserve">Total procedures</w:t>
            </w:r>
          </w:p>
        </w:tc>
        <w:tc>
          <w:tcPr/>
          <w:p>
            <w:pPr>
              <w:pStyle w:val="Compact"/>
            </w:pPr>
            <w:r>
              <w:t xml:space="preserve">Other/uncertain</w:t>
            </w:r>
          </w:p>
        </w:tc>
        <w:tc>
          <w:tcPr/>
          <w:p>
            <w:pPr>
              <w:pStyle w:val="Compact"/>
            </w:pPr>
            <w:r>
              <w:t xml:space="preserve">945.000</w:t>
            </w:r>
          </w:p>
        </w:tc>
        <w:tc>
          <w:tcPr/>
          <w:p>
            <w:pPr>
              <w:pStyle w:val="Compact"/>
            </w:pPr>
            <w:r>
              <w:t xml:space="preserve">1121.000</w:t>
            </w:r>
          </w:p>
        </w:tc>
        <w:tc>
          <w:tcPr/>
          <w:p>
            <w:pPr>
              <w:pStyle w:val="Compact"/>
            </w:pPr>
            <w:r>
              <w:t xml:space="preserve">19.964</w:t>
            </w:r>
          </w:p>
        </w:tc>
        <w:tc>
          <w:tcPr/>
          <w:p>
            <w:pPr>
              <w:pStyle w:val="Compact"/>
            </w:pPr>
            <w:r>
              <w:t xml:space="preserve">0.138</w:t>
            </w:r>
          </w:p>
        </w:tc>
        <w:tc>
          <w:tcPr/>
          <w:p>
            <w:pPr>
              <w:pStyle w:val="Compact"/>
            </w:pPr>
            <w:r>
              <w:t xml:space="preserve">0.260</w:t>
            </w:r>
          </w:p>
        </w:tc>
      </w:tr>
      <w:tr>
        <w:tc>
          <w:tcPr/>
          <w:p>
            <w:pPr>
              <w:pStyle w:val="Compact"/>
            </w:pPr>
            <w:r>
              <w:t xml:space="preserve">Total procedures</w:t>
            </w:r>
          </w:p>
        </w:tc>
        <w:tc>
          <w:tcPr/>
          <w:p>
            <w:pPr>
              <w:pStyle w:val="Compact"/>
            </w:pPr>
            <w:r>
              <w:t xml:space="preserve">URPS (OB/GYN)</w:t>
            </w:r>
          </w:p>
        </w:tc>
        <w:tc>
          <w:tcPr/>
          <w:p>
            <w:pPr>
              <w:pStyle w:val="Compact"/>
            </w:pPr>
            <w:r>
              <w:t xml:space="preserve">7266.000</w:t>
            </w:r>
          </w:p>
        </w:tc>
        <w:tc>
          <w:tcPr/>
          <w:p>
            <w:pPr>
              <w:pStyle w:val="Compact"/>
            </w:pPr>
            <w:r>
              <w:t xml:space="preserve">6949.000</w:t>
            </w:r>
          </w:p>
        </w:tc>
        <w:tc>
          <w:tcPr/>
          <w:p>
            <w:pPr>
              <w:pStyle w:val="Compact"/>
            </w:pPr>
            <w:r>
              <w:t xml:space="preserve">-97.018</w:t>
            </w:r>
          </w:p>
        </w:tc>
        <w:tc>
          <w:tcPr/>
          <w:p>
            <w:pPr>
              <w:pStyle w:val="Compact"/>
            </w:pPr>
            <w:r>
              <w:t xml:space="preserve">0.112</w:t>
            </w:r>
          </w:p>
        </w:tc>
        <w:tc>
          <w:tcPr/>
          <w:p>
            <w:pPr>
              <w:pStyle w:val="Compact"/>
            </w:pPr>
            <w:r>
              <w:t xml:space="preserve">0.310</w:t>
            </w:r>
          </w:p>
        </w:tc>
      </w:tr>
      <w:tr>
        <w:tc>
          <w:tcPr/>
          <w:p>
            <w:pPr>
              <w:pStyle w:val="Compact"/>
            </w:pPr>
            <w:r>
              <w:t xml:space="preserve">Total procedures</w:t>
            </w:r>
          </w:p>
        </w:tc>
        <w:tc>
          <w:tcPr/>
          <w:p>
            <w:pPr>
              <w:pStyle w:val="Compact"/>
            </w:pPr>
            <w:r>
              <w:t xml:space="preserve">URPS (urology)</w:t>
            </w:r>
          </w:p>
        </w:tc>
        <w:tc>
          <w:tcPr/>
          <w:p>
            <w:pPr>
              <w:pStyle w:val="Compact"/>
            </w:pPr>
            <w:r>
              <w:t xml:space="preserve">1483.000</w:t>
            </w:r>
          </w:p>
        </w:tc>
        <w:tc>
          <w:tcPr/>
          <w:p>
            <w:pPr>
              <w:pStyle w:val="Compact"/>
            </w:pPr>
            <w:r>
              <w:t xml:space="preserve">853.000</w:t>
            </w:r>
          </w:p>
        </w:tc>
        <w:tc>
          <w:tcPr/>
          <w:p>
            <w:pPr>
              <w:pStyle w:val="Compact"/>
            </w:pPr>
            <w:r>
              <w:t xml:space="preserve">-79.791</w:t>
            </w:r>
          </w:p>
        </w:tc>
        <w:tc>
          <w:tcPr/>
          <w:p>
            <w:pPr>
              <w:pStyle w:val="Compact"/>
            </w:pPr>
            <w:r>
              <w:t xml:space="preserve">0.663</w:t>
            </w:r>
          </w:p>
        </w:tc>
        <w:tc>
          <w:tcPr/>
          <w:p>
            <w:pPr>
              <w:pStyle w:val="Compact"/>
            </w:pPr>
            <w:r>
              <w:t xml:space="preserve">0.002</w:t>
            </w:r>
          </w:p>
        </w:tc>
      </w:tr>
      <w:tr>
        <w:tc>
          <w:tcPr/>
          <w:p>
            <w:pPr>
              <w:pStyle w:val="Compact"/>
            </w:pPr>
            <w:r>
              <w:t xml:space="preserve">Total procedures</w:t>
            </w:r>
          </w:p>
        </w:tc>
        <w:tc>
          <w:tcPr/>
          <w:p>
            <w:pPr>
              <w:pStyle w:val="Compact"/>
            </w:pPr>
            <w:r>
              <w:t xml:space="preserve">Urology</w:t>
            </w:r>
          </w:p>
        </w:tc>
        <w:tc>
          <w:tcPr/>
          <w:p>
            <w:pPr>
              <w:pStyle w:val="Compact"/>
            </w:pPr>
            <w:r>
              <w:t xml:space="preserve">3563.000</w:t>
            </w:r>
          </w:p>
        </w:tc>
        <w:tc>
          <w:tcPr/>
          <w:p>
            <w:pPr>
              <w:pStyle w:val="Compact"/>
            </w:pPr>
            <w:r>
              <w:t xml:space="preserve">948.000</w:t>
            </w:r>
          </w:p>
        </w:tc>
        <w:tc>
          <w:tcPr/>
          <w:p>
            <w:pPr>
              <w:pStyle w:val="Compact"/>
            </w:pPr>
            <w:r>
              <w:t xml:space="preserve">-235.818</w:t>
            </w:r>
          </w:p>
        </w:tc>
        <w:tc>
          <w:tcPr/>
          <w:p>
            <w:pPr>
              <w:pStyle w:val="Compact"/>
            </w:pPr>
            <w:r>
              <w:t xml:space="preserve">0.834</w:t>
            </w:r>
          </w:p>
        </w:tc>
        <w:tc>
          <w:tcPr/>
          <w:p>
            <w:pPr>
              <w:pStyle w:val="Compact"/>
            </w:pPr>
            <w:r>
              <w:t xml:space="preserve">n/a</w:t>
            </w:r>
          </w:p>
        </w:tc>
      </w:tr>
      <w:tr>
        <w:tc>
          <w:tcPr/>
          <w:p>
            <w:pPr>
              <w:pStyle w:val="Compact"/>
            </w:pPr>
            <w:r>
              <w:t xml:space="preserve">Observable surgeons</w:t>
            </w:r>
          </w:p>
        </w:tc>
        <w:tc>
          <w:tcPr/>
          <w:p>
            <w:pPr>
              <w:pStyle w:val="Compact"/>
            </w:pPr>
            <w:r>
              <w:t xml:space="preserve">All</w:t>
            </w:r>
          </w:p>
        </w:tc>
        <w:tc>
          <w:tcPr/>
          <w:p>
            <w:pPr>
              <w:pStyle w:val="Compact"/>
            </w:pPr>
            <w:r>
              <w:t xml:space="preserve">779.000</w:t>
            </w:r>
          </w:p>
        </w:tc>
        <w:tc>
          <w:tcPr/>
          <w:p>
            <w:pPr>
              <w:pStyle w:val="Compact"/>
            </w:pPr>
            <w:r>
              <w:t xml:space="preserve">522.000</w:t>
            </w:r>
          </w:p>
        </w:tc>
        <w:tc>
          <w:tcPr/>
          <w:p>
            <w:pPr>
              <w:pStyle w:val="Compact"/>
            </w:pPr>
            <w:r>
              <w:t xml:space="preserve">-27.045</w:t>
            </w:r>
          </w:p>
        </w:tc>
        <w:tc>
          <w:tcPr/>
          <w:p>
            <w:pPr>
              <w:pStyle w:val="Compact"/>
            </w:pPr>
            <w:r>
              <w:t xml:space="preserve">0.654</w:t>
            </w:r>
          </w:p>
        </w:tc>
        <w:tc>
          <w:tcPr/>
          <w:p>
            <w:pPr>
              <w:pStyle w:val="Compact"/>
            </w:pPr>
            <w:r>
              <w:t xml:space="preserve">0.003</w:t>
            </w:r>
          </w:p>
        </w:tc>
      </w:tr>
      <w:tr>
        <w:tc>
          <w:tcPr/>
          <w:p>
            <w:pPr>
              <w:pStyle w:val="Compact"/>
            </w:pPr>
            <w:r>
              <w:t xml:space="preserve">Observable surgeons</w:t>
            </w:r>
          </w:p>
        </w:tc>
        <w:tc>
          <w:tcPr/>
          <w:p>
            <w:pPr>
              <w:pStyle w:val="Compact"/>
            </w:pPr>
            <w:r>
              <w:t xml:space="preserve">General OB/GYN</w:t>
            </w:r>
          </w:p>
        </w:tc>
        <w:tc>
          <w:tcPr/>
          <w:p>
            <w:pPr>
              <w:pStyle w:val="Compact"/>
            </w:pPr>
            <w:r>
              <w:t xml:space="preserve">142.000</w:t>
            </w:r>
          </w:p>
        </w:tc>
        <w:tc>
          <w:tcPr/>
          <w:p>
            <w:pPr>
              <w:pStyle w:val="Compact"/>
            </w:pPr>
            <w:r>
              <w:t xml:space="preserve">76.000</w:t>
            </w:r>
          </w:p>
        </w:tc>
        <w:tc>
          <w:tcPr/>
          <w:p>
            <w:pPr>
              <w:pStyle w:val="Compact"/>
            </w:pPr>
            <w:r>
              <w:t xml:space="preserve">-6.882</w:t>
            </w:r>
          </w:p>
        </w:tc>
        <w:tc>
          <w:tcPr/>
          <w:p>
            <w:pPr>
              <w:pStyle w:val="Compact"/>
            </w:pPr>
            <w:r>
              <w:t xml:space="preserve">0.721</w:t>
            </w:r>
          </w:p>
        </w:tc>
        <w:tc>
          <w:tcPr/>
          <w:p>
            <w:pPr>
              <w:pStyle w:val="Compact"/>
            </w:pPr>
            <w:r>
              <w:t xml:space="preserve">n/a</w:t>
            </w:r>
          </w:p>
        </w:tc>
      </w:tr>
      <w:tr>
        <w:tc>
          <w:tcPr/>
          <w:p>
            <w:pPr>
              <w:pStyle w:val="Compact"/>
            </w:pPr>
            <w:r>
              <w:t xml:space="preserve">Observable surgeons</w:t>
            </w:r>
          </w:p>
        </w:tc>
        <w:tc>
          <w:tcPr/>
          <w:p>
            <w:pPr>
              <w:pStyle w:val="Compact"/>
            </w:pPr>
            <w:r>
              <w:t xml:space="preserve">MIGS</w:t>
            </w:r>
          </w:p>
        </w:tc>
        <w:tc>
          <w:tcPr/>
          <w:p>
            <w:pPr>
              <w:pStyle w:val="Compact"/>
            </w:pPr>
            <w:r>
              <w:t xml:space="preserve">3.000</w:t>
            </w:r>
          </w:p>
        </w:tc>
        <w:tc>
          <w:tcPr/>
          <w:p>
            <w:pPr>
              <w:pStyle w:val="Compact"/>
            </w:pPr>
            <w:r>
              <w:t xml:space="preserve">4.000</w:t>
            </w:r>
          </w:p>
        </w:tc>
        <w:tc>
          <w:tcPr/>
          <w:p>
            <w:pPr>
              <w:pStyle w:val="Compact"/>
            </w:pPr>
            <w:r>
              <w:t xml:space="preserve">-0.027</w:t>
            </w:r>
          </w:p>
        </w:tc>
        <w:tc>
          <w:tcPr/>
          <w:p>
            <w:pPr>
              <w:pStyle w:val="Compact"/>
            </w:pPr>
            <w:r>
              <w:t xml:space="preserve">0.009</w:t>
            </w:r>
          </w:p>
        </w:tc>
        <w:tc>
          <w:tcPr/>
          <w:p>
            <w:pPr>
              <w:pStyle w:val="Compact"/>
            </w:pPr>
            <w:r>
              <w:t xml:space="preserve">0.780</w:t>
            </w:r>
          </w:p>
        </w:tc>
      </w:tr>
      <w:tr>
        <w:tc>
          <w:tcPr/>
          <w:p>
            <w:pPr>
              <w:pStyle w:val="Compact"/>
            </w:pPr>
            <w:r>
              <w:t xml:space="preserve">Observable surgeons</w:t>
            </w:r>
          </w:p>
        </w:tc>
        <w:tc>
          <w:tcPr/>
          <w:p>
            <w:pPr>
              <w:pStyle w:val="Compact"/>
            </w:pPr>
            <w:r>
              <w:t xml:space="preserve">Other/uncertain</w:t>
            </w:r>
          </w:p>
        </w:tc>
        <w:tc>
          <w:tcPr/>
          <w:p>
            <w:pPr>
              <w:pStyle w:val="Compact"/>
            </w:pPr>
            <w:r>
              <w:t xml:space="preserve">38.000</w:t>
            </w:r>
          </w:p>
        </w:tc>
        <w:tc>
          <w:tcPr/>
          <w:p>
            <w:pPr>
              <w:pStyle w:val="Compact"/>
            </w:pPr>
            <w:r>
              <w:t xml:space="preserve">56.000</w:t>
            </w:r>
          </w:p>
        </w:tc>
        <w:tc>
          <w:tcPr/>
          <w:p>
            <w:pPr>
              <w:pStyle w:val="Compact"/>
            </w:pPr>
            <w:r>
              <w:t xml:space="preserve">1.545</w:t>
            </w:r>
          </w:p>
        </w:tc>
        <w:tc>
          <w:tcPr/>
          <w:p>
            <w:pPr>
              <w:pStyle w:val="Compact"/>
            </w:pPr>
            <w:r>
              <w:t xml:space="preserve">0.344</w:t>
            </w:r>
          </w:p>
        </w:tc>
        <w:tc>
          <w:tcPr/>
          <w:p>
            <w:pPr>
              <w:pStyle w:val="Compact"/>
            </w:pPr>
            <w:r>
              <w:t xml:space="preserve">0.060</w:t>
            </w:r>
          </w:p>
        </w:tc>
      </w:tr>
      <w:tr>
        <w:tc>
          <w:tcPr/>
          <w:p>
            <w:pPr>
              <w:pStyle w:val="Compact"/>
            </w:pPr>
            <w:r>
              <w:t xml:space="preserve">Observable surgeons</w:t>
            </w:r>
          </w:p>
        </w:tc>
        <w:tc>
          <w:tcPr/>
          <w:p>
            <w:pPr>
              <w:pStyle w:val="Compact"/>
            </w:pPr>
            <w:r>
              <w:t xml:space="preserve">URPS (OB/GYN)</w:t>
            </w:r>
          </w:p>
        </w:tc>
        <w:tc>
          <w:tcPr/>
          <w:p>
            <w:pPr>
              <w:pStyle w:val="Compact"/>
            </w:pPr>
            <w:r>
              <w:t xml:space="preserve">304.000</w:t>
            </w:r>
          </w:p>
        </w:tc>
        <w:tc>
          <w:tcPr/>
          <w:p>
            <w:pPr>
              <w:pStyle w:val="Compact"/>
            </w:pPr>
            <w:r>
              <w:t xml:space="preserve">293.000</w:t>
            </w:r>
          </w:p>
        </w:tc>
        <w:tc>
          <w:tcPr/>
          <w:p>
            <w:pPr>
              <w:pStyle w:val="Compact"/>
            </w:pPr>
            <w:r>
              <w:t xml:space="preserve">-2.927</w:t>
            </w:r>
          </w:p>
        </w:tc>
        <w:tc>
          <w:tcPr/>
          <w:p>
            <w:pPr>
              <w:pStyle w:val="Compact"/>
            </w:pPr>
            <w:r>
              <w:t xml:space="preserve">0.100</w:t>
            </w:r>
          </w:p>
        </w:tc>
        <w:tc>
          <w:tcPr/>
          <w:p>
            <w:pPr>
              <w:pStyle w:val="Compact"/>
            </w:pPr>
            <w:r>
              <w:t xml:space="preserve">0.340</w:t>
            </w:r>
          </w:p>
        </w:tc>
      </w:tr>
      <w:tr>
        <w:tc>
          <w:tcPr/>
          <w:p>
            <w:pPr>
              <w:pStyle w:val="Compact"/>
            </w:pPr>
            <w:r>
              <w:t xml:space="preserve">Observable surgeons</w:t>
            </w:r>
          </w:p>
        </w:tc>
        <w:tc>
          <w:tcPr/>
          <w:p>
            <w:pPr>
              <w:pStyle w:val="Compact"/>
            </w:pPr>
            <w:r>
              <w:t xml:space="preserve">URPS (urology)</w:t>
            </w:r>
          </w:p>
        </w:tc>
        <w:tc>
          <w:tcPr/>
          <w:p>
            <w:pPr>
              <w:pStyle w:val="Compact"/>
            </w:pPr>
            <w:r>
              <w:t xml:space="preserve">81.000</w:t>
            </w:r>
          </w:p>
        </w:tc>
        <w:tc>
          <w:tcPr/>
          <w:p>
            <w:pPr>
              <w:pStyle w:val="Compact"/>
            </w:pPr>
            <w:r>
              <w:t xml:space="preserve">45.000</w:t>
            </w:r>
          </w:p>
        </w:tc>
        <w:tc>
          <w:tcPr/>
          <w:p>
            <w:pPr>
              <w:pStyle w:val="Compact"/>
            </w:pPr>
            <w:r>
              <w:t xml:space="preserve">-3.991</w:t>
            </w:r>
          </w:p>
        </w:tc>
        <w:tc>
          <w:tcPr/>
          <w:p>
            <w:pPr>
              <w:pStyle w:val="Compact"/>
            </w:pPr>
            <w:r>
              <w:t xml:space="preserve">0.702</w:t>
            </w:r>
          </w:p>
        </w:tc>
        <w:tc>
          <w:tcPr/>
          <w:p>
            <w:pPr>
              <w:pStyle w:val="Compact"/>
            </w:pPr>
            <w:r>
              <w:t xml:space="preserve">0.001</w:t>
            </w:r>
          </w:p>
        </w:tc>
      </w:tr>
      <w:tr>
        <w:tc>
          <w:tcPr/>
          <w:p>
            <w:pPr>
              <w:pStyle w:val="Compact"/>
            </w:pPr>
            <w:r>
              <w:t xml:space="preserve">Observable surgeons</w:t>
            </w:r>
          </w:p>
        </w:tc>
        <w:tc>
          <w:tcPr/>
          <w:p>
            <w:pPr>
              <w:pStyle w:val="Compact"/>
            </w:pPr>
            <w:r>
              <w:t xml:space="preserve">Urology</w:t>
            </w:r>
          </w:p>
        </w:tc>
        <w:tc>
          <w:tcPr/>
          <w:p>
            <w:pPr>
              <w:pStyle w:val="Compact"/>
            </w:pPr>
            <w:r>
              <w:t xml:space="preserve">211.000</w:t>
            </w:r>
          </w:p>
        </w:tc>
        <w:tc>
          <w:tcPr/>
          <w:p>
            <w:pPr>
              <w:pStyle w:val="Compact"/>
            </w:pPr>
            <w:r>
              <w:t xml:space="preserve">48.000</w:t>
            </w:r>
          </w:p>
        </w:tc>
        <w:tc>
          <w:tcPr/>
          <w:p>
            <w:pPr>
              <w:pStyle w:val="Compact"/>
            </w:pPr>
            <w:r>
              <w:t xml:space="preserve">-14.764</w:t>
            </w:r>
          </w:p>
        </w:tc>
        <w:tc>
          <w:tcPr/>
          <w:p>
            <w:pPr>
              <w:pStyle w:val="Compact"/>
            </w:pPr>
            <w:r>
              <w:t xml:space="preserve">0.889</w:t>
            </w:r>
          </w:p>
        </w:tc>
        <w:tc>
          <w:tcPr/>
          <w:p>
            <w:pPr>
              <w:pStyle w:val="Compact"/>
            </w:pPr>
            <w:r>
              <w:t xml:space="preserve">n/a</w:t>
            </w:r>
          </w:p>
        </w:tc>
      </w:tr>
      <w:tr>
        <w:tc>
          <w:tcPr/>
          <w:p>
            <w:pPr>
              <w:pStyle w:val="Compact"/>
            </w:pPr>
            <w:r>
              <w:t xml:space="preserve">Median annual volume</w:t>
            </w:r>
          </w:p>
        </w:tc>
        <w:tc>
          <w:tcPr/>
          <w:p>
            <w:pPr>
              <w:pStyle w:val="Compact"/>
            </w:pPr>
            <w:r>
              <w:t xml:space="preserve">All</w:t>
            </w:r>
          </w:p>
        </w:tc>
        <w:tc>
          <w:tcPr/>
          <w:p>
            <w:pPr>
              <w:pStyle w:val="Compact"/>
            </w:pPr>
            <w:r>
              <w:t xml:space="preserve">16.000</w:t>
            </w:r>
          </w:p>
        </w:tc>
        <w:tc>
          <w:tcPr/>
          <w:p>
            <w:pPr>
              <w:pStyle w:val="Compact"/>
            </w:pPr>
            <w:r>
              <w:t xml:space="preserve">18.000</w:t>
            </w:r>
          </w:p>
        </w:tc>
        <w:tc>
          <w:tcPr/>
          <w:p>
            <w:pPr>
              <w:pStyle w:val="Compact"/>
            </w:pPr>
            <w:r>
              <w:t xml:space="preserve">0.109</w:t>
            </w:r>
          </w:p>
        </w:tc>
        <w:tc>
          <w:tcPr/>
          <w:p>
            <w:pPr>
              <w:pStyle w:val="Compact"/>
            </w:pPr>
            <w:r>
              <w:t xml:space="preserve">0.122</w:t>
            </w:r>
          </w:p>
        </w:tc>
        <w:tc>
          <w:tcPr/>
          <w:p>
            <w:pPr>
              <w:pStyle w:val="Compact"/>
            </w:pPr>
            <w:r>
              <w:t xml:space="preserve">0.290</w:t>
            </w:r>
          </w:p>
        </w:tc>
      </w:tr>
      <w:tr>
        <w:tc>
          <w:tcPr/>
          <w:p>
            <w:pPr>
              <w:pStyle w:val="Compact"/>
            </w:pPr>
            <w:r>
              <w:t xml:space="preserve">Median annual volume</w:t>
            </w:r>
          </w:p>
        </w:tc>
        <w:tc>
          <w:tcPr/>
          <w:p>
            <w:pPr>
              <w:pStyle w:val="Compact"/>
            </w:pPr>
            <w:r>
              <w:t xml:space="preserve">General OB/GYN</w:t>
            </w:r>
          </w:p>
        </w:tc>
        <w:tc>
          <w:tcPr/>
          <w:p>
            <w:pPr>
              <w:pStyle w:val="Compact"/>
            </w:pPr>
            <w:r>
              <w:t xml:space="preserve">14.000</w:t>
            </w:r>
          </w:p>
        </w:tc>
        <w:tc>
          <w:tcPr/>
          <w:p>
            <w:pPr>
              <w:pStyle w:val="Compact"/>
            </w:pPr>
            <w:r>
              <w:t xml:space="preserve">16.000</w:t>
            </w:r>
          </w:p>
        </w:tc>
        <w:tc>
          <w:tcPr/>
          <w:p>
            <w:pPr>
              <w:pStyle w:val="Compact"/>
            </w:pPr>
            <w:r>
              <w:t xml:space="preserve">0.136</w:t>
            </w:r>
          </w:p>
        </w:tc>
        <w:tc>
          <w:tcPr/>
          <w:p>
            <w:pPr>
              <w:pStyle w:val="Compact"/>
            </w:pPr>
            <w:r>
              <w:t xml:space="preserve">0.169</w:t>
            </w:r>
          </w:p>
        </w:tc>
        <w:tc>
          <w:tcPr/>
          <w:p>
            <w:pPr>
              <w:pStyle w:val="Compact"/>
            </w:pPr>
            <w:r>
              <w:t xml:space="preserve">0.210</w:t>
            </w:r>
          </w:p>
        </w:tc>
      </w:tr>
      <w:tr>
        <w:tc>
          <w:tcPr/>
          <w:p>
            <w:pPr>
              <w:pStyle w:val="Compact"/>
            </w:pPr>
            <w:r>
              <w:t xml:space="preserve">Median annual volume</w:t>
            </w:r>
          </w:p>
        </w:tc>
        <w:tc>
          <w:tcPr/>
          <w:p>
            <w:pPr>
              <w:pStyle w:val="Compact"/>
            </w:pPr>
            <w:r>
              <w:t xml:space="preserve">MIGS</w:t>
            </w:r>
          </w:p>
        </w:tc>
        <w:tc>
          <w:tcPr/>
          <w:p>
            <w:pPr>
              <w:pStyle w:val="Compact"/>
            </w:pPr>
            <w:r>
              <w:t xml:space="preserve">12.000</w:t>
            </w:r>
          </w:p>
        </w:tc>
        <w:tc>
          <w:tcPr/>
          <w:p>
            <w:pPr>
              <w:pStyle w:val="Compact"/>
            </w:pPr>
            <w:r>
              <w:t xml:space="preserve">14.000</w:t>
            </w:r>
          </w:p>
        </w:tc>
        <w:tc>
          <w:tcPr/>
          <w:p>
            <w:pPr>
              <w:pStyle w:val="Compact"/>
            </w:pPr>
            <w:r>
              <w:t xml:space="preserve">0.973</w:t>
            </w:r>
          </w:p>
        </w:tc>
        <w:tc>
          <w:tcPr/>
          <w:p>
            <w:pPr>
              <w:pStyle w:val="Compact"/>
            </w:pPr>
            <w:r>
              <w:t xml:space="preserve">0.148</w:t>
            </w:r>
          </w:p>
        </w:tc>
        <w:tc>
          <w:tcPr/>
          <w:p>
            <w:pPr>
              <w:pStyle w:val="Compact"/>
            </w:pPr>
            <w:r>
              <w:t xml:space="preserve">0.240</w:t>
            </w:r>
          </w:p>
        </w:tc>
      </w:tr>
      <w:tr>
        <w:tc>
          <w:tcPr/>
          <w:p>
            <w:pPr>
              <w:pStyle w:val="Compact"/>
            </w:pPr>
            <w:r>
              <w:t xml:space="preserve">Median annual volume</w:t>
            </w:r>
          </w:p>
        </w:tc>
        <w:tc>
          <w:tcPr/>
          <w:p>
            <w:pPr>
              <w:pStyle w:val="Compact"/>
            </w:pPr>
            <w:r>
              <w:t xml:space="preserve">Other/uncertain</w:t>
            </w:r>
          </w:p>
        </w:tc>
        <w:tc>
          <w:tcPr/>
          <w:p>
            <w:pPr>
              <w:pStyle w:val="Compact"/>
            </w:pPr>
            <w:r>
              <w:t xml:space="preserve">15.000</w:t>
            </w:r>
          </w:p>
        </w:tc>
        <w:tc>
          <w:tcPr/>
          <w:p>
            <w:pPr>
              <w:pStyle w:val="Compact"/>
            </w:pPr>
            <w:r>
              <w:t xml:space="preserve">16.000</w:t>
            </w:r>
          </w:p>
        </w:tc>
        <w:tc>
          <w:tcPr/>
          <w:p>
            <w:pPr>
              <w:pStyle w:val="Compact"/>
            </w:pPr>
            <w:r>
              <w:t xml:space="preserve">-0.064</w:t>
            </w:r>
          </w:p>
        </w:tc>
        <w:tc>
          <w:tcPr/>
          <w:p>
            <w:pPr>
              <w:pStyle w:val="Compact"/>
            </w:pPr>
            <w:r>
              <w:t xml:space="preserve">0.019</w:t>
            </w:r>
          </w:p>
        </w:tc>
        <w:tc>
          <w:tcPr/>
          <w:p>
            <w:pPr>
              <w:pStyle w:val="Compact"/>
            </w:pPr>
            <w:r>
              <w:t xml:space="preserve">0.680</w:t>
            </w:r>
          </w:p>
        </w:tc>
      </w:tr>
      <w:tr>
        <w:tc>
          <w:tcPr/>
          <w:p>
            <w:pPr>
              <w:pStyle w:val="Compact"/>
            </w:pPr>
            <w:r>
              <w:t xml:space="preserve">Median annual volume</w:t>
            </w:r>
          </w:p>
        </w:tc>
        <w:tc>
          <w:tcPr/>
          <w:p>
            <w:pPr>
              <w:pStyle w:val="Compact"/>
            </w:pPr>
            <w:r>
              <w:t xml:space="preserve">URPS (OB/GYN)</w:t>
            </w:r>
          </w:p>
        </w:tc>
        <w:tc>
          <w:tcPr/>
          <w:p>
            <w:pPr>
              <w:pStyle w:val="Compact"/>
            </w:pPr>
            <w:r>
              <w:t xml:space="preserve">19.000</w:t>
            </w:r>
          </w:p>
        </w:tc>
        <w:tc>
          <w:tcPr/>
          <w:p>
            <w:pPr>
              <w:pStyle w:val="Compact"/>
            </w:pPr>
            <w:r>
              <w:t xml:space="preserve">20.000</w:t>
            </w:r>
          </w:p>
        </w:tc>
        <w:tc>
          <w:tcPr/>
          <w:p>
            <w:pPr>
              <w:pStyle w:val="Compact"/>
            </w:pPr>
            <w:r>
              <w:t xml:space="preserve">-0.036</w:t>
            </w:r>
          </w:p>
        </w:tc>
        <w:tc>
          <w:tcPr/>
          <w:p>
            <w:pPr>
              <w:pStyle w:val="Compact"/>
            </w:pPr>
            <w:r>
              <w:t xml:space="preserve">0.022</w:t>
            </w:r>
          </w:p>
        </w:tc>
        <w:tc>
          <w:tcPr/>
          <w:p>
            <w:pPr>
              <w:pStyle w:val="Compact"/>
            </w:pPr>
            <w:r>
              <w:t xml:space="preserve">0.670</w:t>
            </w:r>
          </w:p>
        </w:tc>
      </w:tr>
      <w:tr>
        <w:tc>
          <w:tcPr/>
          <w:p>
            <w:pPr>
              <w:pStyle w:val="Compact"/>
            </w:pPr>
            <w:r>
              <w:t xml:space="preserve">Median annual volume</w:t>
            </w:r>
          </w:p>
        </w:tc>
        <w:tc>
          <w:tcPr/>
          <w:p>
            <w:pPr>
              <w:pStyle w:val="Compact"/>
            </w:pPr>
            <w:r>
              <w:t xml:space="preserve">URPS (urology)</w:t>
            </w:r>
          </w:p>
        </w:tc>
        <w:tc>
          <w:tcPr/>
          <w:p>
            <w:pPr>
              <w:pStyle w:val="Compact"/>
            </w:pPr>
            <w:r>
              <w:t xml:space="preserve">16.000</w:t>
            </w:r>
          </w:p>
        </w:tc>
        <w:tc>
          <w:tcPr/>
          <w:p>
            <w:pPr>
              <w:pStyle w:val="Compact"/>
            </w:pPr>
            <w:r>
              <w:t xml:space="preserve">16.000</w:t>
            </w:r>
          </w:p>
        </w:tc>
        <w:tc>
          <w:tcPr/>
          <w:p>
            <w:pPr>
              <w:pStyle w:val="Compact"/>
            </w:pPr>
            <w:r>
              <w:t xml:space="preserve">0.036</w:t>
            </w:r>
          </w:p>
        </w:tc>
        <w:tc>
          <w:tcPr/>
          <w:p>
            <w:pPr>
              <w:pStyle w:val="Compact"/>
            </w:pPr>
            <w:r>
              <w:t xml:space="preserve">0.036</w:t>
            </w:r>
          </w:p>
        </w:tc>
        <w:tc>
          <w:tcPr/>
          <w:p>
            <w:pPr>
              <w:pStyle w:val="Compact"/>
            </w:pPr>
            <w:r>
              <w:t xml:space="preserve">0.580</w:t>
            </w:r>
          </w:p>
        </w:tc>
      </w:tr>
      <w:tr>
        <w:tc>
          <w:tcPr/>
          <w:p>
            <w:pPr>
              <w:pStyle w:val="Compact"/>
            </w:pPr>
            <w:r>
              <w:t xml:space="preserve">Median annual volume</w:t>
            </w:r>
          </w:p>
        </w:tc>
        <w:tc>
          <w:tcPr/>
          <w:p>
            <w:pPr>
              <w:pStyle w:val="Compact"/>
            </w:pPr>
            <w:r>
              <w:t xml:space="preserve">Urology</w:t>
            </w:r>
          </w:p>
        </w:tc>
        <w:tc>
          <w:tcPr/>
          <w:p>
            <w:pPr>
              <w:pStyle w:val="Compact"/>
            </w:pPr>
            <w:r>
              <w:t xml:space="preserve">15.000</w:t>
            </w:r>
          </w:p>
        </w:tc>
        <w:tc>
          <w:tcPr/>
          <w:p>
            <w:pPr>
              <w:pStyle w:val="Compact"/>
            </w:pPr>
            <w:r>
              <w:t xml:space="preserve">17.000</w:t>
            </w:r>
          </w:p>
        </w:tc>
        <w:tc>
          <w:tcPr/>
          <w:p>
            <w:pPr>
              <w:pStyle w:val="Compact"/>
            </w:pPr>
            <w:r>
              <w:t xml:space="preserve">0.209</w:t>
            </w:r>
          </w:p>
        </w:tc>
        <w:tc>
          <w:tcPr/>
          <w:p>
            <w:pPr>
              <w:pStyle w:val="Compact"/>
            </w:pPr>
            <w:r>
              <w:t xml:space="preserve">0.462</w:t>
            </w:r>
          </w:p>
        </w:tc>
        <w:tc>
          <w:tcPr/>
          <w:p>
            <w:pPr>
              <w:pStyle w:val="Compact"/>
            </w:pPr>
            <w:r>
              <w:t xml:space="preserve">0.020</w:t>
            </w:r>
          </w:p>
        </w:tc>
      </w:tr>
      <w:tr>
        <w:tc>
          <w:tcPr/>
          <w:p>
            <w:pPr>
              <w:pStyle w:val="Compact"/>
            </w:pPr>
            <w:r>
              <w:t xml:space="preserve">Gini coefficient</w:t>
            </w:r>
          </w:p>
        </w:tc>
        <w:tc>
          <w:tcPr/>
          <w:p>
            <w:pPr>
              <w:pStyle w:val="Compact"/>
            </w:pPr>
            <w:r>
              <w:t xml:space="preserve">All</w:t>
            </w:r>
          </w:p>
        </w:tc>
        <w:tc>
          <w:tcPr/>
          <w:p>
            <w:pPr>
              <w:pStyle w:val="Compact"/>
            </w:pPr>
            <w:r>
              <w:t xml:space="preserve">0.275</w:t>
            </w:r>
          </w:p>
        </w:tc>
        <w:tc>
          <w:tcPr/>
          <w:p>
            <w:pPr>
              <w:pStyle w:val="Compact"/>
            </w:pPr>
            <w:r>
              <w:t xml:space="preserve">0.267</w:t>
            </w:r>
          </w:p>
        </w:tc>
        <w:tc>
          <w:tcPr/>
          <w:p>
            <w:pPr>
              <w:pStyle w:val="Compact"/>
            </w:pPr>
            <w:r>
              <w:t xml:space="preserve">0.000</w:t>
            </w:r>
          </w:p>
        </w:tc>
        <w:tc>
          <w:tcPr/>
          <w:p>
            <w:pPr>
              <w:pStyle w:val="Compact"/>
            </w:pPr>
            <w:r>
              <w:t xml:space="preserve">0.064</w:t>
            </w:r>
          </w:p>
        </w:tc>
        <w:tc>
          <w:tcPr/>
          <w:p>
            <w:pPr>
              <w:pStyle w:val="Compact"/>
            </w:pPr>
            <w:r>
              <w:t xml:space="preserve">0.450</w:t>
            </w:r>
          </w:p>
        </w:tc>
      </w:tr>
      <w:tr>
        <w:tc>
          <w:tcPr/>
          <w:p>
            <w:pPr>
              <w:pStyle w:val="Compact"/>
            </w:pPr>
            <w:r>
              <w:t xml:space="preserve">Gini coefficient</w:t>
            </w:r>
          </w:p>
        </w:tc>
        <w:tc>
          <w:tcPr/>
          <w:p>
            <w:pPr>
              <w:pStyle w:val="Compact"/>
            </w:pPr>
            <w:r>
              <w:t xml:space="preserve">General OB/GYN</w:t>
            </w:r>
          </w:p>
        </w:tc>
        <w:tc>
          <w:tcPr/>
          <w:p>
            <w:pPr>
              <w:pStyle w:val="Compact"/>
            </w:pPr>
            <w:r>
              <w:t xml:space="preserve">0.257</w:t>
            </w:r>
          </w:p>
        </w:tc>
        <w:tc>
          <w:tcPr/>
          <w:p>
            <w:pPr>
              <w:pStyle w:val="Compact"/>
            </w:pPr>
            <w:r>
              <w:t xml:space="preserve">0.248</w:t>
            </w:r>
          </w:p>
        </w:tc>
        <w:tc>
          <w:tcPr/>
          <w:p>
            <w:pPr>
              <w:pStyle w:val="Compact"/>
            </w:pPr>
            <w:r>
              <w:t xml:space="preserve">0.001</w:t>
            </w:r>
          </w:p>
        </w:tc>
        <w:tc>
          <w:tcPr/>
          <w:p>
            <w:pPr>
              <w:pStyle w:val="Compact"/>
            </w:pPr>
            <w:r>
              <w:t xml:space="preserve">0.064</w:t>
            </w:r>
          </w:p>
        </w:tc>
        <w:tc>
          <w:tcPr/>
          <w:p>
            <w:pPr>
              <w:pStyle w:val="Compact"/>
            </w:pPr>
            <w:r>
              <w:t xml:space="preserve">0.450</w:t>
            </w:r>
          </w:p>
        </w:tc>
      </w:tr>
      <w:tr>
        <w:tc>
          <w:tcPr/>
          <w:p>
            <w:pPr>
              <w:pStyle w:val="Compact"/>
            </w:pPr>
            <w:r>
              <w:t xml:space="preserve">Gini coefficient</w:t>
            </w:r>
          </w:p>
        </w:tc>
        <w:tc>
          <w:tcPr/>
          <w:p>
            <w:pPr>
              <w:pStyle w:val="Compact"/>
            </w:pPr>
            <w:r>
              <w:t xml:space="preserve">MIGS</w:t>
            </w:r>
          </w:p>
        </w:tc>
        <w:tc>
          <w:tcPr/>
          <w:p>
            <w:pPr>
              <w:pStyle w:val="Compact"/>
            </w:pPr>
            <w:r>
              <w:t xml:space="preserve">0.019</w:t>
            </w:r>
          </w:p>
        </w:tc>
        <w:tc>
          <w:tcPr/>
          <w:p>
            <w:pPr>
              <w:pStyle w:val="Compact"/>
            </w:pPr>
            <w:r>
              <w:t xml:space="preserve">0.381</w:t>
            </w:r>
          </w:p>
        </w:tc>
        <w:tc>
          <w:tcPr/>
          <w:p>
            <w:pPr>
              <w:pStyle w:val="Compact"/>
            </w:pPr>
            <w:r>
              <w:t xml:space="preserve">0.032</w:t>
            </w:r>
          </w:p>
        </w:tc>
        <w:tc>
          <w:tcPr/>
          <w:p>
            <w:pPr>
              <w:pStyle w:val="Compact"/>
            </w:pPr>
            <w:r>
              <w:t xml:space="preserve">0.692</w:t>
            </w:r>
          </w:p>
        </w:tc>
        <w:tc>
          <w:tcPr/>
          <w:p>
            <w:pPr>
              <w:pStyle w:val="Compact"/>
            </w:pPr>
            <w:r>
              <w:t xml:space="preserve">0.002</w:t>
            </w:r>
          </w:p>
        </w:tc>
      </w:tr>
      <w:tr>
        <w:tc>
          <w:tcPr/>
          <w:p>
            <w:pPr>
              <w:pStyle w:val="Compact"/>
            </w:pPr>
            <w:r>
              <w:t xml:space="preserve">Gini coefficient</w:t>
            </w:r>
          </w:p>
        </w:tc>
        <w:tc>
          <w:tcPr/>
          <w:p>
            <w:pPr>
              <w:pStyle w:val="Compact"/>
            </w:pPr>
            <w:r>
              <w:t xml:space="preserve">Other/uncertain</w:t>
            </w:r>
          </w:p>
        </w:tc>
        <w:tc>
          <w:tcPr/>
          <w:p>
            <w:pPr>
              <w:pStyle w:val="Compact"/>
            </w:pPr>
            <w:r>
              <w:t xml:space="preserve">0.363</w:t>
            </w:r>
          </w:p>
        </w:tc>
        <w:tc>
          <w:tcPr/>
          <w:p>
            <w:pPr>
              <w:pStyle w:val="Compact"/>
            </w:pPr>
            <w:r>
              <w:t xml:space="preserve">0.242</w:t>
            </w:r>
          </w:p>
        </w:tc>
        <w:tc>
          <w:tcPr/>
          <w:p>
            <w:pPr>
              <w:pStyle w:val="Compact"/>
            </w:pPr>
            <w:r>
              <w:t xml:space="preserve">-0.010</w:t>
            </w:r>
          </w:p>
        </w:tc>
        <w:tc>
          <w:tcPr/>
          <w:p>
            <w:pPr>
              <w:pStyle w:val="Compact"/>
            </w:pPr>
            <w:r>
              <w:t xml:space="preserve">0.700</w:t>
            </w:r>
          </w:p>
        </w:tc>
        <w:tc>
          <w:tcPr/>
          <w:p>
            <w:pPr>
              <w:pStyle w:val="Compact"/>
            </w:pPr>
            <w:r>
              <w:t xml:space="preserve">0.001</w:t>
            </w:r>
          </w:p>
        </w:tc>
      </w:tr>
      <w:tr>
        <w:tc>
          <w:tcPr/>
          <w:p>
            <w:pPr>
              <w:pStyle w:val="Compact"/>
            </w:pPr>
            <w:r>
              <w:t xml:space="preserve">Gini coefficient</w:t>
            </w:r>
          </w:p>
        </w:tc>
        <w:tc>
          <w:tcPr/>
          <w:p>
            <w:pPr>
              <w:pStyle w:val="Compact"/>
            </w:pPr>
            <w:r>
              <w:t xml:space="preserve">URPS (OB/GYN)</w:t>
            </w:r>
          </w:p>
        </w:tc>
        <w:tc>
          <w:tcPr/>
          <w:p>
            <w:pPr>
              <w:pStyle w:val="Compact"/>
            </w:pPr>
            <w:r>
              <w:t xml:space="preserve">0.294</w:t>
            </w:r>
          </w:p>
        </w:tc>
        <w:tc>
          <w:tcPr/>
          <w:p>
            <w:pPr>
              <w:pStyle w:val="Compact"/>
            </w:pPr>
            <w:r>
              <w:t xml:space="preserve">0.275</w:t>
            </w:r>
          </w:p>
        </w:tc>
        <w:tc>
          <w:tcPr/>
          <w:p>
            <w:pPr>
              <w:pStyle w:val="Compact"/>
            </w:pPr>
            <w:r>
              <w:t xml:space="preserve">-0.001</w:t>
            </w:r>
          </w:p>
        </w:tc>
        <w:tc>
          <w:tcPr/>
          <w:p>
            <w:pPr>
              <w:pStyle w:val="Compact"/>
            </w:pPr>
            <w:r>
              <w:t xml:space="preserve">0.177</w:t>
            </w:r>
          </w:p>
        </w:tc>
        <w:tc>
          <w:tcPr/>
          <w:p>
            <w:pPr>
              <w:pStyle w:val="Compact"/>
            </w:pPr>
            <w:r>
              <w:t xml:space="preserve">0.200</w:t>
            </w:r>
          </w:p>
        </w:tc>
      </w:tr>
      <w:tr>
        <w:tc>
          <w:tcPr/>
          <w:p>
            <w:pPr>
              <w:pStyle w:val="Compact"/>
            </w:pPr>
            <w:r>
              <w:t xml:space="preserve">Gini coefficient</w:t>
            </w:r>
          </w:p>
        </w:tc>
        <w:tc>
          <w:tcPr/>
          <w:p>
            <w:pPr>
              <w:pStyle w:val="Compact"/>
            </w:pPr>
            <w:r>
              <w:t xml:space="preserve">URPS (urology)</w:t>
            </w:r>
          </w:p>
        </w:tc>
        <w:tc>
          <w:tcPr/>
          <w:p>
            <w:pPr>
              <w:pStyle w:val="Compact"/>
            </w:pPr>
            <w:r>
              <w:t xml:space="preserve">0.199</w:t>
            </w:r>
          </w:p>
        </w:tc>
        <w:tc>
          <w:tcPr/>
          <w:p>
            <w:pPr>
              <w:pStyle w:val="Compact"/>
            </w:pPr>
            <w:r>
              <w:t xml:space="preserve">0.227</w:t>
            </w:r>
          </w:p>
        </w:tc>
        <w:tc>
          <w:tcPr/>
          <w:p>
            <w:pPr>
              <w:pStyle w:val="Compact"/>
            </w:pPr>
            <w:r>
              <w:t xml:space="preserve">-0.001</w:t>
            </w:r>
          </w:p>
        </w:tc>
        <w:tc>
          <w:tcPr/>
          <w:p>
            <w:pPr>
              <w:pStyle w:val="Compact"/>
            </w:pPr>
            <w:r>
              <w:t xml:space="preserve">0.070</w:t>
            </w:r>
          </w:p>
        </w:tc>
        <w:tc>
          <w:tcPr/>
          <w:p>
            <w:pPr>
              <w:pStyle w:val="Compact"/>
            </w:pPr>
            <w:r>
              <w:t xml:space="preserve">0.430</w:t>
            </w:r>
          </w:p>
        </w:tc>
      </w:tr>
      <w:tr>
        <w:tc>
          <w:tcPr/>
          <w:p>
            <w:pPr>
              <w:pStyle w:val="Compact"/>
            </w:pPr>
            <w:r>
              <w:t xml:space="preserve">Gini coefficient</w:t>
            </w:r>
          </w:p>
        </w:tc>
        <w:tc>
          <w:tcPr/>
          <w:p>
            <w:pPr>
              <w:pStyle w:val="Compact"/>
            </w:pPr>
            <w:r>
              <w:t xml:space="preserve">Urology</w:t>
            </w:r>
          </w:p>
        </w:tc>
        <w:tc>
          <w:tcPr/>
          <w:p>
            <w:pPr>
              <w:pStyle w:val="Compact"/>
            </w:pPr>
            <w:r>
              <w:t xml:space="preserve">0.198</w:t>
            </w:r>
          </w:p>
        </w:tc>
        <w:tc>
          <w:tcPr/>
          <w:p>
            <w:pPr>
              <w:pStyle w:val="Compact"/>
            </w:pPr>
            <w:r>
              <w:t xml:space="preserve">0.236</w:t>
            </w:r>
          </w:p>
        </w:tc>
        <w:tc>
          <w:tcPr/>
          <w:p>
            <w:pPr>
              <w:pStyle w:val="Compact"/>
            </w:pPr>
            <w:r>
              <w:t xml:space="preserve">0.003</w:t>
            </w:r>
          </w:p>
        </w:tc>
        <w:tc>
          <w:tcPr/>
          <w:p>
            <w:pPr>
              <w:pStyle w:val="Compact"/>
            </w:pPr>
            <w:r>
              <w:t xml:space="preserve">0.139</w:t>
            </w:r>
          </w:p>
        </w:tc>
        <w:tc>
          <w:tcPr/>
          <w:p>
            <w:pPr>
              <w:pStyle w:val="Compact"/>
            </w:pPr>
            <w:r>
              <w:t xml:space="preserve">0.260</w:t>
            </w:r>
          </w:p>
        </w:tc>
      </w:tr>
      <w:tr>
        <w:tc>
          <w:tcPr/>
          <w:p>
            <w:pPr>
              <w:pStyle w:val="Compact"/>
            </w:pPr>
            <w:r>
              <w:t xml:space="preserve">HHI (0–10,000)</w:t>
            </w:r>
          </w:p>
        </w:tc>
        <w:tc>
          <w:tcPr/>
          <w:p>
            <w:pPr>
              <w:pStyle w:val="Compact"/>
            </w:pPr>
            <w:r>
              <w:t xml:space="preserve">All</w:t>
            </w:r>
          </w:p>
        </w:tc>
        <w:tc>
          <w:tcPr/>
          <w:p>
            <w:pPr>
              <w:pStyle w:val="Compact"/>
            </w:pPr>
            <w:r>
              <w:t xml:space="preserve">17.307</w:t>
            </w:r>
          </w:p>
        </w:tc>
        <w:tc>
          <w:tcPr/>
          <w:p>
            <w:pPr>
              <w:pStyle w:val="Compact"/>
            </w:pPr>
            <w:r>
              <w:t xml:space="preserve">24.632</w:t>
            </w:r>
          </w:p>
        </w:tc>
        <w:tc>
          <w:tcPr/>
          <w:p>
            <w:pPr>
              <w:pStyle w:val="Compact"/>
            </w:pPr>
            <w:r>
              <w:t xml:space="preserve">0.973</w:t>
            </w:r>
          </w:p>
        </w:tc>
        <w:tc>
          <w:tcPr/>
          <w:p>
            <w:pPr>
              <w:pStyle w:val="Compact"/>
            </w:pPr>
            <w:r>
              <w:t xml:space="preserve">0.564</w:t>
            </w:r>
          </w:p>
        </w:tc>
        <w:tc>
          <w:tcPr/>
          <w:p>
            <w:pPr>
              <w:pStyle w:val="Compact"/>
            </w:pPr>
            <w:r>
              <w:t xml:space="preserve">0.008</w:t>
            </w:r>
          </w:p>
        </w:tc>
      </w:tr>
      <w:tr>
        <w:tc>
          <w:tcPr/>
          <w:p>
            <w:pPr>
              <w:pStyle w:val="Compact"/>
            </w:pPr>
            <w:r>
              <w:t xml:space="preserve">HHI (0–10,000)</w:t>
            </w:r>
          </w:p>
        </w:tc>
        <w:tc>
          <w:tcPr/>
          <w:p>
            <w:pPr>
              <w:pStyle w:val="Compact"/>
            </w:pPr>
            <w:r>
              <w:t xml:space="preserve">General OB/GYN</w:t>
            </w:r>
          </w:p>
        </w:tc>
        <w:tc>
          <w:tcPr/>
          <w:p>
            <w:pPr>
              <w:pStyle w:val="Compact"/>
            </w:pPr>
            <w:r>
              <w:t xml:space="preserve">93.149</w:t>
            </w:r>
          </w:p>
        </w:tc>
        <w:tc>
          <w:tcPr/>
          <w:p>
            <w:pPr>
              <w:pStyle w:val="Compact"/>
            </w:pPr>
            <w:r>
              <w:t xml:space="preserve">163.902</w:t>
            </w:r>
          </w:p>
        </w:tc>
        <w:tc>
          <w:tcPr/>
          <w:p>
            <w:pPr>
              <w:pStyle w:val="Compact"/>
            </w:pPr>
            <w:r>
              <w:t xml:space="preserve">12.294</w:t>
            </w:r>
          </w:p>
        </w:tc>
        <w:tc>
          <w:tcPr/>
          <w:p>
            <w:pPr>
              <w:pStyle w:val="Compact"/>
            </w:pPr>
            <w:r>
              <w:t xml:space="preserve">0.553</w:t>
            </w:r>
          </w:p>
        </w:tc>
        <w:tc>
          <w:tcPr/>
          <w:p>
            <w:pPr>
              <w:pStyle w:val="Compact"/>
            </w:pPr>
            <w:r>
              <w:t xml:space="preserve">0.009</w:t>
            </w:r>
          </w:p>
        </w:tc>
      </w:tr>
      <w:tr>
        <w:tc>
          <w:tcPr/>
          <w:p>
            <w:pPr>
              <w:pStyle w:val="Compact"/>
            </w:pPr>
            <w:r>
              <w:t xml:space="preserve">HHI (0–10,000)</w:t>
            </w:r>
          </w:p>
        </w:tc>
        <w:tc>
          <w:tcPr/>
          <w:p>
            <w:pPr>
              <w:pStyle w:val="Compact"/>
            </w:pPr>
            <w:r>
              <w:t xml:space="preserve">MIGS</w:t>
            </w:r>
          </w:p>
        </w:tc>
        <w:tc>
          <w:tcPr/>
          <w:p>
            <w:pPr>
              <w:pStyle w:val="Compact"/>
            </w:pPr>
            <w:r>
              <w:t xml:space="preserve">3338.776</w:t>
            </w:r>
          </w:p>
        </w:tc>
        <w:tc>
          <w:tcPr/>
          <w:p>
            <w:pPr>
              <w:pStyle w:val="Compact"/>
            </w:pPr>
            <w:r>
              <w:t xml:space="preserve">4204.673</w:t>
            </w:r>
          </w:p>
        </w:tc>
        <w:tc>
          <w:tcPr/>
          <w:p>
            <w:pPr>
              <w:pStyle w:val="Compact"/>
            </w:pPr>
            <w:r>
              <w:t xml:space="preserve">206.443</w:t>
            </w:r>
          </w:p>
        </w:tc>
        <w:tc>
          <w:tcPr/>
          <w:p>
            <w:pPr>
              <w:pStyle w:val="Compact"/>
            </w:pPr>
            <w:r>
              <w:t xml:space="preserve">0.379</w:t>
            </w:r>
          </w:p>
        </w:tc>
        <w:tc>
          <w:tcPr/>
          <w:p>
            <w:pPr>
              <w:pStyle w:val="Compact"/>
            </w:pPr>
            <w:r>
              <w:t xml:space="preserve">0.040</w:t>
            </w:r>
          </w:p>
        </w:tc>
      </w:tr>
      <w:tr>
        <w:tc>
          <w:tcPr/>
          <w:p>
            <w:pPr>
              <w:pStyle w:val="Compact"/>
            </w:pPr>
            <w:r>
              <w:t xml:space="preserve">HHI (0–10,000)</w:t>
            </w:r>
          </w:p>
        </w:tc>
        <w:tc>
          <w:tcPr/>
          <w:p>
            <w:pPr>
              <w:pStyle w:val="Compact"/>
            </w:pPr>
            <w:r>
              <w:t xml:space="preserve">Other/uncertain</w:t>
            </w:r>
          </w:p>
        </w:tc>
        <w:tc>
          <w:tcPr/>
          <w:p>
            <w:pPr>
              <w:pStyle w:val="Compact"/>
            </w:pPr>
            <w:r>
              <w:t xml:space="preserve">408.846</w:t>
            </w:r>
          </w:p>
        </w:tc>
        <w:tc>
          <w:tcPr/>
          <w:p>
            <w:pPr>
              <w:pStyle w:val="Compact"/>
            </w:pPr>
            <w:r>
              <w:t xml:space="preserve">217.954</w:t>
            </w:r>
          </w:p>
        </w:tc>
        <w:tc>
          <w:tcPr/>
          <w:p>
            <w:pPr>
              <w:pStyle w:val="Compact"/>
            </w:pPr>
            <w:r>
              <w:t xml:space="preserve">-18.475</w:t>
            </w:r>
          </w:p>
        </w:tc>
        <w:tc>
          <w:tcPr/>
          <w:p>
            <w:pPr>
              <w:pStyle w:val="Compact"/>
            </w:pPr>
            <w:r>
              <w:t xml:space="preserve">0.542</w:t>
            </w:r>
          </w:p>
        </w:tc>
        <w:tc>
          <w:tcPr/>
          <w:p>
            <w:pPr>
              <w:pStyle w:val="Compact"/>
            </w:pPr>
            <w:r>
              <w:t xml:space="preserve">0.010</w:t>
            </w:r>
          </w:p>
        </w:tc>
      </w:tr>
      <w:tr>
        <w:tc>
          <w:tcPr/>
          <w:p>
            <w:pPr>
              <w:pStyle w:val="Compact"/>
            </w:pPr>
            <w:r>
              <w:t xml:space="preserve">HHI (0–10,000)</w:t>
            </w:r>
          </w:p>
        </w:tc>
        <w:tc>
          <w:tcPr/>
          <w:p>
            <w:pPr>
              <w:pStyle w:val="Compact"/>
            </w:pPr>
            <w:r>
              <w:t xml:space="preserve">URPS (OB/GYN)</w:t>
            </w:r>
          </w:p>
        </w:tc>
        <w:tc>
          <w:tcPr/>
          <w:p>
            <w:pPr>
              <w:pStyle w:val="Compact"/>
            </w:pPr>
            <w:r>
              <w:t xml:space="preserve">44.322</w:t>
            </w:r>
          </w:p>
        </w:tc>
        <w:tc>
          <w:tcPr/>
          <w:p>
            <w:pPr>
              <w:pStyle w:val="Compact"/>
            </w:pPr>
            <w:r>
              <w:t xml:space="preserve">44.229</w:t>
            </w:r>
          </w:p>
        </w:tc>
        <w:tc>
          <w:tcPr/>
          <w:p>
            <w:pPr>
              <w:pStyle w:val="Compact"/>
            </w:pPr>
            <w:r>
              <w:t xml:space="preserve">0.404</w:t>
            </w:r>
          </w:p>
        </w:tc>
        <w:tc>
          <w:tcPr/>
          <w:p>
            <w:pPr>
              <w:pStyle w:val="Compact"/>
            </w:pPr>
            <w:r>
              <w:t xml:space="preserve">0.085</w:t>
            </w:r>
          </w:p>
        </w:tc>
        <w:tc>
          <w:tcPr/>
          <w:p>
            <w:pPr>
              <w:pStyle w:val="Compact"/>
            </w:pPr>
            <w:r>
              <w:t xml:space="preserve">0.380</w:t>
            </w:r>
          </w:p>
        </w:tc>
      </w:tr>
      <w:tr>
        <w:tc>
          <w:tcPr/>
          <w:p>
            <w:pPr>
              <w:pStyle w:val="Compact"/>
            </w:pPr>
            <w:r>
              <w:t xml:space="preserve">HHI (0–10,000)</w:t>
            </w:r>
          </w:p>
        </w:tc>
        <w:tc>
          <w:tcPr/>
          <w:p>
            <w:pPr>
              <w:pStyle w:val="Compact"/>
            </w:pPr>
            <w:r>
              <w:t xml:space="preserve">URPS (urology)</w:t>
            </w:r>
          </w:p>
        </w:tc>
        <w:tc>
          <w:tcPr/>
          <w:p>
            <w:pPr>
              <w:pStyle w:val="Compact"/>
            </w:pPr>
            <w:r>
              <w:t xml:space="preserve">146.115</w:t>
            </w:r>
          </w:p>
        </w:tc>
        <w:tc>
          <w:tcPr/>
          <w:p>
            <w:pPr>
              <w:pStyle w:val="Compact"/>
            </w:pPr>
            <w:r>
              <w:t xml:space="preserve">264.909</w:t>
            </w:r>
          </w:p>
        </w:tc>
        <w:tc>
          <w:tcPr/>
          <w:p>
            <w:pPr>
              <w:pStyle w:val="Compact"/>
            </w:pPr>
            <w:r>
              <w:t xml:space="preserve">16.159</w:t>
            </w:r>
          </w:p>
        </w:tc>
        <w:tc>
          <w:tcPr/>
          <w:p>
            <w:pPr>
              <w:pStyle w:val="Compact"/>
            </w:pPr>
            <w:r>
              <w:t xml:space="preserve">0.501</w:t>
            </w:r>
          </w:p>
        </w:tc>
        <w:tc>
          <w:tcPr/>
          <w:p>
            <w:pPr>
              <w:pStyle w:val="Compact"/>
            </w:pPr>
            <w:r>
              <w:t xml:space="preserve">0.010</w:t>
            </w:r>
          </w:p>
        </w:tc>
      </w:tr>
      <w:tr>
        <w:tc>
          <w:tcPr/>
          <w:p>
            <w:pPr>
              <w:pStyle w:val="Compact"/>
            </w:pPr>
            <w:r>
              <w:t xml:space="preserve">HHI (0–10,000)</w:t>
            </w:r>
          </w:p>
        </w:tc>
        <w:tc>
          <w:tcPr/>
          <w:p>
            <w:pPr>
              <w:pStyle w:val="Compact"/>
            </w:pPr>
            <w:r>
              <w:t xml:space="preserve">Urology</w:t>
            </w:r>
          </w:p>
        </w:tc>
        <w:tc>
          <w:tcPr/>
          <w:p>
            <w:pPr>
              <w:pStyle w:val="Compact"/>
            </w:pPr>
            <w:r>
              <w:t xml:space="preserve">55.876</w:t>
            </w:r>
          </w:p>
        </w:tc>
        <w:tc>
          <w:tcPr/>
          <w:p>
            <w:pPr>
              <w:pStyle w:val="Compact"/>
            </w:pPr>
            <w:r>
              <w:t xml:space="preserve">253.877</w:t>
            </w:r>
          </w:p>
        </w:tc>
        <w:tc>
          <w:tcPr/>
          <w:p>
            <w:pPr>
              <w:pStyle w:val="Compact"/>
            </w:pPr>
            <w:r>
              <w:t xml:space="preserve">20.658</w:t>
            </w:r>
          </w:p>
        </w:tc>
        <w:tc>
          <w:tcPr/>
          <w:p>
            <w:pPr>
              <w:pStyle w:val="Compact"/>
            </w:pPr>
            <w:r>
              <w:t xml:space="preserve">0.861</w:t>
            </w:r>
          </w:p>
        </w:tc>
        <w:tc>
          <w:tcPr/>
          <w:p>
            <w:pPr>
              <w:pStyle w:val="Compact"/>
            </w:pPr>
            <w:r>
              <w:t xml:space="preserve">n/a</w:t>
            </w:r>
          </w:p>
        </w:tc>
      </w:tr>
      <w:tr>
        <w:tc>
          <w:tcPr/>
          <w:p>
            <w:pPr>
              <w:pStyle w:val="Compact"/>
            </w:pPr>
            <w:r>
              <w:t xml:space="preserve">Share by top 10% (%)</w:t>
            </w:r>
          </w:p>
        </w:tc>
        <w:tc>
          <w:tcPr/>
          <w:p>
            <w:pPr>
              <w:pStyle w:val="Compact"/>
            </w:pPr>
            <w:r>
              <w:t xml:space="preserve">All</w:t>
            </w:r>
          </w:p>
        </w:tc>
        <w:tc>
          <w:tcPr/>
          <w:p>
            <w:pPr>
              <w:pStyle w:val="Compact"/>
            </w:pPr>
            <w:r>
              <w:t xml:space="preserve">24.427</w:t>
            </w:r>
          </w:p>
        </w:tc>
        <w:tc>
          <w:tcPr/>
          <w:p>
            <w:pPr>
              <w:pStyle w:val="Compact"/>
            </w:pPr>
            <w:r>
              <w:t xml:space="preserve">22.903</w:t>
            </w:r>
          </w:p>
        </w:tc>
        <w:tc>
          <w:tcPr/>
          <w:p>
            <w:pPr>
              <w:pStyle w:val="Compact"/>
            </w:pPr>
            <w:r>
              <w:t xml:space="preserve">-0.080</w:t>
            </w:r>
          </w:p>
        </w:tc>
        <w:tc>
          <w:tcPr/>
          <w:p>
            <w:pPr>
              <w:pStyle w:val="Compact"/>
            </w:pPr>
            <w:r>
              <w:t xml:space="preserve">0.247</w:t>
            </w:r>
          </w:p>
        </w:tc>
        <w:tc>
          <w:tcPr/>
          <w:p>
            <w:pPr>
              <w:pStyle w:val="Compact"/>
            </w:pPr>
            <w:r>
              <w:t xml:space="preserve">0.120</w:t>
            </w:r>
          </w:p>
        </w:tc>
      </w:tr>
      <w:tr>
        <w:tc>
          <w:tcPr/>
          <w:p>
            <w:pPr>
              <w:pStyle w:val="Compact"/>
            </w:pPr>
            <w:r>
              <w:t xml:space="preserve">Share by top 10% (%)</w:t>
            </w:r>
          </w:p>
        </w:tc>
        <w:tc>
          <w:tcPr/>
          <w:p>
            <w:pPr>
              <w:pStyle w:val="Compact"/>
            </w:pPr>
            <w:r>
              <w:t xml:space="preserve">General OB/GYN</w:t>
            </w:r>
          </w:p>
        </w:tc>
        <w:tc>
          <w:tcPr/>
          <w:p>
            <w:pPr>
              <w:pStyle w:val="Compact"/>
            </w:pPr>
            <w:r>
              <w:t xml:space="preserve">25.194</w:t>
            </w:r>
          </w:p>
        </w:tc>
        <w:tc>
          <w:tcPr/>
          <w:p>
            <w:pPr>
              <w:pStyle w:val="Compact"/>
            </w:pPr>
            <w:r>
              <w:t xml:space="preserve">22.733</w:t>
            </w:r>
          </w:p>
        </w:tc>
        <w:tc>
          <w:tcPr/>
          <w:p>
            <w:pPr>
              <w:pStyle w:val="Compact"/>
            </w:pPr>
            <w:r>
              <w:t xml:space="preserve">0.045</w:t>
            </w:r>
          </w:p>
        </w:tc>
        <w:tc>
          <w:tcPr/>
          <w:p>
            <w:pPr>
              <w:pStyle w:val="Compact"/>
            </w:pPr>
            <w:r>
              <w:t xml:space="preserve">0.016</w:t>
            </w:r>
          </w:p>
        </w:tc>
        <w:tc>
          <w:tcPr/>
          <w:p>
            <w:pPr>
              <w:pStyle w:val="Compact"/>
            </w:pPr>
            <w:r>
              <w:t xml:space="preserve">0.710</w:t>
            </w:r>
          </w:p>
        </w:tc>
      </w:tr>
      <w:tr>
        <w:tc>
          <w:tcPr/>
          <w:p>
            <w:pPr>
              <w:pStyle w:val="Compact"/>
            </w:pPr>
            <w:r>
              <w:t xml:space="preserve">Share by top 10%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10% (%)</w:t>
            </w:r>
          </w:p>
        </w:tc>
        <w:tc>
          <w:tcPr/>
          <w:p>
            <w:pPr>
              <w:pStyle w:val="Compact"/>
            </w:pPr>
            <w:r>
              <w:t xml:space="preserve">Other/uncertain</w:t>
            </w:r>
          </w:p>
        </w:tc>
        <w:tc>
          <w:tcPr/>
          <w:p>
            <w:pPr>
              <w:pStyle w:val="Compact"/>
            </w:pPr>
            <w:r>
              <w:t xml:space="preserve">28.466</w:t>
            </w:r>
          </w:p>
        </w:tc>
        <w:tc>
          <w:tcPr/>
          <w:p>
            <w:pPr>
              <w:pStyle w:val="Compact"/>
            </w:pPr>
            <w:r>
              <w:t xml:space="preserve">21.588</w:t>
            </w:r>
          </w:p>
        </w:tc>
        <w:tc>
          <w:tcPr/>
          <w:p>
            <w:pPr>
              <w:pStyle w:val="Compact"/>
            </w:pPr>
            <w:r>
              <w:t xml:space="preserve">-0.773</w:t>
            </w:r>
          </w:p>
        </w:tc>
        <w:tc>
          <w:tcPr/>
          <w:p>
            <w:pPr>
              <w:pStyle w:val="Compact"/>
            </w:pPr>
            <w:r>
              <w:t xml:space="preserve">0.643</w:t>
            </w:r>
          </w:p>
        </w:tc>
        <w:tc>
          <w:tcPr/>
          <w:p>
            <w:pPr>
              <w:pStyle w:val="Compact"/>
            </w:pPr>
            <w:r>
              <w:t xml:space="preserve">0.003</w:t>
            </w:r>
          </w:p>
        </w:tc>
      </w:tr>
      <w:tr>
        <w:tc>
          <w:tcPr/>
          <w:p>
            <w:pPr>
              <w:pStyle w:val="Compact"/>
            </w:pPr>
            <w:r>
              <w:t xml:space="preserve">Share by top 10% (%)</w:t>
            </w:r>
          </w:p>
        </w:tc>
        <w:tc>
          <w:tcPr/>
          <w:p>
            <w:pPr>
              <w:pStyle w:val="Compact"/>
            </w:pPr>
            <w:r>
              <w:t xml:space="preserve">URPS (OB/GYN)</w:t>
            </w:r>
          </w:p>
        </w:tc>
        <w:tc>
          <w:tcPr/>
          <w:p>
            <w:pPr>
              <w:pStyle w:val="Compact"/>
            </w:pPr>
            <w:r>
              <w:t xml:space="preserve">24.250</w:t>
            </w:r>
          </w:p>
        </w:tc>
        <w:tc>
          <w:tcPr/>
          <w:p>
            <w:pPr>
              <w:pStyle w:val="Compact"/>
            </w:pPr>
            <w:r>
              <w:t xml:space="preserve">23.097</w:t>
            </w:r>
          </w:p>
        </w:tc>
        <w:tc>
          <w:tcPr/>
          <w:p>
            <w:pPr>
              <w:pStyle w:val="Compact"/>
            </w:pPr>
            <w:r>
              <w:t xml:space="preserve">-0.016</w:t>
            </w:r>
          </w:p>
        </w:tc>
        <w:tc>
          <w:tcPr/>
          <w:p>
            <w:pPr>
              <w:pStyle w:val="Compact"/>
            </w:pPr>
            <w:r>
              <w:t xml:space="preserve">0.007</w:t>
            </w:r>
          </w:p>
        </w:tc>
        <w:tc>
          <w:tcPr/>
          <w:p>
            <w:pPr>
              <w:pStyle w:val="Compact"/>
            </w:pPr>
            <w:r>
              <w:t xml:space="preserve">0.800</w:t>
            </w:r>
          </w:p>
        </w:tc>
      </w:tr>
      <w:tr>
        <w:tc>
          <w:tcPr/>
          <w:p>
            <w:pPr>
              <w:pStyle w:val="Compact"/>
            </w:pPr>
            <w:r>
              <w:t xml:space="preserve">Share by top 10% (%)</w:t>
            </w:r>
          </w:p>
        </w:tc>
        <w:tc>
          <w:tcPr/>
          <w:p>
            <w:pPr>
              <w:pStyle w:val="Compact"/>
            </w:pPr>
            <w:r>
              <w:t xml:space="preserve">URPS (urology)</w:t>
            </w:r>
          </w:p>
        </w:tc>
        <w:tc>
          <w:tcPr/>
          <w:p>
            <w:pPr>
              <w:pStyle w:val="Compact"/>
            </w:pPr>
            <w:r>
              <w:t xml:space="preserve">21.982</w:t>
            </w:r>
          </w:p>
        </w:tc>
        <w:tc>
          <w:tcPr/>
          <w:p>
            <w:pPr>
              <w:pStyle w:val="Compact"/>
            </w:pPr>
            <w:r>
              <w:t xml:space="preserve">21.688</w:t>
            </w:r>
          </w:p>
        </w:tc>
        <w:tc>
          <w:tcPr/>
          <w:p>
            <w:pPr>
              <w:pStyle w:val="Compact"/>
            </w:pPr>
            <w:r>
              <w:t xml:space="preserve">-0.036</w:t>
            </w:r>
          </w:p>
        </w:tc>
        <w:tc>
          <w:tcPr/>
          <w:p>
            <w:pPr>
              <w:pStyle w:val="Compact"/>
            </w:pPr>
            <w:r>
              <w:t xml:space="preserve">0.005</w:t>
            </w:r>
          </w:p>
        </w:tc>
        <w:tc>
          <w:tcPr/>
          <w:p>
            <w:pPr>
              <w:pStyle w:val="Compact"/>
            </w:pPr>
            <w:r>
              <w:t xml:space="preserve">0.840</w:t>
            </w:r>
          </w:p>
        </w:tc>
      </w:tr>
      <w:tr>
        <w:tc>
          <w:tcPr/>
          <w:p>
            <w:pPr>
              <w:pStyle w:val="Compact"/>
            </w:pPr>
            <w:r>
              <w:t xml:space="preserve">Share by top 10% (%)</w:t>
            </w:r>
          </w:p>
        </w:tc>
        <w:tc>
          <w:tcPr/>
          <w:p>
            <w:pPr>
              <w:pStyle w:val="Compact"/>
            </w:pPr>
            <w:r>
              <w:t xml:space="preserve">Urology</w:t>
            </w:r>
          </w:p>
        </w:tc>
        <w:tc>
          <w:tcPr/>
          <w:p>
            <w:pPr>
              <w:pStyle w:val="Compact"/>
            </w:pPr>
            <w:r>
              <w:t xml:space="preserve">20.797</w:t>
            </w:r>
          </w:p>
        </w:tc>
        <w:tc>
          <w:tcPr/>
          <w:p>
            <w:pPr>
              <w:pStyle w:val="Compact"/>
            </w:pPr>
            <w:r>
              <w:t xml:space="preserve">20.886</w:t>
            </w:r>
          </w:p>
        </w:tc>
        <w:tc>
          <w:tcPr/>
          <w:p>
            <w:pPr>
              <w:pStyle w:val="Compact"/>
            </w:pPr>
            <w:r>
              <w:t xml:space="preserve">0.082</w:t>
            </w:r>
          </w:p>
        </w:tc>
        <w:tc>
          <w:tcPr/>
          <w:p>
            <w:pPr>
              <w:pStyle w:val="Compact"/>
            </w:pPr>
            <w:r>
              <w:t xml:space="preserve">0.039</w:t>
            </w:r>
          </w:p>
        </w:tc>
        <w:tc>
          <w:tcPr/>
          <w:p>
            <w:pPr>
              <w:pStyle w:val="Compact"/>
            </w:pPr>
            <w:r>
              <w:t xml:space="preserve">0.560</w:t>
            </w:r>
          </w:p>
        </w:tc>
      </w:tr>
      <w:tr>
        <w:tc>
          <w:tcPr/>
          <w:p>
            <w:pPr>
              <w:pStyle w:val="Compact"/>
            </w:pPr>
            <w:r>
              <w:t xml:space="preserve">Share by top 20% (%)</w:t>
            </w:r>
          </w:p>
        </w:tc>
        <w:tc>
          <w:tcPr/>
          <w:p>
            <w:pPr>
              <w:pStyle w:val="Compact"/>
            </w:pPr>
            <w:r>
              <w:t xml:space="preserve">All</w:t>
            </w:r>
          </w:p>
        </w:tc>
        <w:tc>
          <w:tcPr/>
          <w:p>
            <w:pPr>
              <w:pStyle w:val="Compact"/>
            </w:pPr>
            <w:r>
              <w:t xml:space="preserve">39.308</w:t>
            </w:r>
          </w:p>
        </w:tc>
        <w:tc>
          <w:tcPr/>
          <w:p>
            <w:pPr>
              <w:pStyle w:val="Compact"/>
            </w:pPr>
            <w:r>
              <w:t xml:space="preserve">37.751</w:t>
            </w:r>
          </w:p>
        </w:tc>
        <w:tc>
          <w:tcPr/>
          <w:p>
            <w:pPr>
              <w:pStyle w:val="Compact"/>
            </w:pPr>
            <w:r>
              <w:t xml:space="preserve">-0.092</w:t>
            </w:r>
          </w:p>
        </w:tc>
        <w:tc>
          <w:tcPr/>
          <w:p>
            <w:pPr>
              <w:pStyle w:val="Compact"/>
            </w:pPr>
            <w:r>
              <w:t xml:space="preserve">0.246</w:t>
            </w:r>
          </w:p>
        </w:tc>
        <w:tc>
          <w:tcPr/>
          <w:p>
            <w:pPr>
              <w:pStyle w:val="Compact"/>
            </w:pPr>
            <w:r>
              <w:t xml:space="preserve">0.120</w:t>
            </w:r>
          </w:p>
        </w:tc>
      </w:tr>
      <w:tr>
        <w:tc>
          <w:tcPr/>
          <w:p>
            <w:pPr>
              <w:pStyle w:val="Compact"/>
            </w:pPr>
            <w:r>
              <w:t xml:space="preserve">Share by top 20% (%)</w:t>
            </w:r>
          </w:p>
        </w:tc>
        <w:tc>
          <w:tcPr/>
          <w:p>
            <w:pPr>
              <w:pStyle w:val="Compact"/>
            </w:pPr>
            <w:r>
              <w:t xml:space="preserve">General OB/GYN</w:t>
            </w:r>
          </w:p>
        </w:tc>
        <w:tc>
          <w:tcPr/>
          <w:p>
            <w:pPr>
              <w:pStyle w:val="Compact"/>
            </w:pPr>
            <w:r>
              <w:t xml:space="preserve">39.031</w:t>
            </w:r>
          </w:p>
        </w:tc>
        <w:tc>
          <w:tcPr/>
          <w:p>
            <w:pPr>
              <w:pStyle w:val="Compact"/>
            </w:pPr>
            <w:r>
              <w:t xml:space="preserve">37.667</w:t>
            </w:r>
          </w:p>
        </w:tc>
        <w:tc>
          <w:tcPr/>
          <w:p>
            <w:pPr>
              <w:pStyle w:val="Compact"/>
            </w:pPr>
            <w:r>
              <w:t xml:space="preserve">0.124</w:t>
            </w:r>
          </w:p>
        </w:tc>
        <w:tc>
          <w:tcPr/>
          <w:p>
            <w:pPr>
              <w:pStyle w:val="Compact"/>
            </w:pPr>
            <w:r>
              <w:t xml:space="preserve">0.113</w:t>
            </w:r>
          </w:p>
        </w:tc>
        <w:tc>
          <w:tcPr/>
          <w:p>
            <w:pPr>
              <w:pStyle w:val="Compact"/>
            </w:pPr>
            <w:r>
              <w:t xml:space="preserve">0.310</w:t>
            </w:r>
          </w:p>
        </w:tc>
      </w:tr>
      <w:tr>
        <w:tc>
          <w:tcPr/>
          <w:p>
            <w:pPr>
              <w:pStyle w:val="Compact"/>
            </w:pPr>
            <w:r>
              <w:t xml:space="preserve">Share by top 20%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20% (%)</w:t>
            </w:r>
          </w:p>
        </w:tc>
        <w:tc>
          <w:tcPr/>
          <w:p>
            <w:pPr>
              <w:pStyle w:val="Compact"/>
            </w:pPr>
            <w:r>
              <w:t xml:space="preserve">Other/uncertain</w:t>
            </w:r>
          </w:p>
        </w:tc>
        <w:tc>
          <w:tcPr/>
          <w:p>
            <w:pPr>
              <w:pStyle w:val="Compact"/>
            </w:pPr>
            <w:r>
              <w:t xml:space="preserve">47.407</w:t>
            </w:r>
          </w:p>
        </w:tc>
        <w:tc>
          <w:tcPr/>
          <w:p>
            <w:pPr>
              <w:pStyle w:val="Compact"/>
            </w:pPr>
            <w:r>
              <w:t xml:space="preserve">36.574</w:t>
            </w:r>
          </w:p>
        </w:tc>
        <w:tc>
          <w:tcPr/>
          <w:p>
            <w:pPr>
              <w:pStyle w:val="Compact"/>
            </w:pPr>
            <w:r>
              <w:t xml:space="preserve">-1.012</w:t>
            </w:r>
          </w:p>
        </w:tc>
        <w:tc>
          <w:tcPr/>
          <w:p>
            <w:pPr>
              <w:pStyle w:val="Compact"/>
            </w:pPr>
            <w:r>
              <w:t xml:space="preserve">0.710</w:t>
            </w:r>
          </w:p>
        </w:tc>
        <w:tc>
          <w:tcPr/>
          <w:p>
            <w:pPr>
              <w:pStyle w:val="Compact"/>
            </w:pPr>
            <w:r>
              <w:t xml:space="preserve">0.001</w:t>
            </w:r>
          </w:p>
        </w:tc>
      </w:tr>
      <w:tr>
        <w:tc>
          <w:tcPr/>
          <w:p>
            <w:pPr>
              <w:pStyle w:val="Compact"/>
            </w:pPr>
            <w:r>
              <w:t xml:space="preserve">Share by top 20% (%)</w:t>
            </w:r>
          </w:p>
        </w:tc>
        <w:tc>
          <w:tcPr/>
          <w:p>
            <w:pPr>
              <w:pStyle w:val="Compact"/>
            </w:pPr>
            <w:r>
              <w:t xml:space="preserve">URPS (OB/GYN)</w:t>
            </w:r>
          </w:p>
        </w:tc>
        <w:tc>
          <w:tcPr/>
          <w:p>
            <w:pPr>
              <w:pStyle w:val="Compact"/>
            </w:pPr>
            <w:r>
              <w:t xml:space="preserve">39.403</w:t>
            </w:r>
          </w:p>
        </w:tc>
        <w:tc>
          <w:tcPr/>
          <w:p>
            <w:pPr>
              <w:pStyle w:val="Compact"/>
            </w:pPr>
            <w:r>
              <w:t xml:space="preserve">38.365</w:t>
            </w:r>
          </w:p>
        </w:tc>
        <w:tc>
          <w:tcPr/>
          <w:p>
            <w:pPr>
              <w:pStyle w:val="Compact"/>
            </w:pPr>
            <w:r>
              <w:t xml:space="preserve">-0.004</w:t>
            </w:r>
          </w:p>
        </w:tc>
        <w:tc>
          <w:tcPr/>
          <w:p>
            <w:pPr>
              <w:pStyle w:val="Compact"/>
            </w:pPr>
            <w:r>
              <w:t xml:space="preserve">0.000</w:t>
            </w:r>
          </w:p>
        </w:tc>
        <w:tc>
          <w:tcPr/>
          <w:p>
            <w:pPr>
              <w:pStyle w:val="Compact"/>
            </w:pPr>
            <w:r>
              <w:t xml:space="preserve">0.950</w:t>
            </w:r>
          </w:p>
        </w:tc>
      </w:tr>
      <w:tr>
        <w:tc>
          <w:tcPr/>
          <w:p>
            <w:pPr>
              <w:pStyle w:val="Compact"/>
            </w:pPr>
            <w:r>
              <w:t xml:space="preserve">Share by top 20% (%)</w:t>
            </w:r>
          </w:p>
        </w:tc>
        <w:tc>
          <w:tcPr/>
          <w:p>
            <w:pPr>
              <w:pStyle w:val="Compact"/>
            </w:pPr>
            <w:r>
              <w:t xml:space="preserve">URPS (urology)</w:t>
            </w:r>
          </w:p>
        </w:tc>
        <w:tc>
          <w:tcPr/>
          <w:p>
            <w:pPr>
              <w:pStyle w:val="Compact"/>
            </w:pPr>
            <w:r>
              <w:t xml:space="preserve">34.322</w:t>
            </w:r>
          </w:p>
        </w:tc>
        <w:tc>
          <w:tcPr/>
          <w:p>
            <w:pPr>
              <w:pStyle w:val="Compact"/>
            </w:pPr>
            <w:r>
              <w:t xml:space="preserve">34.232</w:t>
            </w:r>
          </w:p>
        </w:tc>
        <w:tc>
          <w:tcPr/>
          <w:p>
            <w:pPr>
              <w:pStyle w:val="Compact"/>
            </w:pPr>
            <w:r>
              <w:t xml:space="preserve">-0.185</w:t>
            </w:r>
          </w:p>
        </w:tc>
        <w:tc>
          <w:tcPr/>
          <w:p>
            <w:pPr>
              <w:pStyle w:val="Compact"/>
            </w:pPr>
            <w:r>
              <w:t xml:space="preserve">0.123</w:t>
            </w:r>
          </w:p>
        </w:tc>
        <w:tc>
          <w:tcPr/>
          <w:p>
            <w:pPr>
              <w:pStyle w:val="Compact"/>
            </w:pPr>
            <w:r>
              <w:t xml:space="preserve">0.290</w:t>
            </w:r>
          </w:p>
        </w:tc>
      </w:tr>
      <w:tr>
        <w:tc>
          <w:tcPr/>
          <w:p>
            <w:pPr>
              <w:pStyle w:val="Compact"/>
            </w:pPr>
            <w:r>
              <w:t xml:space="preserve">Share by top 20% (%)</w:t>
            </w:r>
          </w:p>
        </w:tc>
        <w:tc>
          <w:tcPr/>
          <w:p>
            <w:pPr>
              <w:pStyle w:val="Compact"/>
            </w:pPr>
            <w:r>
              <w:t xml:space="preserve">Urology</w:t>
            </w:r>
          </w:p>
        </w:tc>
        <w:tc>
          <w:tcPr/>
          <w:p>
            <w:pPr>
              <w:pStyle w:val="Compact"/>
            </w:pPr>
            <w:r>
              <w:t xml:space="preserve">33.679</w:t>
            </w:r>
          </w:p>
        </w:tc>
        <w:tc>
          <w:tcPr/>
          <w:p>
            <w:pPr>
              <w:pStyle w:val="Compact"/>
            </w:pPr>
            <w:r>
              <w:t xml:space="preserve">35.865</w:t>
            </w:r>
          </w:p>
        </w:tc>
        <w:tc>
          <w:tcPr/>
          <w:p>
            <w:pPr>
              <w:pStyle w:val="Compact"/>
            </w:pPr>
            <w:r>
              <w:t xml:space="preserve">0.215</w:t>
            </w:r>
          </w:p>
        </w:tc>
        <w:tc>
          <w:tcPr/>
          <w:p>
            <w:pPr>
              <w:pStyle w:val="Compact"/>
            </w:pPr>
            <w:r>
              <w:t xml:space="preserve">0.189</w:t>
            </w:r>
          </w:p>
        </w:tc>
        <w:tc>
          <w:tcPr/>
          <w:p>
            <w:pPr>
              <w:pStyle w:val="Compact"/>
            </w:pPr>
            <w:r>
              <w:t xml:space="preserve">0.180</w:t>
            </w:r>
          </w:p>
        </w:tc>
      </w:tr>
      <w:tr>
        <w:tc>
          <w:tcPr/>
          <w:p>
            <w:pPr>
              <w:pStyle w:val="Compact"/>
            </w:pPr>
            <w:r>
              <w:t xml:space="preserve">Share by bottom 50% (%)</w:t>
            </w:r>
          </w:p>
        </w:tc>
        <w:tc>
          <w:tcPr/>
          <w:p>
            <w:pPr>
              <w:pStyle w:val="Compact"/>
            </w:pPr>
            <w:r>
              <w:t xml:space="preserve">All</w:t>
            </w:r>
          </w:p>
        </w:tc>
        <w:tc>
          <w:tcPr/>
          <w:p>
            <w:pPr>
              <w:pStyle w:val="Compact"/>
            </w:pPr>
            <w:r>
              <w:t xml:space="preserve">31.496</w:t>
            </w:r>
          </w:p>
        </w:tc>
        <w:tc>
          <w:tcPr/>
          <w:p>
            <w:pPr>
              <w:pStyle w:val="Compact"/>
            </w:pPr>
            <w:r>
              <w:t xml:space="preserve">31.569</w:t>
            </w:r>
          </w:p>
        </w:tc>
        <w:tc>
          <w:tcPr/>
          <w:p>
            <w:pPr>
              <w:pStyle w:val="Compact"/>
            </w:pPr>
            <w:r>
              <w:t xml:space="preserve">0.015</w:t>
            </w:r>
          </w:p>
        </w:tc>
        <w:tc>
          <w:tcPr/>
          <w:p>
            <w:pPr>
              <w:pStyle w:val="Compact"/>
            </w:pPr>
            <w:r>
              <w:t xml:space="preserve">0.013</w:t>
            </w:r>
          </w:p>
        </w:tc>
        <w:tc>
          <w:tcPr/>
          <w:p>
            <w:pPr>
              <w:pStyle w:val="Compact"/>
            </w:pPr>
            <w:r>
              <w:t xml:space="preserve">0.740</w:t>
            </w:r>
          </w:p>
        </w:tc>
      </w:tr>
      <w:tr>
        <w:tc>
          <w:tcPr/>
          <w:p>
            <w:pPr>
              <w:pStyle w:val="Compact"/>
            </w:pPr>
            <w:r>
              <w:t xml:space="preserve">Share by bottom 50% (%)</w:t>
            </w:r>
          </w:p>
        </w:tc>
        <w:tc>
          <w:tcPr/>
          <w:p>
            <w:pPr>
              <w:pStyle w:val="Compact"/>
            </w:pPr>
            <w:r>
              <w:t xml:space="preserve">General OB/GYN</w:t>
            </w:r>
          </w:p>
        </w:tc>
        <w:tc>
          <w:tcPr/>
          <w:p>
            <w:pPr>
              <w:pStyle w:val="Compact"/>
            </w:pPr>
            <w:r>
              <w:t xml:space="preserve">33.062</w:t>
            </w:r>
          </w:p>
        </w:tc>
        <w:tc>
          <w:tcPr/>
          <w:p>
            <w:pPr>
              <w:pStyle w:val="Compact"/>
            </w:pPr>
            <w:r>
              <w:t xml:space="preserve">32.667</w:t>
            </w:r>
          </w:p>
        </w:tc>
        <w:tc>
          <w:tcPr/>
          <w:p>
            <w:pPr>
              <w:pStyle w:val="Compact"/>
            </w:pPr>
            <w:r>
              <w:t xml:space="preserve">-0.081</w:t>
            </w:r>
          </w:p>
        </w:tc>
        <w:tc>
          <w:tcPr/>
          <w:p>
            <w:pPr>
              <w:pStyle w:val="Compact"/>
            </w:pPr>
            <w:r>
              <w:t xml:space="preserve">0.090</w:t>
            </w:r>
          </w:p>
        </w:tc>
        <w:tc>
          <w:tcPr/>
          <w:p>
            <w:pPr>
              <w:pStyle w:val="Compact"/>
            </w:pPr>
            <w:r>
              <w:t xml:space="preserve">0.370</w:t>
            </w:r>
          </w:p>
        </w:tc>
      </w:tr>
      <w:tr>
        <w:tc>
          <w:tcPr/>
          <w:p>
            <w:pPr>
              <w:pStyle w:val="Compact"/>
            </w:pPr>
            <w:r>
              <w:t xml:space="preserve">Share by bottom 50% (%)</w:t>
            </w:r>
          </w:p>
        </w:tc>
        <w:tc>
          <w:tcPr/>
          <w:p>
            <w:pPr>
              <w:pStyle w:val="Compact"/>
            </w:pPr>
            <w:r>
              <w:t xml:space="preserve">MIGS</w:t>
            </w:r>
          </w:p>
        </w:tc>
        <w:tc>
          <w:tcPr/>
          <w:p>
            <w:pPr>
              <w:pStyle w:val="Compact"/>
            </w:pPr>
            <w:r>
              <w:t xml:space="preserve">31.429</w:t>
            </w:r>
          </w:p>
        </w:tc>
        <w:tc>
          <w:tcPr/>
          <w:p>
            <w:pPr>
              <w:pStyle w:val="Compact"/>
            </w:pPr>
            <w:r>
              <w:t xml:space="preserve">23.232</w:t>
            </w:r>
          </w:p>
        </w:tc>
        <w:tc>
          <w:tcPr/>
          <w:p>
            <w:pPr>
              <w:pStyle w:val="Compact"/>
            </w:pPr>
            <w:r>
              <w:t xml:space="preserve">-1.345</w:t>
            </w:r>
          </w:p>
        </w:tc>
        <w:tc>
          <w:tcPr/>
          <w:p>
            <w:pPr>
              <w:pStyle w:val="Compact"/>
            </w:pPr>
            <w:r>
              <w:t xml:space="preserve">0.270</w:t>
            </w:r>
          </w:p>
        </w:tc>
        <w:tc>
          <w:tcPr/>
          <w:p>
            <w:pPr>
              <w:pStyle w:val="Compact"/>
            </w:pPr>
            <w:r>
              <w:t xml:space="preserve">0.100</w:t>
            </w:r>
          </w:p>
        </w:tc>
      </w:tr>
      <w:tr>
        <w:tc>
          <w:tcPr/>
          <w:p>
            <w:pPr>
              <w:pStyle w:val="Compact"/>
            </w:pPr>
            <w:r>
              <w:t xml:space="preserve">Share by bottom 50% (%)</w:t>
            </w:r>
          </w:p>
        </w:tc>
        <w:tc>
          <w:tcPr/>
          <w:p>
            <w:pPr>
              <w:pStyle w:val="Compact"/>
            </w:pPr>
            <w:r>
              <w:t xml:space="preserve">Other/uncertain</w:t>
            </w:r>
          </w:p>
        </w:tc>
        <w:tc>
          <w:tcPr/>
          <w:p>
            <w:pPr>
              <w:pStyle w:val="Compact"/>
            </w:pPr>
            <w:r>
              <w:t xml:space="preserve">25.397</w:t>
            </w:r>
          </w:p>
        </w:tc>
        <w:tc>
          <w:tcPr/>
          <w:p>
            <w:pPr>
              <w:pStyle w:val="Compact"/>
            </w:pPr>
            <w:r>
              <w:t xml:space="preserve">32.293</w:t>
            </w:r>
          </w:p>
        </w:tc>
        <w:tc>
          <w:tcPr/>
          <w:p>
            <w:pPr>
              <w:pStyle w:val="Compact"/>
            </w:pPr>
            <w:r>
              <w:t xml:space="preserve">0.710</w:t>
            </w:r>
          </w:p>
        </w:tc>
        <w:tc>
          <w:tcPr/>
          <w:p>
            <w:pPr>
              <w:pStyle w:val="Compact"/>
            </w:pPr>
            <w:r>
              <w:t xml:space="preserve">0.644</w:t>
            </w:r>
          </w:p>
        </w:tc>
        <w:tc>
          <w:tcPr/>
          <w:p>
            <w:pPr>
              <w:pStyle w:val="Compact"/>
            </w:pPr>
            <w:r>
              <w:t xml:space="preserve">0.003</w:t>
            </w:r>
          </w:p>
        </w:tc>
      </w:tr>
      <w:tr>
        <w:tc>
          <w:tcPr/>
          <w:p>
            <w:pPr>
              <w:pStyle w:val="Compact"/>
            </w:pPr>
            <w:r>
              <w:t xml:space="preserve">Share by bottom 50% (%)</w:t>
            </w:r>
          </w:p>
        </w:tc>
        <w:tc>
          <w:tcPr/>
          <w:p>
            <w:pPr>
              <w:pStyle w:val="Compact"/>
            </w:pPr>
            <w:r>
              <w:t xml:space="preserve">URPS (OB/GYN)</w:t>
            </w:r>
          </w:p>
        </w:tc>
        <w:tc>
          <w:tcPr/>
          <w:p>
            <w:pPr>
              <w:pStyle w:val="Compact"/>
            </w:pPr>
            <w:r>
              <w:t xml:space="preserve">29.769</w:t>
            </w:r>
          </w:p>
        </w:tc>
        <w:tc>
          <w:tcPr/>
          <w:p>
            <w:pPr>
              <w:pStyle w:val="Compact"/>
            </w:pPr>
            <w:r>
              <w:t xml:space="preserve">31.026</w:t>
            </w:r>
          </w:p>
        </w:tc>
        <w:tc>
          <w:tcPr/>
          <w:p>
            <w:pPr>
              <w:pStyle w:val="Compact"/>
            </w:pPr>
            <w:r>
              <w:t xml:space="preserve">0.084</w:t>
            </w:r>
          </w:p>
        </w:tc>
        <w:tc>
          <w:tcPr/>
          <w:p>
            <w:pPr>
              <w:pStyle w:val="Compact"/>
            </w:pPr>
            <w:r>
              <w:t xml:space="preserve">0.233</w:t>
            </w:r>
          </w:p>
        </w:tc>
        <w:tc>
          <w:tcPr/>
          <w:p>
            <w:pPr>
              <w:pStyle w:val="Compact"/>
            </w:pPr>
            <w:r>
              <w:t xml:space="preserve">0.130</w:t>
            </w:r>
          </w:p>
        </w:tc>
      </w:tr>
      <w:tr>
        <w:tc>
          <w:tcPr/>
          <w:p>
            <w:pPr>
              <w:pStyle w:val="Compact"/>
            </w:pPr>
            <w:r>
              <w:t xml:space="preserve">Share by bottom 50% (%)</w:t>
            </w:r>
          </w:p>
        </w:tc>
        <w:tc>
          <w:tcPr/>
          <w:p>
            <w:pPr>
              <w:pStyle w:val="Compact"/>
            </w:pPr>
            <w:r>
              <w:t xml:space="preserve">URPS (urology)</w:t>
            </w:r>
          </w:p>
        </w:tc>
        <w:tc>
          <w:tcPr/>
          <w:p>
            <w:pPr>
              <w:pStyle w:val="Compact"/>
            </w:pPr>
            <w:r>
              <w:t xml:space="preserve">36.210</w:t>
            </w:r>
          </w:p>
        </w:tc>
        <w:tc>
          <w:tcPr/>
          <w:p>
            <w:pPr>
              <w:pStyle w:val="Compact"/>
            </w:pPr>
            <w:r>
              <w:t xml:space="preserve">33.060</w:t>
            </w:r>
          </w:p>
        </w:tc>
        <w:tc>
          <w:tcPr/>
          <w:p>
            <w:pPr>
              <w:pStyle w:val="Compact"/>
            </w:pPr>
            <w:r>
              <w:t xml:space="preserve">0.043</w:t>
            </w:r>
          </w:p>
        </w:tc>
        <w:tc>
          <w:tcPr/>
          <w:p>
            <w:pPr>
              <w:pStyle w:val="Compact"/>
            </w:pPr>
            <w:r>
              <w:t xml:space="preserve">0.012</w:t>
            </w:r>
          </w:p>
        </w:tc>
        <w:tc>
          <w:tcPr/>
          <w:p>
            <w:pPr>
              <w:pStyle w:val="Compact"/>
            </w:pPr>
            <w:r>
              <w:t xml:space="preserve">0.740</w:t>
            </w:r>
          </w:p>
        </w:tc>
      </w:tr>
      <w:tr>
        <w:tc>
          <w:tcPr/>
          <w:p>
            <w:pPr>
              <w:pStyle w:val="Compact"/>
            </w:pPr>
            <w:r>
              <w:t xml:space="preserve">Share by bottom 50% (%)</w:t>
            </w:r>
          </w:p>
        </w:tc>
        <w:tc>
          <w:tcPr/>
          <w:p>
            <w:pPr>
              <w:pStyle w:val="Compact"/>
            </w:pPr>
            <w:r>
              <w:t xml:space="preserve">Urology</w:t>
            </w:r>
          </w:p>
        </w:tc>
        <w:tc>
          <w:tcPr/>
          <w:p>
            <w:pPr>
              <w:pStyle w:val="Compact"/>
            </w:pPr>
            <w:r>
              <w:t xml:space="preserve">36.290</w:t>
            </w:r>
          </w:p>
        </w:tc>
        <w:tc>
          <w:tcPr/>
          <w:p>
            <w:pPr>
              <w:pStyle w:val="Compact"/>
            </w:pPr>
            <w:r>
              <w:t xml:space="preserve">33.333</w:t>
            </w:r>
          </w:p>
        </w:tc>
        <w:tc>
          <w:tcPr/>
          <w:p>
            <w:pPr>
              <w:pStyle w:val="Compact"/>
            </w:pPr>
            <w:r>
              <w:t xml:space="preserve">-0.220</w:t>
            </w:r>
          </w:p>
        </w:tc>
        <w:tc>
          <w:tcPr/>
          <w:p>
            <w:pPr>
              <w:pStyle w:val="Compact"/>
            </w:pPr>
            <w:r>
              <w:t xml:space="preserve">0.216</w:t>
            </w:r>
          </w:p>
        </w:tc>
        <w:tc>
          <w:tcPr/>
          <w:p>
            <w:pPr>
              <w:pStyle w:val="Compact"/>
            </w:pPr>
            <w:r>
              <w:t xml:space="preserve">0.150</w:t>
            </w:r>
          </w:p>
        </w:tc>
      </w:tr>
    </w:tbl>
    <w:p>
      <w:pPr>
        <w:pStyle w:val="BodyText"/>
      </w:pPr>
      <w:r>
        <w:rPr>
          <w:b/>
          <w:bCs/>
        </w:rPr>
        <w:t xml:space="preserve">Supplementary Table S3.</w:t>
      </w:r>
      <w:r>
        <w:t xml:space="preserve"> </w:t>
      </w:r>
      <w:r>
        <w:t xml:space="preserve">Specialty-specific market-share trends. Each specialty’s annual share of observed procedures is regressed on calendar year separately (fixed-membership classification).</w:t>
      </w:r>
    </w:p>
    <w:tbl>
      <w:tblPr>
        <w:tblStyle w:val="Table"/>
        <w:tblW w:type="pct" w:w="5000"/>
        <w:tblLayout w:type="fixed"/>
        <w:tblLook w:firstRow="1" w:lastRow="0" w:firstColumn="0" w:lastColumn="0" w:noHBand="0" w:noVBand="0" w:val="0020"/>
      </w:tblPr>
      <w:tblGrid>
        <w:gridCol w:w="1844"/>
        <w:gridCol w:w="1735"/>
        <w:gridCol w:w="1735"/>
        <w:gridCol w:w="1627"/>
        <w:gridCol w:w="976"/>
      </w:tblGrid>
      <w:tr>
        <w:trPr>
          <w:tblHeader w:val="on"/>
        </w:trPr>
        <w:tc>
          <w:tcPr/>
          <w:p>
            <w:pPr>
              <w:pStyle w:val="Compact"/>
            </w:pPr>
            <w:r>
              <w:t xml:space="preserve">Specialty</w:t>
            </w:r>
          </w:p>
        </w:tc>
        <w:tc>
          <w:tcPr/>
          <w:p>
            <w:pPr>
              <w:pStyle w:val="Compact"/>
            </w:pPr>
            <w:r>
              <w:t xml:space="preserve">2013 share (%)</w:t>
            </w:r>
          </w:p>
        </w:tc>
        <w:tc>
          <w:tcPr/>
          <w:p>
            <w:pPr>
              <w:pStyle w:val="Compact"/>
            </w:pPr>
            <w:r>
              <w:t xml:space="preserve">2023 share (%)</w:t>
            </w:r>
          </w:p>
        </w:tc>
        <w:tc>
          <w:tcPr/>
          <w:p>
            <w:pPr>
              <w:pStyle w:val="Compact"/>
            </w:pPr>
            <w:r>
              <w:t xml:space="preserve">Slope (pp/yr)</w:t>
            </w:r>
          </w:p>
        </w:tc>
        <w:tc>
          <w:tcPr/>
          <w:p>
            <w:pPr>
              <w:pStyle w:val="Compact"/>
            </w:pPr>
            <w:r>
              <w:t xml:space="preserve">p-value</w:t>
            </w:r>
          </w:p>
        </w:tc>
      </w:tr>
      <w:tr>
        <w:tc>
          <w:tcPr/>
          <w:p>
            <w:pPr>
              <w:pStyle w:val="Compact"/>
            </w:pPr>
            <w:r>
              <w:t xml:space="preserve">General OB/GYN</w:t>
            </w:r>
          </w:p>
        </w:tc>
        <w:tc>
          <w:tcPr/>
          <w:p>
            <w:pPr>
              <w:pStyle w:val="Compact"/>
            </w:pPr>
            <w:r>
              <w:t xml:space="preserve">16.3</w:t>
            </w:r>
          </w:p>
        </w:tc>
        <w:tc>
          <w:tcPr/>
          <w:p>
            <w:pPr>
              <w:pStyle w:val="Compact"/>
            </w:pPr>
            <w:r>
              <w:t xml:space="preserve">13.1</w:t>
            </w:r>
          </w:p>
        </w:tc>
        <w:tc>
          <w:tcPr/>
          <w:p>
            <w:pPr>
              <w:pStyle w:val="Compact"/>
            </w:pPr>
            <w:r>
              <w:t xml:space="preserve">-0.397</w:t>
            </w:r>
          </w:p>
        </w:tc>
        <w:tc>
          <w:tcPr/>
          <w:p>
            <w:pPr>
              <w:pStyle w:val="Compact"/>
            </w:pPr>
            <w:r>
              <w:t xml:space="preserve">0.008</w:t>
            </w:r>
          </w:p>
        </w:tc>
      </w:tr>
      <w:tr>
        <w:tc>
          <w:tcPr/>
          <w:p>
            <w:pPr>
              <w:pStyle w:val="Compact"/>
            </w:pPr>
            <w:r>
              <w:t xml:space="preserve">MIGS</w:t>
            </w:r>
          </w:p>
        </w:tc>
        <w:tc>
          <w:tcPr/>
          <w:p>
            <w:pPr>
              <w:pStyle w:val="Compact"/>
            </w:pPr>
            <w:r>
              <w:t xml:space="preserve">0.2</w:t>
            </w:r>
          </w:p>
        </w:tc>
        <w:tc>
          <w:tcPr/>
          <w:p>
            <w:pPr>
              <w:pStyle w:val="Compact"/>
            </w:pPr>
            <w:r>
              <w:t xml:space="preserve">0.9</w:t>
            </w:r>
          </w:p>
        </w:tc>
        <w:tc>
          <w:tcPr/>
          <w:p>
            <w:pPr>
              <w:pStyle w:val="Compact"/>
            </w:pPr>
            <w:r>
              <w:t xml:space="preserve">0.077</w:t>
            </w:r>
          </w:p>
        </w:tc>
        <w:tc>
          <w:tcPr/>
          <w:p>
            <w:pPr>
              <w:pStyle w:val="Compact"/>
            </w:pPr>
            <w:r>
              <w:t xml:space="preserve">0.004</w:t>
            </w:r>
          </w:p>
        </w:tc>
      </w:tr>
      <w:tr>
        <w:tc>
          <w:tcPr/>
          <w:p>
            <w:pPr>
              <w:pStyle w:val="Compact"/>
            </w:pPr>
            <w:r>
              <w:t xml:space="preserve">Other/uncertain</w:t>
            </w:r>
          </w:p>
        </w:tc>
        <w:tc>
          <w:tcPr/>
          <w:p>
            <w:pPr>
              <w:pStyle w:val="Compact"/>
            </w:pPr>
            <w:r>
              <w:t xml:space="preserve">6.0</w:t>
            </w:r>
          </w:p>
        </w:tc>
        <w:tc>
          <w:tcPr/>
          <w:p>
            <w:pPr>
              <w:pStyle w:val="Compact"/>
            </w:pPr>
            <w:r>
              <w:t xml:space="preserve">9.8</w:t>
            </w:r>
          </w:p>
        </w:tc>
        <w:tc>
          <w:tcPr/>
          <w:p>
            <w:pPr>
              <w:pStyle w:val="Compact"/>
            </w:pPr>
            <w:r>
              <w:t xml:space="preserve">0.488</w:t>
            </w:r>
          </w:p>
        </w:tc>
        <w:tc>
          <w:tcPr/>
          <w:p>
            <w:pPr>
              <w:pStyle w:val="Compact"/>
            </w:pPr>
            <w:r>
              <w:t xml:space="preserve">&lt;0.001</w:t>
            </w:r>
          </w:p>
        </w:tc>
      </w:tr>
      <w:tr>
        <w:tc>
          <w:tcPr/>
          <w:p>
            <w:pPr>
              <w:pStyle w:val="Compact"/>
            </w:pPr>
            <w:r>
              <w:t xml:space="preserve">URPS (OB/GYN)</w:t>
            </w:r>
          </w:p>
        </w:tc>
        <w:tc>
          <w:tcPr/>
          <w:p>
            <w:pPr>
              <w:pStyle w:val="Compact"/>
            </w:pPr>
            <w:r>
              <w:t xml:space="preserve">45.8</w:t>
            </w:r>
          </w:p>
        </w:tc>
        <w:tc>
          <w:tcPr/>
          <w:p>
            <w:pPr>
              <w:pStyle w:val="Compact"/>
            </w:pPr>
            <w:r>
              <w:t xml:space="preserve">60.6</w:t>
            </w:r>
          </w:p>
        </w:tc>
        <w:tc>
          <w:tcPr/>
          <w:p>
            <w:pPr>
              <w:pStyle w:val="Compact"/>
            </w:pPr>
            <w:r>
              <w:t xml:space="preserve">1.416</w:t>
            </w:r>
          </w:p>
        </w:tc>
        <w:tc>
          <w:tcPr/>
          <w:p>
            <w:pPr>
              <w:pStyle w:val="Compact"/>
            </w:pPr>
            <w:r>
              <w:t xml:space="preserve">&lt;0.001</w:t>
            </w:r>
          </w:p>
        </w:tc>
      </w:tr>
      <w:tr>
        <w:tc>
          <w:tcPr/>
          <w:p>
            <w:pPr>
              <w:pStyle w:val="Compact"/>
            </w:pPr>
            <w:r>
              <w:t xml:space="preserve">URPS (urology)</w:t>
            </w:r>
          </w:p>
        </w:tc>
        <w:tc>
          <w:tcPr/>
          <w:p>
            <w:pPr>
              <w:pStyle w:val="Compact"/>
            </w:pPr>
            <w:r>
              <w:t xml:space="preserve">9.3</w:t>
            </w:r>
          </w:p>
        </w:tc>
        <w:tc>
          <w:tcPr/>
          <w:p>
            <w:pPr>
              <w:pStyle w:val="Compact"/>
            </w:pPr>
            <w:r>
              <w:t xml:space="preserve">7.4</w:t>
            </w:r>
          </w:p>
        </w:tc>
        <w:tc>
          <w:tcPr/>
          <w:p>
            <w:pPr>
              <w:pStyle w:val="Compact"/>
            </w:pPr>
            <w:r>
              <w:t xml:space="preserve">-0.299</w:t>
            </w:r>
          </w:p>
        </w:tc>
        <w:tc>
          <w:tcPr/>
          <w:p>
            <w:pPr>
              <w:pStyle w:val="Compact"/>
            </w:pPr>
            <w:r>
              <w:t xml:space="preserve">0.001</w:t>
            </w:r>
          </w:p>
        </w:tc>
      </w:tr>
      <w:tr>
        <w:tc>
          <w:tcPr/>
          <w:p>
            <w:pPr>
              <w:pStyle w:val="Compact"/>
            </w:pPr>
            <w:r>
              <w:t xml:space="preserve">Urology</w:t>
            </w:r>
          </w:p>
        </w:tc>
        <w:tc>
          <w:tcPr/>
          <w:p>
            <w:pPr>
              <w:pStyle w:val="Compact"/>
            </w:pPr>
            <w:r>
              <w:t xml:space="preserve">22.4</w:t>
            </w:r>
          </w:p>
        </w:tc>
        <w:tc>
          <w:tcPr/>
          <w:p>
            <w:pPr>
              <w:pStyle w:val="Compact"/>
            </w:pPr>
            <w:r>
              <w:t xml:space="preserve">8.3</w:t>
            </w:r>
          </w:p>
        </w:tc>
        <w:tc>
          <w:tcPr/>
          <w:p>
            <w:pPr>
              <w:pStyle w:val="Compact"/>
            </w:pPr>
            <w:r>
              <w:t xml:space="preserve">-1.284</w:t>
            </w:r>
          </w:p>
        </w:tc>
        <w:tc>
          <w:tcPr/>
          <w:p>
            <w:pPr>
              <w:pStyle w:val="Compact"/>
            </w:pPr>
            <w:r>
              <w:t xml:space="preserve">&lt;0.001</w:t>
            </w:r>
          </w:p>
        </w:tc>
      </w:tr>
    </w:tbl>
    <w:p>
      <w:pPr>
        <w:pStyle w:val="BodyText"/>
      </w:pPr>
      <w:r>
        <w:rPr>
          <w:b/>
          <w:bCs/>
        </w:rPr>
        <w:t xml:space="preserve">Supplementary Table S4.</w:t>
      </w:r>
      <w:r>
        <w:t xml:space="preserve"> </w:t>
      </w:r>
      <w:r>
        <w:t xml:space="preserve">Adjusted rate ratios for annual sling volume from a Poisson GEE clustered by NPI, excluding calendar year 2020 (COVID-19 sensitivity analysis; URPS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RR (95% CI)</w:t>
            </w:r>
          </w:p>
        </w:tc>
        <w:tc>
          <w:tcPr/>
          <w:p>
            <w:pPr>
              <w:pStyle w:val="Compact"/>
            </w:pPr>
            <w:r>
              <w:t xml:space="preserve">p-value</w:t>
            </w:r>
          </w:p>
        </w:tc>
      </w:tr>
      <w:tr>
        <w:tc>
          <w:tcPr/>
          <w:p>
            <w:pPr>
              <w:pStyle w:val="Compact"/>
            </w:pPr>
            <w:r>
              <w:t xml:space="preserve">(Intercept)</w:t>
            </w:r>
          </w:p>
        </w:tc>
        <w:tc>
          <w:tcPr/>
          <w:p>
            <w:pPr>
              <w:pStyle w:val="Compact"/>
            </w:pPr>
            <w:r>
              <w:t xml:space="preserve">21.79 (20.23-23.48)</w:t>
            </w:r>
          </w:p>
        </w:tc>
        <w:tc>
          <w:tcPr/>
          <w:p>
            <w:pPr>
              <w:pStyle w:val="Compact"/>
            </w:pPr>
            <w:r>
              <w:t xml:space="preserve">n/a</w:t>
            </w:r>
          </w:p>
        </w:tc>
      </w:tr>
      <w:tr>
        <w:tc>
          <w:tcPr/>
          <w:p>
            <w:pPr>
              <w:pStyle w:val="Compact"/>
            </w:pPr>
            <w:r>
              <w:t xml:space="preserve">Specialty: General OB/GYN</w:t>
            </w:r>
          </w:p>
        </w:tc>
        <w:tc>
          <w:tcPr/>
          <w:p>
            <w:pPr>
              <w:pStyle w:val="Compact"/>
            </w:pPr>
            <w:r>
              <w:t xml:space="preserve">0.64 (0.46-0.90)</w:t>
            </w:r>
          </w:p>
        </w:tc>
        <w:tc>
          <w:tcPr/>
          <w:p>
            <w:pPr>
              <w:pStyle w:val="Compact"/>
            </w:pPr>
            <w:r>
              <w:t xml:space="preserve">0.010</w:t>
            </w:r>
          </w:p>
        </w:tc>
      </w:tr>
      <w:tr>
        <w:tc>
          <w:tcPr/>
          <w:p>
            <w:pPr>
              <w:pStyle w:val="Compact"/>
            </w:pPr>
            <w:r>
              <w:t xml:space="preserve">Specialty: MIGS</w:t>
            </w:r>
          </w:p>
        </w:tc>
        <w:tc>
          <w:tcPr/>
          <w:p>
            <w:pPr>
              <w:pStyle w:val="Compact"/>
            </w:pPr>
            <w:r>
              <w:t xml:space="preserve">0.88 (0.58-1.34)</w:t>
            </w:r>
          </w:p>
        </w:tc>
        <w:tc>
          <w:tcPr/>
          <w:p>
            <w:pPr>
              <w:pStyle w:val="Compact"/>
            </w:pPr>
            <w:r>
              <w:t xml:space="preserve">0.540</w:t>
            </w:r>
          </w:p>
        </w:tc>
      </w:tr>
      <w:tr>
        <w:tc>
          <w:tcPr/>
          <w:p>
            <w:pPr>
              <w:pStyle w:val="Compact"/>
            </w:pPr>
            <w:r>
              <w:t xml:space="preserve">Specialty: Other/uncertain</w:t>
            </w:r>
          </w:p>
        </w:tc>
        <w:tc>
          <w:tcPr/>
          <w:p>
            <w:pPr>
              <w:pStyle w:val="Compact"/>
            </w:pPr>
            <w:r>
              <w:t xml:space="preserve">0.89 (0.80-0.98)</w:t>
            </w:r>
          </w:p>
        </w:tc>
        <w:tc>
          <w:tcPr/>
          <w:p>
            <w:pPr>
              <w:pStyle w:val="Compact"/>
            </w:pPr>
            <w:r>
              <w:t xml:space="preserve">0.020</w:t>
            </w:r>
          </w:p>
        </w:tc>
      </w:tr>
      <w:tr>
        <w:tc>
          <w:tcPr/>
          <w:p>
            <w:pPr>
              <w:pStyle w:val="Compact"/>
            </w:pPr>
            <w:r>
              <w:t xml:space="preserve">Specialty: Urology</w:t>
            </w:r>
          </w:p>
        </w:tc>
        <w:tc>
          <w:tcPr/>
          <w:p>
            <w:pPr>
              <w:pStyle w:val="Compact"/>
            </w:pPr>
            <w:r>
              <w:t xml:space="preserve">0.69 (0.57-0.83)</w:t>
            </w:r>
          </w:p>
        </w:tc>
        <w:tc>
          <w:tcPr/>
          <w:p>
            <w:pPr>
              <w:pStyle w:val="Compact"/>
            </w:pPr>
            <w:r>
              <w:t xml:space="preserve">n/a</w:t>
            </w:r>
          </w:p>
        </w:tc>
      </w:tr>
      <w:tr>
        <w:tc>
          <w:tcPr/>
          <w:p>
            <w:pPr>
              <w:pStyle w:val="Compact"/>
            </w:pPr>
            <w:r>
              <w:t xml:space="preserve">Specialty: URPS (urology)</w:t>
            </w:r>
          </w:p>
        </w:tc>
        <w:tc>
          <w:tcPr/>
          <w:p>
            <w:pPr>
              <w:pStyle w:val="Compact"/>
            </w:pPr>
            <w:r>
              <w:t xml:space="preserve">0.75 (0.68-0.83)</w:t>
            </w:r>
          </w:p>
        </w:tc>
        <w:tc>
          <w:tcPr/>
          <w:p>
            <w:pPr>
              <w:pStyle w:val="Compact"/>
            </w:pPr>
            <w:r>
              <w:t xml:space="preserve">n/a</w:t>
            </w:r>
          </w:p>
        </w:tc>
      </w:tr>
      <w:tr>
        <w:tc>
          <w:tcPr/>
          <w:p>
            <w:pPr>
              <w:pStyle w:val="Compact"/>
            </w:pPr>
            <w:r>
              <w:t xml:space="preserve">year_c</w:t>
            </w:r>
          </w:p>
        </w:tc>
        <w:tc>
          <w:tcPr/>
          <w:p>
            <w:pPr>
              <w:pStyle w:val="Compact"/>
            </w:pPr>
            <w:r>
              <w:t xml:space="preserve">1.00 (0.99-1.01)</w:t>
            </w:r>
          </w:p>
        </w:tc>
        <w:tc>
          <w:tcPr/>
          <w:p>
            <w:pPr>
              <w:pStyle w:val="Compact"/>
            </w:pPr>
            <w:r>
              <w:t xml:space="preserve">0.850</w:t>
            </w:r>
          </w:p>
        </w:tc>
      </w:tr>
      <w:tr>
        <w:tc>
          <w:tcPr/>
          <w:p>
            <w:pPr>
              <w:pStyle w:val="Compact"/>
            </w:pPr>
            <w:r>
              <w:t xml:space="preserve">Specialty: General OB/GYN:year_c</w:t>
            </w:r>
          </w:p>
        </w:tc>
        <w:tc>
          <w:tcPr/>
          <w:p>
            <w:pPr>
              <w:pStyle w:val="Compact"/>
            </w:pPr>
            <w:r>
              <w:t xml:space="preserve">1.00 (0.97-1.02)</w:t>
            </w:r>
          </w:p>
        </w:tc>
        <w:tc>
          <w:tcPr/>
          <w:p>
            <w:pPr>
              <w:pStyle w:val="Compact"/>
            </w:pPr>
            <w:r>
              <w:t xml:space="preserve">0.900</w:t>
            </w:r>
          </w:p>
        </w:tc>
      </w:tr>
      <w:tr>
        <w:tc>
          <w:tcPr/>
          <w:p>
            <w:pPr>
              <w:pStyle w:val="Compact"/>
            </w:pPr>
            <w:r>
              <w:t xml:space="preserve">Specialty: MIGS:year_c</w:t>
            </w:r>
          </w:p>
        </w:tc>
        <w:tc>
          <w:tcPr/>
          <w:p>
            <w:pPr>
              <w:pStyle w:val="Compact"/>
            </w:pPr>
            <w:r>
              <w:t xml:space="preserve">1.08 (1.02-1.14)</w:t>
            </w:r>
          </w:p>
        </w:tc>
        <w:tc>
          <w:tcPr/>
          <w:p>
            <w:pPr>
              <w:pStyle w:val="Compact"/>
            </w:pPr>
            <w:r>
              <w:t xml:space="preserve">0.006</w:t>
            </w:r>
          </w:p>
        </w:tc>
      </w:tr>
      <w:tr>
        <w:tc>
          <w:tcPr/>
          <w:p>
            <w:pPr>
              <w:pStyle w:val="Compact"/>
            </w:pPr>
            <w:r>
              <w:t xml:space="preserve">Specialty: Other/uncertain:year_c</w:t>
            </w:r>
          </w:p>
        </w:tc>
        <w:tc>
          <w:tcPr/>
          <w:p>
            <w:pPr>
              <w:pStyle w:val="Compact"/>
            </w:pPr>
            <w:r>
              <w:t xml:space="preserve">0.99 (0.95-1.03)</w:t>
            </w:r>
          </w:p>
        </w:tc>
        <w:tc>
          <w:tcPr/>
          <w:p>
            <w:pPr>
              <w:pStyle w:val="Compact"/>
            </w:pPr>
            <w:r>
              <w:t xml:space="preserve">0.550</w:t>
            </w:r>
          </w:p>
        </w:tc>
      </w:tr>
      <w:tr>
        <w:tc>
          <w:tcPr/>
          <w:p>
            <w:pPr>
              <w:pStyle w:val="Compact"/>
            </w:pPr>
            <w:r>
              <w:t xml:space="preserve">Specialty: Urology:year_c</w:t>
            </w:r>
          </w:p>
        </w:tc>
        <w:tc>
          <w:tcPr/>
          <w:p>
            <w:pPr>
              <w:pStyle w:val="Compact"/>
            </w:pPr>
            <w:r>
              <w:t xml:space="preserve">0.99 (0.97-1.01)</w:t>
            </w:r>
          </w:p>
        </w:tc>
        <w:tc>
          <w:tcPr/>
          <w:p>
            <w:pPr>
              <w:pStyle w:val="Compact"/>
            </w:pPr>
            <w:r>
              <w:t xml:space="preserve">0.230</w:t>
            </w:r>
          </w:p>
        </w:tc>
      </w:tr>
      <w:tr>
        <w:tc>
          <w:tcPr/>
          <w:p>
            <w:pPr>
              <w:pStyle w:val="Compact"/>
            </w:pPr>
            <w:r>
              <w:t xml:space="preserve">Specialty: URPS (urology):year_c</w:t>
            </w:r>
          </w:p>
        </w:tc>
        <w:tc>
          <w:tcPr/>
          <w:p>
            <w:pPr>
              <w:pStyle w:val="Compact"/>
            </w:pPr>
            <w:r>
              <w:t xml:space="preserve">0.99 (0.97-1.01)</w:t>
            </w:r>
          </w:p>
        </w:tc>
        <w:tc>
          <w:tcPr/>
          <w:p>
            <w:pPr>
              <w:pStyle w:val="Compact"/>
            </w:pPr>
            <w:r>
              <w:t xml:space="preserve">0.210</w:t>
            </w:r>
          </w:p>
        </w:tc>
      </w:tr>
    </w:tbl>
    <w:p>
      <w:pPr>
        <w:pStyle w:val="BodyText"/>
      </w:pPr>
      <w:r>
        <w:rPr>
          <w:b/>
          <w:bCs/>
        </w:rPr>
        <w:t xml:space="preserve">Supplementary Table S5.</w:t>
      </w:r>
      <w:r>
        <w:t xml:space="preserve"> </w:t>
      </w:r>
      <w:r>
        <w:t xml:space="preserve">Per-physician volume comparisons (one median value per physician), Kruskal-Wallis and pairwise Wilcoxon tests with Bonferroni correction.</w:t>
      </w:r>
    </w:p>
    <w:tbl>
      <w:tblPr>
        <w:tblStyle w:val="Table"/>
        <w:tblW w:type="pct" w:w="5000"/>
        <w:tblLayout w:type="fixed"/>
        <w:tblLook w:firstRow="1" w:lastRow="0" w:firstColumn="0" w:lastColumn="0" w:noHBand="0" w:noVBand="0" w:val="0020"/>
      </w:tblPr>
      <w:tblGrid>
        <w:gridCol w:w="5960"/>
        <w:gridCol w:w="898"/>
        <w:gridCol w:w="326"/>
        <w:gridCol w:w="734"/>
      </w:tblGrid>
      <w:tr>
        <w:trPr>
          <w:tblHeader w:val="on"/>
        </w:trPr>
        <w:tc>
          <w:tcPr/>
          <w:p>
            <w:pPr>
              <w:pStyle w:val="Compact"/>
            </w:pPr>
            <w:r>
              <w:t xml:space="preserve">Test</w:t>
            </w:r>
          </w:p>
        </w:tc>
        <w:tc>
          <w:tcPr/>
          <w:p>
            <w:pPr>
              <w:pStyle w:val="Compact"/>
            </w:pPr>
            <w:r>
              <w:t xml:space="preserve">Statistic</w:t>
            </w:r>
          </w:p>
        </w:tc>
        <w:tc>
          <w:tcPr/>
          <w:p>
            <w:pPr>
              <w:pStyle w:val="Compact"/>
            </w:pPr>
            <w:r>
              <w:t xml:space="preserve">df</w:t>
            </w:r>
          </w:p>
        </w:tc>
        <w:tc>
          <w:tcPr/>
          <w:p>
            <w:pPr>
              <w:pStyle w:val="Compact"/>
            </w:pPr>
            <w:r>
              <w:t xml:space="preserve">p-value</w:t>
            </w:r>
          </w:p>
        </w:tc>
      </w:tr>
      <w:tr>
        <w:tc>
          <w:tcPr/>
          <w:p>
            <w:pPr>
              <w:pStyle w:val="Compact"/>
            </w:pPr>
            <w:r>
              <w:t xml:space="preserve">Kruskal-Wallis: per-physician median volume across specialties</w:t>
            </w:r>
          </w:p>
        </w:tc>
        <w:tc>
          <w:tcPr/>
          <w:p>
            <w:pPr>
              <w:pStyle w:val="Compact"/>
            </w:pPr>
            <w:r>
              <w:t xml:space="preserve">97.35</w:t>
            </w:r>
          </w:p>
        </w:tc>
        <w:tc>
          <w:tcPr/>
          <w:p>
            <w:pPr>
              <w:pStyle w:val="Compact"/>
            </w:pPr>
            <w:r>
              <w:t xml:space="preserve">5</w:t>
            </w:r>
          </w:p>
        </w:tc>
        <w:tc>
          <w:tcPr/>
          <w:p>
            <w:pPr>
              <w:pStyle w:val="Compact"/>
            </w:pPr>
            <w:r>
              <w:t xml:space="preserve">&lt;0.001</w:t>
            </w:r>
          </w:p>
        </w:tc>
      </w:tr>
      <w:tr>
        <w:tc>
          <w:tcPr/>
          <w:p>
            <w:pPr>
              <w:pStyle w:val="Compact"/>
            </w:pPr>
            <w:r>
              <w:t xml:space="preserve">Wilcoxon (per-physician, bonferroni): MIGS vs General OB/GYN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Other/uncertain vs General OB/GYN</w:t>
            </w:r>
          </w:p>
        </w:tc>
        <w:tc>
          <w:tcPr/>
          <w:p>
            <w:pPr>
              <w:pStyle w:val="Compact"/>
            </w:pPr>
            <w:r>
              <w:t xml:space="preserve">n/a</w:t>
            </w:r>
          </w:p>
        </w:tc>
        <w:tc>
          <w:tcPr/>
          <w:p>
            <w:pPr>
              <w:pStyle w:val="Compact"/>
            </w:pPr>
            <w:r>
              <w:t xml:space="preserve">NA</w:t>
            </w:r>
          </w:p>
        </w:tc>
        <w:tc>
          <w:tcPr/>
          <w:p>
            <w:pPr>
              <w:pStyle w:val="Compact"/>
            </w:pPr>
            <w:r>
              <w:t xml:space="preserve">0.002</w:t>
            </w:r>
          </w:p>
        </w:tc>
      </w:tr>
      <w:tr>
        <w:tc>
          <w:tcPr/>
          <w:p>
            <w:pPr>
              <w:pStyle w:val="Compact"/>
            </w:pPr>
            <w:r>
              <w:t xml:space="preserve">Wilcoxon (per-physician, bonferroni): Other/uncertain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Urology vs General OB/GYN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Urology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Urology vs Other/uncertain</w:t>
            </w:r>
          </w:p>
        </w:tc>
        <w:tc>
          <w:tcPr/>
          <w:p>
            <w:pPr>
              <w:pStyle w:val="Compact"/>
            </w:pPr>
            <w:r>
              <w:t xml:space="preserve">n/a</w:t>
            </w:r>
          </w:p>
        </w:tc>
        <w:tc>
          <w:tcPr/>
          <w:p>
            <w:pPr>
              <w:pStyle w:val="Compact"/>
            </w:pPr>
            <w:r>
              <w:t xml:space="preserve">NA</w:t>
            </w:r>
          </w:p>
        </w:tc>
        <w:tc>
          <w:tcPr/>
          <w:p>
            <w:pPr>
              <w:pStyle w:val="Compact"/>
            </w:pPr>
            <w:r>
              <w:t xml:space="preserve">&lt;0.001</w:t>
            </w:r>
          </w:p>
        </w:tc>
      </w:tr>
      <w:tr>
        <w:tc>
          <w:tcPr/>
          <w:p>
            <w:pPr>
              <w:pStyle w:val="Compact"/>
            </w:pPr>
            <w:r>
              <w:t xml:space="preserve">Wilcoxon (per-physician, bonferroni): URPS (OB/GYN) vs General OB/GYN</w:t>
            </w:r>
          </w:p>
        </w:tc>
        <w:tc>
          <w:tcPr/>
          <w:p>
            <w:pPr>
              <w:pStyle w:val="Compact"/>
            </w:pPr>
            <w:r>
              <w:t xml:space="preserve">n/a</w:t>
            </w:r>
          </w:p>
        </w:tc>
        <w:tc>
          <w:tcPr/>
          <w:p>
            <w:pPr>
              <w:pStyle w:val="Compact"/>
            </w:pPr>
            <w:r>
              <w:t xml:space="preserve">NA</w:t>
            </w:r>
          </w:p>
        </w:tc>
        <w:tc>
          <w:tcPr/>
          <w:p>
            <w:pPr>
              <w:pStyle w:val="Compact"/>
            </w:pPr>
            <w:r>
              <w:t xml:space="preserve">&lt;0.001</w:t>
            </w:r>
          </w:p>
        </w:tc>
      </w:tr>
      <w:tr>
        <w:tc>
          <w:tcPr/>
          <w:p>
            <w:pPr>
              <w:pStyle w:val="Compact"/>
            </w:pPr>
            <w:r>
              <w:t xml:space="preserve">Wilcoxon (per-physician, bonferroni): URPS (OB/GYN)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(OB/GYN) vs Other/uncertain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(OB/GYN) vs Urology</w:t>
            </w:r>
          </w:p>
        </w:tc>
        <w:tc>
          <w:tcPr/>
          <w:p>
            <w:pPr>
              <w:pStyle w:val="Compact"/>
            </w:pPr>
            <w:r>
              <w:t xml:space="preserve">n/a</w:t>
            </w:r>
          </w:p>
        </w:tc>
        <w:tc>
          <w:tcPr/>
          <w:p>
            <w:pPr>
              <w:pStyle w:val="Compact"/>
            </w:pPr>
            <w:r>
              <w:t xml:space="preserve">NA</w:t>
            </w:r>
          </w:p>
        </w:tc>
        <w:tc>
          <w:tcPr/>
          <w:p>
            <w:pPr>
              <w:pStyle w:val="Compact"/>
            </w:pPr>
            <w:r>
              <w:t xml:space="preserve">&lt;0.001</w:t>
            </w:r>
          </w:p>
        </w:tc>
      </w:tr>
      <w:tr>
        <w:tc>
          <w:tcPr/>
          <w:p>
            <w:pPr>
              <w:pStyle w:val="Compact"/>
            </w:pPr>
            <w:r>
              <w:t xml:space="preserve">Wilcoxon (per-physician, bonferroni): URPS (urology) vs General OB/GYN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(urology)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(urology) vs Other/uncertain</w:t>
            </w:r>
          </w:p>
        </w:tc>
        <w:tc>
          <w:tcPr/>
          <w:p>
            <w:pPr>
              <w:pStyle w:val="Compact"/>
            </w:pPr>
            <w:r>
              <w:t xml:space="preserve">n/a</w:t>
            </w:r>
          </w:p>
        </w:tc>
        <w:tc>
          <w:tcPr/>
          <w:p>
            <w:pPr>
              <w:pStyle w:val="Compact"/>
            </w:pPr>
            <w:r>
              <w:t xml:space="preserve">NA</w:t>
            </w:r>
          </w:p>
        </w:tc>
        <w:tc>
          <w:tcPr/>
          <w:p>
            <w:pPr>
              <w:pStyle w:val="Compact"/>
            </w:pPr>
            <w:r>
              <w:t xml:space="preserve">0.76</w:t>
            </w:r>
          </w:p>
        </w:tc>
      </w:tr>
      <w:tr>
        <w:tc>
          <w:tcPr/>
          <w:p>
            <w:pPr>
              <w:pStyle w:val="Compact"/>
            </w:pPr>
            <w:r>
              <w:t xml:space="preserve">Wilcoxon (per-physician, bonferroni): URPS (urology) vs Urology</w:t>
            </w:r>
          </w:p>
        </w:tc>
        <w:tc>
          <w:tcPr/>
          <w:p>
            <w:pPr>
              <w:pStyle w:val="Compact"/>
            </w:pPr>
            <w:r>
              <w:t xml:space="preserve">n/a</w:t>
            </w:r>
          </w:p>
        </w:tc>
        <w:tc>
          <w:tcPr/>
          <w:p>
            <w:pPr>
              <w:pStyle w:val="Compact"/>
            </w:pPr>
            <w:r>
              <w:t xml:space="preserve">NA</w:t>
            </w:r>
          </w:p>
        </w:tc>
        <w:tc>
          <w:tcPr/>
          <w:p>
            <w:pPr>
              <w:pStyle w:val="Compact"/>
            </w:pPr>
            <w:r>
              <w:t xml:space="preserve">0.86</w:t>
            </w:r>
          </w:p>
        </w:tc>
      </w:tr>
      <w:tr>
        <w:tc>
          <w:tcPr/>
          <w:p>
            <w:pPr>
              <w:pStyle w:val="Compact"/>
            </w:pPr>
            <w:r>
              <w:t xml:space="preserve">Wilcoxon (per-physician, bonferroni): URPS (urology) vs URPS (OB/GYN)</w:t>
            </w:r>
          </w:p>
        </w:tc>
        <w:tc>
          <w:tcPr/>
          <w:p>
            <w:pPr>
              <w:pStyle w:val="Compact"/>
            </w:pPr>
            <w:r>
              <w:t xml:space="preserve">n/a</w:t>
            </w:r>
          </w:p>
        </w:tc>
        <w:tc>
          <w:tcPr/>
          <w:p>
            <w:pPr>
              <w:pStyle w:val="Compact"/>
            </w:pPr>
            <w:r>
              <w:t xml:space="preserve">NA</w:t>
            </w:r>
          </w:p>
        </w:tc>
        <w:tc>
          <w:tcPr/>
          <w:p>
            <w:pPr>
              <w:pStyle w:val="Compact"/>
            </w:pPr>
            <w:r>
              <w:t xml:space="preserve">&lt;0.001</w:t>
            </w:r>
          </w:p>
        </w:tc>
      </w:tr>
    </w:tbl>
    <w:p>
      <w:pPr>
        <w:pStyle w:val="BodyText"/>
      </w:pPr>
      <w:r>
        <w:rPr>
          <w:b/>
          <w:bCs/>
        </w:rPr>
        <w:t xml:space="preserve">Supplementary Table S6a.</w:t>
      </w:r>
      <w:r>
        <w:t xml:space="preserve"> </w:t>
      </w:r>
      <w:r>
        <w:t xml:space="preserve">Specialty distribution under alternative classification schemes (time-varying, modal, ever-URPS/MIGS, certification-gated).</w:t>
      </w:r>
    </w:p>
    <w:tbl>
      <w:tblPr>
        <w:tblStyle w:val="Table"/>
        <w:tblW w:type="pct" w:w="5000"/>
        <w:tblLayout w:type="fixed"/>
        <w:tblLook w:firstRow="1" w:lastRow="0" w:firstColumn="0" w:lastColumn="0" w:noHBand="0" w:noVBand="0" w:val="0020"/>
      </w:tblPr>
      <w:tblGrid>
        <w:gridCol w:w="3717"/>
        <w:gridCol w:w="1373"/>
        <w:gridCol w:w="1050"/>
        <w:gridCol w:w="969"/>
        <w:gridCol w:w="808"/>
      </w:tblGrid>
      <w:tr>
        <w:trPr>
          <w:tblHeader w:val="on"/>
        </w:trPr>
        <w:tc>
          <w:tcPr/>
          <w:p>
            <w:pPr>
              <w:pStyle w:val="Compact"/>
            </w:pPr>
            <w:r>
              <w:t xml:space="preserve">Scheme</w:t>
            </w:r>
          </w:p>
        </w:tc>
        <w:tc>
          <w:tcPr/>
          <w:p>
            <w:pPr>
              <w:pStyle w:val="Compact"/>
            </w:pPr>
            <w:r>
              <w:t xml:space="preserve">Specialty</w:t>
            </w:r>
          </w:p>
        </w:tc>
        <w:tc>
          <w:tcPr/>
          <w:p>
            <w:pPr>
              <w:pStyle w:val="Compact"/>
            </w:pPr>
            <w:r>
              <w:t xml:space="preserve">N providers</w:t>
            </w:r>
          </w:p>
        </w:tc>
        <w:tc>
          <w:tcPr/>
          <w:p>
            <w:pPr>
              <w:pStyle w:val="Compact"/>
            </w:pPr>
            <w:r>
              <w:t xml:space="preserve">Procedures</w:t>
            </w:r>
          </w:p>
        </w:tc>
        <w:tc>
          <w:tcPr/>
          <w:p>
            <w:pPr>
              <w:pStyle w:val="Compact"/>
            </w:pPr>
            <w:r>
              <w:t xml:space="preserve">% of all</w:t>
            </w:r>
          </w:p>
        </w:tc>
      </w:tr>
      <w:tr>
        <w:tc>
          <w:tcPr/>
          <w:p>
            <w:pPr>
              <w:pStyle w:val="Compact"/>
            </w:pPr>
            <w:r>
              <w:t xml:space="preserve">Time-varying (per physician-year)</w:t>
            </w:r>
          </w:p>
        </w:tc>
        <w:tc>
          <w:tcPr/>
          <w:p>
            <w:pPr>
              <w:pStyle w:val="Compact"/>
            </w:pPr>
            <w:r>
              <w:t xml:space="preserve">General OB/GYN</w:t>
            </w:r>
          </w:p>
        </w:tc>
        <w:tc>
          <w:tcPr/>
          <w:p>
            <w:pPr>
              <w:pStyle w:val="Compact"/>
            </w:pPr>
            <w:r>
              <w:t xml:space="preserve">336</w:t>
            </w:r>
          </w:p>
        </w:tc>
        <w:tc>
          <w:tcPr/>
          <w:p>
            <w:pPr>
              <w:pStyle w:val="Compact"/>
            </w:pPr>
            <w:r>
              <w:t xml:space="preserve">18316</w:t>
            </w:r>
          </w:p>
        </w:tc>
        <w:tc>
          <w:tcPr/>
          <w:p>
            <w:pPr>
              <w:pStyle w:val="Compact"/>
            </w:pPr>
            <w:r>
              <w:t xml:space="preserve">13.0%</w:t>
            </w:r>
          </w:p>
        </w:tc>
      </w:tr>
      <w:tr>
        <w:tc>
          <w:tcPr/>
          <w:p>
            <w:pPr>
              <w:pStyle w:val="Compact"/>
            </w:pPr>
            <w:r>
              <w:t xml:space="preserve">Time-varying (per physician-year)</w:t>
            </w:r>
          </w:p>
        </w:tc>
        <w:tc>
          <w:tcPr/>
          <w:p>
            <w:pPr>
              <w:pStyle w:val="Compact"/>
            </w:pPr>
            <w:r>
              <w:t xml:space="preserve">MIGS</w:t>
            </w:r>
          </w:p>
        </w:tc>
        <w:tc>
          <w:tcPr/>
          <w:p>
            <w:pPr>
              <w:pStyle w:val="Compact"/>
            </w:pPr>
            <w:r>
              <w:t xml:space="preserve">10</w:t>
            </w:r>
          </w:p>
        </w:tc>
        <w:tc>
          <w:tcPr/>
          <w:p>
            <w:pPr>
              <w:pStyle w:val="Compact"/>
            </w:pPr>
            <w:r>
              <w:t xml:space="preserve">941</w:t>
            </w:r>
          </w:p>
        </w:tc>
        <w:tc>
          <w:tcPr/>
          <w:p>
            <w:pPr>
              <w:pStyle w:val="Compact"/>
            </w:pPr>
            <w:r>
              <w:t xml:space="preserve">0.7%</w:t>
            </w:r>
          </w:p>
        </w:tc>
      </w:tr>
      <w:tr>
        <w:tc>
          <w:tcPr/>
          <w:p>
            <w:pPr>
              <w:pStyle w:val="Compact"/>
            </w:pPr>
            <w:r>
              <w:t xml:space="preserve">Time-varying (per physician-year)</w:t>
            </w:r>
          </w:p>
        </w:tc>
        <w:tc>
          <w:tcPr/>
          <w:p>
            <w:pPr>
              <w:pStyle w:val="Compact"/>
            </w:pPr>
            <w:r>
              <w:t xml:space="preserve">Other/uncertain</w:t>
            </w:r>
          </w:p>
        </w:tc>
        <w:tc>
          <w:tcPr/>
          <w:p>
            <w:pPr>
              <w:pStyle w:val="Compact"/>
            </w:pPr>
            <w:r>
              <w:t xml:space="preserve">200</w:t>
            </w:r>
          </w:p>
        </w:tc>
        <w:tc>
          <w:tcPr/>
          <w:p>
            <w:pPr>
              <w:pStyle w:val="Compact"/>
            </w:pPr>
            <w:r>
              <w:t xml:space="preserve">11504</w:t>
            </w:r>
          </w:p>
        </w:tc>
        <w:tc>
          <w:tcPr/>
          <w:p>
            <w:pPr>
              <w:pStyle w:val="Compact"/>
            </w:pPr>
            <w:r>
              <w:t xml:space="preserve">8.2%</w:t>
            </w:r>
          </w:p>
        </w:tc>
      </w:tr>
      <w:tr>
        <w:tc>
          <w:tcPr/>
          <w:p>
            <w:pPr>
              <w:pStyle w:val="Compact"/>
            </w:pPr>
            <w:r>
              <w:t xml:space="preserve">Time-varying (per physician-year)</w:t>
            </w:r>
          </w:p>
        </w:tc>
        <w:tc>
          <w:tcPr/>
          <w:p>
            <w:pPr>
              <w:pStyle w:val="Compact"/>
            </w:pPr>
            <w:r>
              <w:t xml:space="preserve">URPS</w:t>
            </w:r>
          </w:p>
        </w:tc>
        <w:tc>
          <w:tcPr/>
          <w:p>
            <w:pPr>
              <w:pStyle w:val="Compact"/>
            </w:pPr>
            <w:r>
              <w:t xml:space="preserve">767</w:t>
            </w:r>
          </w:p>
        </w:tc>
        <w:tc>
          <w:tcPr/>
          <w:p>
            <w:pPr>
              <w:pStyle w:val="Compact"/>
            </w:pPr>
            <w:r>
              <w:t xml:space="preserve">89773</w:t>
            </w:r>
          </w:p>
        </w:tc>
        <w:tc>
          <w:tcPr/>
          <w:p>
            <w:pPr>
              <w:pStyle w:val="Compact"/>
            </w:pPr>
            <w:r>
              <w:t xml:space="preserve">63.7%</w:t>
            </w:r>
          </w:p>
        </w:tc>
      </w:tr>
      <w:tr>
        <w:tc>
          <w:tcPr/>
          <w:p>
            <w:pPr>
              <w:pStyle w:val="Compact"/>
            </w:pPr>
            <w:r>
              <w:t xml:space="preserve">Time-varying (per physician-year)</w:t>
            </w:r>
          </w:p>
        </w:tc>
        <w:tc>
          <w:tcPr/>
          <w:p>
            <w:pPr>
              <w:pStyle w:val="Compact"/>
            </w:pPr>
            <w:r>
              <w:t xml:space="preserve">Urology</w:t>
            </w:r>
          </w:p>
        </w:tc>
        <w:tc>
          <w:tcPr/>
          <w:p>
            <w:pPr>
              <w:pStyle w:val="Compact"/>
            </w:pPr>
            <w:r>
              <w:t xml:space="preserve">366</w:t>
            </w:r>
          </w:p>
        </w:tc>
        <w:tc>
          <w:tcPr/>
          <w:p>
            <w:pPr>
              <w:pStyle w:val="Compact"/>
            </w:pPr>
            <w:r>
              <w:t xml:space="preserve">20475</w:t>
            </w:r>
          </w:p>
        </w:tc>
        <w:tc>
          <w:tcPr/>
          <w:p>
            <w:pPr>
              <w:pStyle w:val="Compact"/>
            </w:pPr>
            <w:r>
              <w:t xml:space="preserve">14.5%</w:t>
            </w:r>
          </w:p>
        </w:tc>
      </w:tr>
      <w:tr>
        <w:tc>
          <w:tcPr/>
          <w:p>
            <w:pPr>
              <w:pStyle w:val="Compact"/>
            </w:pPr>
            <w:r>
              <w:t xml:space="preserve">Modal (single most-frequent specialty)</w:t>
            </w:r>
          </w:p>
        </w:tc>
        <w:tc>
          <w:tcPr/>
          <w:p>
            <w:pPr>
              <w:pStyle w:val="Compact"/>
            </w:pPr>
            <w:r>
              <w:t xml:space="preserve">General OB/GYN</w:t>
            </w:r>
          </w:p>
        </w:tc>
        <w:tc>
          <w:tcPr/>
          <w:p>
            <w:pPr>
              <w:pStyle w:val="Compact"/>
            </w:pPr>
            <w:r>
              <w:t xml:space="preserve">332</w:t>
            </w:r>
          </w:p>
        </w:tc>
        <w:tc>
          <w:tcPr/>
          <w:p>
            <w:pPr>
              <w:pStyle w:val="Compact"/>
            </w:pPr>
            <w:r>
              <w:t xml:space="preserve">18287</w:t>
            </w:r>
          </w:p>
        </w:tc>
        <w:tc>
          <w:tcPr/>
          <w:p>
            <w:pPr>
              <w:pStyle w:val="Compact"/>
            </w:pPr>
            <w:r>
              <w:t xml:space="preserve">13.0%</w:t>
            </w:r>
          </w:p>
        </w:tc>
      </w:tr>
      <w:tr>
        <w:tc>
          <w:tcPr/>
          <w:p>
            <w:pPr>
              <w:pStyle w:val="Compact"/>
            </w:pPr>
            <w:r>
              <w:t xml:space="preserve">Modal (single most-frequent specialty)</w:t>
            </w:r>
          </w:p>
        </w:tc>
        <w:tc>
          <w:tcPr/>
          <w:p>
            <w:pPr>
              <w:pStyle w:val="Compact"/>
            </w:pPr>
            <w:r>
              <w:t xml:space="preserve">MIGS</w:t>
            </w:r>
          </w:p>
        </w:tc>
        <w:tc>
          <w:tcPr/>
          <w:p>
            <w:pPr>
              <w:pStyle w:val="Compact"/>
            </w:pPr>
            <w:r>
              <w:t xml:space="preserve">10</w:t>
            </w:r>
          </w:p>
        </w:tc>
        <w:tc>
          <w:tcPr/>
          <w:p>
            <w:pPr>
              <w:pStyle w:val="Compact"/>
            </w:pPr>
            <w:r>
              <w:t xml:space="preserve">941</w:t>
            </w:r>
          </w:p>
        </w:tc>
        <w:tc>
          <w:tcPr/>
          <w:p>
            <w:pPr>
              <w:pStyle w:val="Compact"/>
            </w:pPr>
            <w:r>
              <w:t xml:space="preserve">0.7%</w:t>
            </w:r>
          </w:p>
        </w:tc>
      </w:tr>
      <w:tr>
        <w:tc>
          <w:tcPr/>
          <w:p>
            <w:pPr>
              <w:pStyle w:val="Compact"/>
            </w:pPr>
            <w:r>
              <w:t xml:space="preserve">Modal (single most-frequent specialty)</w:t>
            </w:r>
          </w:p>
        </w:tc>
        <w:tc>
          <w:tcPr/>
          <w:p>
            <w:pPr>
              <w:pStyle w:val="Compact"/>
            </w:pPr>
            <w:r>
              <w:t xml:space="preserve">Other/uncertain</w:t>
            </w:r>
          </w:p>
        </w:tc>
        <w:tc>
          <w:tcPr/>
          <w:p>
            <w:pPr>
              <w:pStyle w:val="Compact"/>
            </w:pPr>
            <w:r>
              <w:t xml:space="preserve">200</w:t>
            </w:r>
          </w:p>
        </w:tc>
        <w:tc>
          <w:tcPr/>
          <w:p>
            <w:pPr>
              <w:pStyle w:val="Compact"/>
            </w:pPr>
            <w:r>
              <w:t xml:space="preserve">11504</w:t>
            </w:r>
          </w:p>
        </w:tc>
        <w:tc>
          <w:tcPr/>
          <w:p>
            <w:pPr>
              <w:pStyle w:val="Compact"/>
            </w:pPr>
            <w:r>
              <w:t xml:space="preserve">8.2%</w:t>
            </w:r>
          </w:p>
        </w:tc>
      </w:tr>
      <w:tr>
        <w:tc>
          <w:tcPr/>
          <w:p>
            <w:pPr>
              <w:pStyle w:val="Compact"/>
            </w:pPr>
            <w:r>
              <w:t xml:space="preserve">Modal (single most-frequent specialty)</w:t>
            </w:r>
          </w:p>
        </w:tc>
        <w:tc>
          <w:tcPr/>
          <w:p>
            <w:pPr>
              <w:pStyle w:val="Compact"/>
            </w:pPr>
            <w:r>
              <w:t xml:space="preserve">URPS</w:t>
            </w:r>
          </w:p>
        </w:tc>
        <w:tc>
          <w:tcPr/>
          <w:p>
            <w:pPr>
              <w:pStyle w:val="Compact"/>
            </w:pPr>
            <w:r>
              <w:t xml:space="preserve">766</w:t>
            </w:r>
          </w:p>
        </w:tc>
        <w:tc>
          <w:tcPr/>
          <w:p>
            <w:pPr>
              <w:pStyle w:val="Compact"/>
            </w:pPr>
            <w:r>
              <w:t xml:space="preserve">90107</w:t>
            </w:r>
          </w:p>
        </w:tc>
        <w:tc>
          <w:tcPr/>
          <w:p>
            <w:pPr>
              <w:pStyle w:val="Compact"/>
            </w:pPr>
            <w:r>
              <w:t xml:space="preserve">63.9%</w:t>
            </w:r>
          </w:p>
        </w:tc>
      </w:tr>
      <w:tr>
        <w:tc>
          <w:tcPr/>
          <w:p>
            <w:pPr>
              <w:pStyle w:val="Compact"/>
            </w:pPr>
            <w:r>
              <w:t xml:space="preserve">Modal (single most-frequent specialty)</w:t>
            </w:r>
          </w:p>
        </w:tc>
        <w:tc>
          <w:tcPr/>
          <w:p>
            <w:pPr>
              <w:pStyle w:val="Compact"/>
            </w:pPr>
            <w:r>
              <w:t xml:space="preserve">Urology</w:t>
            </w:r>
          </w:p>
        </w:tc>
        <w:tc>
          <w:tcPr/>
          <w:p>
            <w:pPr>
              <w:pStyle w:val="Compact"/>
            </w:pPr>
            <w:r>
              <w:t xml:space="preserve">358</w:t>
            </w:r>
          </w:p>
        </w:tc>
        <w:tc>
          <w:tcPr/>
          <w:p>
            <w:pPr>
              <w:pStyle w:val="Compact"/>
            </w:pPr>
            <w:r>
              <w:t xml:space="preserve">20170</w:t>
            </w:r>
          </w:p>
        </w:tc>
        <w:tc>
          <w:tcPr/>
          <w:p>
            <w:pPr>
              <w:pStyle w:val="Compact"/>
            </w:pPr>
            <w:r>
              <w:t xml:space="preserve">14.3%</w:t>
            </w:r>
          </w:p>
        </w:tc>
      </w:tr>
      <w:tr>
        <w:tc>
          <w:tcPr/>
          <w:p>
            <w:pPr>
              <w:pStyle w:val="Compact"/>
            </w:pPr>
            <w:r>
              <w:t xml:space="preserve">Ever URPS/MIGS</w:t>
            </w:r>
          </w:p>
        </w:tc>
        <w:tc>
          <w:tcPr/>
          <w:p>
            <w:pPr>
              <w:pStyle w:val="Compact"/>
            </w:pPr>
            <w:r>
              <w:t xml:space="preserve">General OB/GYN</w:t>
            </w:r>
          </w:p>
        </w:tc>
        <w:tc>
          <w:tcPr/>
          <w:p>
            <w:pPr>
              <w:pStyle w:val="Compact"/>
            </w:pPr>
            <w:r>
              <w:t xml:space="preserve">332</w:t>
            </w:r>
          </w:p>
        </w:tc>
        <w:tc>
          <w:tcPr/>
          <w:p>
            <w:pPr>
              <w:pStyle w:val="Compact"/>
            </w:pPr>
            <w:r>
              <w:t xml:space="preserve">18287</w:t>
            </w:r>
          </w:p>
        </w:tc>
        <w:tc>
          <w:tcPr/>
          <w:p>
            <w:pPr>
              <w:pStyle w:val="Compact"/>
            </w:pPr>
            <w:r>
              <w:t xml:space="preserve">13.0%</w:t>
            </w:r>
          </w:p>
        </w:tc>
      </w:tr>
      <w:tr>
        <w:tc>
          <w:tcPr/>
          <w:p>
            <w:pPr>
              <w:pStyle w:val="Compact"/>
            </w:pPr>
            <w:r>
              <w:t xml:space="preserve">Ever URPS/MIGS</w:t>
            </w:r>
          </w:p>
        </w:tc>
        <w:tc>
          <w:tcPr/>
          <w:p>
            <w:pPr>
              <w:pStyle w:val="Compact"/>
            </w:pPr>
            <w:r>
              <w:t xml:space="preserve">MIGS</w:t>
            </w:r>
          </w:p>
        </w:tc>
        <w:tc>
          <w:tcPr/>
          <w:p>
            <w:pPr>
              <w:pStyle w:val="Compact"/>
            </w:pPr>
            <w:r>
              <w:t xml:space="preserve">10</w:t>
            </w:r>
          </w:p>
        </w:tc>
        <w:tc>
          <w:tcPr/>
          <w:p>
            <w:pPr>
              <w:pStyle w:val="Compact"/>
            </w:pPr>
            <w:r>
              <w:t xml:space="preserve">941</w:t>
            </w:r>
          </w:p>
        </w:tc>
        <w:tc>
          <w:tcPr/>
          <w:p>
            <w:pPr>
              <w:pStyle w:val="Compact"/>
            </w:pPr>
            <w:r>
              <w:t xml:space="preserve">0.7%</w:t>
            </w:r>
          </w:p>
        </w:tc>
      </w:tr>
      <w:tr>
        <w:tc>
          <w:tcPr/>
          <w:p>
            <w:pPr>
              <w:pStyle w:val="Compact"/>
            </w:pPr>
            <w:r>
              <w:t xml:space="preserve">Ever URPS/MIGS</w:t>
            </w:r>
          </w:p>
        </w:tc>
        <w:tc>
          <w:tcPr/>
          <w:p>
            <w:pPr>
              <w:pStyle w:val="Compact"/>
            </w:pPr>
            <w:r>
              <w:t xml:space="preserve">Other/uncertain</w:t>
            </w:r>
          </w:p>
        </w:tc>
        <w:tc>
          <w:tcPr/>
          <w:p>
            <w:pPr>
              <w:pStyle w:val="Compact"/>
            </w:pPr>
            <w:r>
              <w:t xml:space="preserve">200</w:t>
            </w:r>
          </w:p>
        </w:tc>
        <w:tc>
          <w:tcPr/>
          <w:p>
            <w:pPr>
              <w:pStyle w:val="Compact"/>
            </w:pPr>
            <w:r>
              <w:t xml:space="preserve">11504</w:t>
            </w:r>
          </w:p>
        </w:tc>
        <w:tc>
          <w:tcPr/>
          <w:p>
            <w:pPr>
              <w:pStyle w:val="Compact"/>
            </w:pPr>
            <w:r>
              <w:t xml:space="preserve">8.2%</w:t>
            </w:r>
          </w:p>
        </w:tc>
      </w:tr>
      <w:tr>
        <w:tc>
          <w:tcPr/>
          <w:p>
            <w:pPr>
              <w:pStyle w:val="Compact"/>
            </w:pPr>
            <w:r>
              <w:t xml:space="preserve">Ever URPS/MIGS</w:t>
            </w:r>
          </w:p>
        </w:tc>
        <w:tc>
          <w:tcPr/>
          <w:p>
            <w:pPr>
              <w:pStyle w:val="Compact"/>
            </w:pPr>
            <w:r>
              <w:t xml:space="preserve">URPS</w:t>
            </w:r>
          </w:p>
        </w:tc>
        <w:tc>
          <w:tcPr/>
          <w:p>
            <w:pPr>
              <w:pStyle w:val="Compact"/>
            </w:pPr>
            <w:r>
              <w:t xml:space="preserve">767</w:t>
            </w:r>
          </w:p>
        </w:tc>
        <w:tc>
          <w:tcPr/>
          <w:p>
            <w:pPr>
              <w:pStyle w:val="Compact"/>
            </w:pPr>
            <w:r>
              <w:t xml:space="preserve">90686</w:t>
            </w:r>
          </w:p>
        </w:tc>
        <w:tc>
          <w:tcPr/>
          <w:p>
            <w:pPr>
              <w:pStyle w:val="Compact"/>
            </w:pPr>
            <w:r>
              <w:t xml:space="preserve">64.3%</w:t>
            </w:r>
          </w:p>
        </w:tc>
      </w:tr>
      <w:tr>
        <w:tc>
          <w:tcPr/>
          <w:p>
            <w:pPr>
              <w:pStyle w:val="Compact"/>
            </w:pPr>
            <w:r>
              <w:t xml:space="preserve">Ever URPS/MIGS</w:t>
            </w:r>
          </w:p>
        </w:tc>
        <w:tc>
          <w:tcPr/>
          <w:p>
            <w:pPr>
              <w:pStyle w:val="Compact"/>
            </w:pPr>
            <w:r>
              <w:t xml:space="preserve">Urology</w:t>
            </w:r>
          </w:p>
        </w:tc>
        <w:tc>
          <w:tcPr/>
          <w:p>
            <w:pPr>
              <w:pStyle w:val="Compact"/>
            </w:pPr>
            <w:r>
              <w:t xml:space="preserve">357</w:t>
            </w:r>
          </w:p>
        </w:tc>
        <w:tc>
          <w:tcPr/>
          <w:p>
            <w:pPr>
              <w:pStyle w:val="Compact"/>
            </w:pPr>
            <w:r>
              <w:t xml:space="preserve">19591</w:t>
            </w:r>
          </w:p>
        </w:tc>
        <w:tc>
          <w:tcPr/>
          <w:p>
            <w:pPr>
              <w:pStyle w:val="Compact"/>
            </w:pPr>
            <w:r>
              <w:t xml:space="preserve">13.9%</w:t>
            </w:r>
          </w:p>
        </w:tc>
      </w:tr>
      <w:tr>
        <w:tc>
          <w:tcPr/>
          <w:p>
            <w:pPr>
              <w:pStyle w:val="Compact"/>
            </w:pPr>
            <w:r>
              <w:t xml:space="preserve">Time-varying cert-gated (ABOG sub1startdate)</w:t>
            </w:r>
          </w:p>
        </w:tc>
        <w:tc>
          <w:tcPr/>
          <w:p>
            <w:pPr>
              <w:pStyle w:val="Compact"/>
            </w:pPr>
            <w:r>
              <w:t xml:space="preserve">General OB/GYN</w:t>
            </w:r>
          </w:p>
        </w:tc>
        <w:tc>
          <w:tcPr/>
          <w:p>
            <w:pPr>
              <w:pStyle w:val="Compact"/>
            </w:pPr>
            <w:r>
              <w:t xml:space="preserve">533</w:t>
            </w:r>
          </w:p>
        </w:tc>
        <w:tc>
          <w:tcPr/>
          <w:p>
            <w:pPr>
              <w:pStyle w:val="Compact"/>
            </w:pPr>
            <w:r>
              <w:t xml:space="preserve">27453</w:t>
            </w:r>
          </w:p>
        </w:tc>
        <w:tc>
          <w:tcPr/>
          <w:p>
            <w:pPr>
              <w:pStyle w:val="Compact"/>
            </w:pPr>
            <w:r>
              <w:t xml:space="preserve">19.5%</w:t>
            </w:r>
          </w:p>
        </w:tc>
      </w:tr>
      <w:tr>
        <w:tc>
          <w:tcPr/>
          <w:p>
            <w:pPr>
              <w:pStyle w:val="Compact"/>
            </w:pPr>
            <w:r>
              <w:t xml:space="preserve">Time-varying cert-gated (ABOG sub1startdate)</w:t>
            </w:r>
          </w:p>
        </w:tc>
        <w:tc>
          <w:tcPr/>
          <w:p>
            <w:pPr>
              <w:pStyle w:val="Compact"/>
            </w:pPr>
            <w:r>
              <w:t xml:space="preserve">MIGS</w:t>
            </w:r>
          </w:p>
        </w:tc>
        <w:tc>
          <w:tcPr/>
          <w:p>
            <w:pPr>
              <w:pStyle w:val="Compact"/>
            </w:pPr>
            <w:r>
              <w:t xml:space="preserve">5</w:t>
            </w:r>
          </w:p>
        </w:tc>
        <w:tc>
          <w:tcPr/>
          <w:p>
            <w:pPr>
              <w:pStyle w:val="Compact"/>
            </w:pPr>
            <w:r>
              <w:t xml:space="preserve">201</w:t>
            </w:r>
          </w:p>
        </w:tc>
        <w:tc>
          <w:tcPr/>
          <w:p>
            <w:pPr>
              <w:pStyle w:val="Compact"/>
            </w:pPr>
            <w:r>
              <w:t xml:space="preserve">0.1%</w:t>
            </w:r>
          </w:p>
        </w:tc>
      </w:tr>
      <w:tr>
        <w:tc>
          <w:tcPr/>
          <w:p>
            <w:pPr>
              <w:pStyle w:val="Compact"/>
            </w:pPr>
            <w:r>
              <w:t xml:space="preserve">Time-varying cert-gated (ABOG sub1startdate)</w:t>
            </w:r>
          </w:p>
        </w:tc>
        <w:tc>
          <w:tcPr/>
          <w:p>
            <w:pPr>
              <w:pStyle w:val="Compact"/>
            </w:pPr>
            <w:r>
              <w:t xml:space="preserve">Other/uncertain</w:t>
            </w:r>
          </w:p>
        </w:tc>
        <w:tc>
          <w:tcPr/>
          <w:p>
            <w:pPr>
              <w:pStyle w:val="Compact"/>
            </w:pPr>
            <w:r>
              <w:t xml:space="preserve">200</w:t>
            </w:r>
          </w:p>
        </w:tc>
        <w:tc>
          <w:tcPr/>
          <w:p>
            <w:pPr>
              <w:pStyle w:val="Compact"/>
            </w:pPr>
            <w:r>
              <w:t xml:space="preserve">11492</w:t>
            </w:r>
          </w:p>
        </w:tc>
        <w:tc>
          <w:tcPr/>
          <w:p>
            <w:pPr>
              <w:pStyle w:val="Compact"/>
            </w:pPr>
            <w:r>
              <w:t xml:space="preserve">8.1%</w:t>
            </w:r>
          </w:p>
        </w:tc>
      </w:tr>
      <w:tr>
        <w:tc>
          <w:tcPr/>
          <w:p>
            <w:pPr>
              <w:pStyle w:val="Compact"/>
            </w:pPr>
            <w:r>
              <w:t xml:space="preserve">Time-varying cert-gated (ABOG sub1startdate)</w:t>
            </w:r>
          </w:p>
        </w:tc>
        <w:tc>
          <w:tcPr/>
          <w:p>
            <w:pPr>
              <w:pStyle w:val="Compact"/>
            </w:pPr>
            <w:r>
              <w:t xml:space="preserve">URPS</w:t>
            </w:r>
          </w:p>
        </w:tc>
        <w:tc>
          <w:tcPr/>
          <w:p>
            <w:pPr>
              <w:pStyle w:val="Compact"/>
            </w:pPr>
            <w:r>
              <w:t xml:space="preserve">716</w:t>
            </w:r>
          </w:p>
        </w:tc>
        <w:tc>
          <w:tcPr/>
          <w:p>
            <w:pPr>
              <w:pStyle w:val="Compact"/>
            </w:pPr>
            <w:r>
              <w:t xml:space="preserve">83348</w:t>
            </w:r>
          </w:p>
        </w:tc>
        <w:tc>
          <w:tcPr/>
          <w:p>
            <w:pPr>
              <w:pStyle w:val="Compact"/>
            </w:pPr>
            <w:r>
              <w:t xml:space="preserve">59.1%</w:t>
            </w:r>
          </w:p>
        </w:tc>
      </w:tr>
      <w:tr>
        <w:tc>
          <w:tcPr/>
          <w:p>
            <w:pPr>
              <w:pStyle w:val="Compact"/>
            </w:pPr>
            <w:r>
              <w:t xml:space="preserve">Time-varying cert-gated (ABOG sub1startdate)</w:t>
            </w:r>
          </w:p>
        </w:tc>
        <w:tc>
          <w:tcPr/>
          <w:p>
            <w:pPr>
              <w:pStyle w:val="Compact"/>
            </w:pPr>
            <w:r>
              <w:t xml:space="preserve">Urology</w:t>
            </w:r>
          </w:p>
        </w:tc>
        <w:tc>
          <w:tcPr/>
          <w:p>
            <w:pPr>
              <w:pStyle w:val="Compact"/>
            </w:pPr>
            <w:r>
              <w:t xml:space="preserve">353</w:t>
            </w:r>
          </w:p>
        </w:tc>
        <w:tc>
          <w:tcPr/>
          <w:p>
            <w:pPr>
              <w:pStyle w:val="Compact"/>
            </w:pPr>
            <w:r>
              <w:t xml:space="preserve">18515</w:t>
            </w:r>
          </w:p>
        </w:tc>
        <w:tc>
          <w:tcPr/>
          <w:p>
            <w:pPr>
              <w:pStyle w:val="Compact"/>
            </w:pPr>
            <w:r>
              <w:t xml:space="preserve">13.1%</w:t>
            </w:r>
          </w:p>
        </w:tc>
      </w:tr>
    </w:tbl>
    <w:p>
      <w:pPr>
        <w:pStyle w:val="BodyText"/>
      </w:pPr>
      <w:r>
        <w:rPr>
          <w:b/>
          <w:bCs/>
        </w:rPr>
        <w:t xml:space="preserve">Supplementary Table S6b.</w:t>
      </w:r>
      <w:r>
        <w:t xml:space="preserve"> </w:t>
      </w:r>
      <w:r>
        <w:t xml:space="preserve">All-pathway URPS and OB/GYN-based market-share trends under each classification scheme. The URPS increase remains positive and significant in every scheme.</w:t>
      </w:r>
    </w:p>
    <w:tbl>
      <w:tblPr>
        <w:tblStyle w:val="Table"/>
        <w:tblW w:type="pct" w:w="5000"/>
        <w:tblLayout w:type="fixed"/>
        <w:tblLook w:firstRow="1" w:lastRow="0" w:firstColumn="0" w:lastColumn="0" w:noHBand="0" w:noVBand="0" w:val="0020"/>
      </w:tblPr>
      <w:tblGrid>
        <w:gridCol w:w="3607"/>
        <w:gridCol w:w="1568"/>
        <w:gridCol w:w="627"/>
        <w:gridCol w:w="1489"/>
        <w:gridCol w:w="627"/>
      </w:tblGrid>
      <w:tr>
        <w:trPr>
          <w:tblHeader w:val="on"/>
        </w:trPr>
        <w:tc>
          <w:tcPr/>
          <w:p>
            <w:pPr>
              <w:pStyle w:val="Compact"/>
            </w:pPr>
            <w:r>
              <w:t xml:space="preserve">Scheme</w:t>
            </w:r>
          </w:p>
        </w:tc>
        <w:tc>
          <w:tcPr/>
          <w:p>
            <w:pPr>
              <w:pStyle w:val="Compact"/>
            </w:pPr>
            <w:r>
              <w:t xml:space="preserve">URPS slope (pp/yr)</w:t>
            </w:r>
          </w:p>
        </w:tc>
        <w:tc>
          <w:tcPr/>
          <w:p>
            <w:pPr>
              <w:pStyle w:val="Compact"/>
            </w:pPr>
            <w:r>
              <w:t xml:space="preserve">URPS p</w:t>
            </w:r>
          </w:p>
        </w:tc>
        <w:tc>
          <w:tcPr/>
          <w:p>
            <w:pPr>
              <w:pStyle w:val="Compact"/>
            </w:pPr>
            <w:r>
              <w:t xml:space="preserve">Gyn slope (pp/yr)</w:t>
            </w:r>
          </w:p>
        </w:tc>
        <w:tc>
          <w:tcPr/>
          <w:p>
            <w:pPr>
              <w:pStyle w:val="Compact"/>
            </w:pPr>
            <w:r>
              <w:t xml:space="preserve">Gyn p</w:t>
            </w:r>
          </w:p>
        </w:tc>
      </w:tr>
      <w:tr>
        <w:tc>
          <w:tcPr/>
          <w:p>
            <w:pPr>
              <w:pStyle w:val="Compact"/>
            </w:pPr>
            <w:r>
              <w:t xml:space="preserve">Time-varying (per physician-year)</w:t>
            </w:r>
          </w:p>
        </w:tc>
        <w:tc>
          <w:tcPr/>
          <w:p>
            <w:pPr>
              <w:pStyle w:val="Compact"/>
            </w:pPr>
            <w:r>
              <w:t xml:space="preserve">1.116</w:t>
            </w:r>
          </w:p>
        </w:tc>
        <w:tc>
          <w:tcPr/>
          <w:p>
            <w:pPr>
              <w:pStyle w:val="Compact"/>
            </w:pPr>
            <w:r>
              <w:t xml:space="preserve">&lt;0.001</w:t>
            </w:r>
          </w:p>
        </w:tc>
        <w:tc>
          <w:tcPr/>
          <w:p>
            <w:pPr>
              <w:pStyle w:val="Compact"/>
            </w:pPr>
            <w:r>
              <w:t xml:space="preserve">0.796</w:t>
            </w:r>
          </w:p>
        </w:tc>
        <w:tc>
          <w:tcPr/>
          <w:p>
            <w:pPr>
              <w:pStyle w:val="Compact"/>
            </w:pPr>
            <w:r>
              <w:t xml:space="preserve">&lt;0.001</w:t>
            </w:r>
          </w:p>
        </w:tc>
      </w:tr>
      <w:tr>
        <w:tc>
          <w:tcPr/>
          <w:p>
            <w:pPr>
              <w:pStyle w:val="Compact"/>
            </w:pPr>
            <w:r>
              <w:t xml:space="preserve">Modal (single most-frequent specialty)</w:t>
            </w:r>
          </w:p>
        </w:tc>
        <w:tc>
          <w:tcPr/>
          <w:p>
            <w:pPr>
              <w:pStyle w:val="Compact"/>
            </w:pPr>
            <w:r>
              <w:t xml:space="preserve">1.200</w:t>
            </w:r>
          </w:p>
        </w:tc>
        <w:tc>
          <w:tcPr/>
          <w:p>
            <w:pPr>
              <w:pStyle w:val="Compact"/>
            </w:pPr>
            <w:r>
              <w:t xml:space="preserve">&lt;0.001</w:t>
            </w:r>
          </w:p>
        </w:tc>
        <w:tc>
          <w:tcPr/>
          <w:p>
            <w:pPr>
              <w:pStyle w:val="Compact"/>
            </w:pPr>
            <w:r>
              <w:t xml:space="preserve">0.906</w:t>
            </w:r>
          </w:p>
        </w:tc>
        <w:tc>
          <w:tcPr/>
          <w:p>
            <w:pPr>
              <w:pStyle w:val="Compact"/>
            </w:pPr>
            <w:r>
              <w:t xml:space="preserve">&lt;0.001</w:t>
            </w:r>
          </w:p>
        </w:tc>
      </w:tr>
      <w:tr>
        <w:tc>
          <w:tcPr/>
          <w:p>
            <w:pPr>
              <w:pStyle w:val="Compact"/>
            </w:pPr>
            <w:r>
              <w:t xml:space="preserve">Ever URPS/MIGS</w:t>
            </w:r>
          </w:p>
        </w:tc>
        <w:tc>
          <w:tcPr/>
          <w:p>
            <w:pPr>
              <w:pStyle w:val="Compact"/>
            </w:pPr>
            <w:r>
              <w:t xml:space="preserve">1.174</w:t>
            </w:r>
          </w:p>
        </w:tc>
        <w:tc>
          <w:tcPr/>
          <w:p>
            <w:pPr>
              <w:pStyle w:val="Compact"/>
            </w:pPr>
            <w:r>
              <w:t xml:space="preserve">&lt;0.001</w:t>
            </w:r>
          </w:p>
        </w:tc>
        <w:tc>
          <w:tcPr/>
          <w:p>
            <w:pPr>
              <w:pStyle w:val="Compact"/>
            </w:pPr>
            <w:r>
              <w:t xml:space="preserve">0.881</w:t>
            </w:r>
          </w:p>
        </w:tc>
        <w:tc>
          <w:tcPr/>
          <w:p>
            <w:pPr>
              <w:pStyle w:val="Compact"/>
            </w:pPr>
            <w:r>
              <w:t xml:space="preserve">&lt;0.001</w:t>
            </w:r>
          </w:p>
        </w:tc>
      </w:tr>
      <w:tr>
        <w:tc>
          <w:tcPr/>
          <w:p>
            <w:pPr>
              <w:pStyle w:val="Compact"/>
            </w:pPr>
            <w:r>
              <w:t xml:space="preserve">Time-varying cert-gated (ABOG sub1startdate)</w:t>
            </w:r>
          </w:p>
        </w:tc>
        <w:tc>
          <w:tcPr/>
          <w:p>
            <w:pPr>
              <w:pStyle w:val="Compact"/>
            </w:pPr>
            <w:r>
              <w:t xml:space="preserve">1.762</w:t>
            </w:r>
          </w:p>
        </w:tc>
        <w:tc>
          <w:tcPr/>
          <w:p>
            <w:pPr>
              <w:pStyle w:val="Compact"/>
            </w:pPr>
            <w:r>
              <w:t xml:space="preserve">&lt;0.001</w:t>
            </w:r>
          </w:p>
        </w:tc>
        <w:tc>
          <w:tcPr/>
          <w:p>
            <w:pPr>
              <w:pStyle w:val="Compact"/>
            </w:pPr>
            <w:r>
              <w:t xml:space="preserve">0.792</w:t>
            </w:r>
          </w:p>
        </w:tc>
        <w:tc>
          <w:tcPr/>
          <w:p>
            <w:pPr>
              <w:pStyle w:val="Compact"/>
            </w:pPr>
            <w:r>
              <w:t xml:space="preserve">&lt;0.001</w:t>
            </w:r>
          </w:p>
        </w:tc>
      </w:tr>
    </w:tbl>
    <w:p>
      <w:pPr>
        <w:pStyle w:val="BodyText"/>
      </w:pPr>
      <w:r>
        <w:rPr>
          <w:b/>
          <w:bCs/>
        </w:rPr>
        <w:t xml:space="preserve">Supplementary Table S7.</w:t>
      </w:r>
      <w:r>
        <w:t xml:space="preserve"> </w:t>
      </w:r>
      <w:r>
        <w:t xml:space="preserve">Observable surgeons and URPS share by provider practice state (geography, secondary analysis). A state with no observable URPS surgeon may still have URPS surgeons who each fell below the CMS reporting threshold.</w:t>
      </w:r>
    </w:p>
    <w:tbl>
      <w:tblPr>
        <w:tblStyle w:val="Table"/>
        <w:tblW w:type="pct" w:w="5000"/>
        <w:tblLayout w:type="fixed"/>
        <w:tblLook w:firstRow="1" w:lastRow="0" w:firstColumn="0" w:lastColumn="0" w:noHBand="0" w:noVBand="0" w:val="0020"/>
      </w:tblPr>
      <w:tblGrid>
        <w:gridCol w:w="759"/>
        <w:gridCol w:w="2278"/>
        <w:gridCol w:w="1627"/>
        <w:gridCol w:w="1301"/>
        <w:gridCol w:w="1952"/>
      </w:tblGrid>
      <w:tr>
        <w:trPr>
          <w:tblHeader w:val="on"/>
        </w:trPr>
        <w:tc>
          <w:tcPr/>
          <w:p>
            <w:pPr>
              <w:pStyle w:val="Compact"/>
            </w:pPr>
            <w:r>
              <w:t xml:space="preserve">State</w:t>
            </w:r>
          </w:p>
        </w:tc>
        <w:tc>
          <w:tcPr/>
          <w:p>
            <w:pPr>
              <w:pStyle w:val="Compact"/>
            </w:pPr>
            <w:r>
              <w:t xml:space="preserve">Observable surgeons</w:t>
            </w:r>
          </w:p>
        </w:tc>
        <w:tc>
          <w:tcPr/>
          <w:p>
            <w:pPr>
              <w:pStyle w:val="Compact"/>
            </w:pPr>
            <w:r>
              <w:t xml:space="preserve">URPS surgeons</w:t>
            </w:r>
          </w:p>
        </w:tc>
        <w:tc>
          <w:tcPr/>
          <w:p>
            <w:pPr>
              <w:pStyle w:val="Compact"/>
            </w:pPr>
            <w:r>
              <w:t xml:space="preserve">URPS share</w:t>
            </w:r>
          </w:p>
        </w:tc>
        <w:tc>
          <w:tcPr/>
          <w:p>
            <w:pPr>
              <w:pStyle w:val="Compact"/>
            </w:pPr>
            <w:r>
              <w:t xml:space="preserve">Observable URPS?</w:t>
            </w:r>
          </w:p>
        </w:tc>
      </w:tr>
      <w:tr>
        <w:tc>
          <w:tcPr/>
          <w:p>
            <w:pPr>
              <w:pStyle w:val="Compact"/>
            </w:pPr>
            <w:r>
              <w:t xml:space="preserve">CA</w:t>
            </w:r>
          </w:p>
        </w:tc>
        <w:tc>
          <w:tcPr/>
          <w:p>
            <w:pPr>
              <w:pStyle w:val="Compact"/>
            </w:pPr>
            <w:r>
              <w:t xml:space="preserve">138</w:t>
            </w:r>
          </w:p>
        </w:tc>
        <w:tc>
          <w:tcPr/>
          <w:p>
            <w:pPr>
              <w:pStyle w:val="Compact"/>
            </w:pPr>
            <w:r>
              <w:t xml:space="preserve">50</w:t>
            </w:r>
          </w:p>
        </w:tc>
        <w:tc>
          <w:tcPr/>
          <w:p>
            <w:pPr>
              <w:pStyle w:val="Compact"/>
            </w:pPr>
            <w:r>
              <w:t xml:space="preserve">36.2%</w:t>
            </w:r>
          </w:p>
        </w:tc>
        <w:tc>
          <w:tcPr/>
          <w:p>
            <w:pPr>
              <w:pStyle w:val="Compact"/>
            </w:pPr>
            <w:r>
              <w:t xml:space="preserve">Yes</w:t>
            </w:r>
          </w:p>
        </w:tc>
      </w:tr>
      <w:tr>
        <w:tc>
          <w:tcPr/>
          <w:p>
            <w:pPr>
              <w:pStyle w:val="Compact"/>
            </w:pPr>
            <w:r>
              <w:t xml:space="preserve">TX</w:t>
            </w:r>
          </w:p>
        </w:tc>
        <w:tc>
          <w:tcPr/>
          <w:p>
            <w:pPr>
              <w:pStyle w:val="Compact"/>
            </w:pPr>
            <w:r>
              <w:t xml:space="preserve">133</w:t>
            </w:r>
          </w:p>
        </w:tc>
        <w:tc>
          <w:tcPr/>
          <w:p>
            <w:pPr>
              <w:pStyle w:val="Compact"/>
            </w:pPr>
            <w:r>
              <w:t xml:space="preserve">47</w:t>
            </w:r>
          </w:p>
        </w:tc>
        <w:tc>
          <w:tcPr/>
          <w:p>
            <w:pPr>
              <w:pStyle w:val="Compact"/>
            </w:pPr>
            <w:r>
              <w:t xml:space="preserve">35.3%</w:t>
            </w:r>
          </w:p>
        </w:tc>
        <w:tc>
          <w:tcPr/>
          <w:p>
            <w:pPr>
              <w:pStyle w:val="Compact"/>
            </w:pPr>
            <w:r>
              <w:t xml:space="preserve">Yes</w:t>
            </w:r>
          </w:p>
        </w:tc>
      </w:tr>
      <w:tr>
        <w:tc>
          <w:tcPr/>
          <w:p>
            <w:pPr>
              <w:pStyle w:val="Compact"/>
            </w:pPr>
            <w:r>
              <w:t xml:space="preserve">FL</w:t>
            </w:r>
          </w:p>
        </w:tc>
        <w:tc>
          <w:tcPr/>
          <w:p>
            <w:pPr>
              <w:pStyle w:val="Compact"/>
            </w:pPr>
            <w:r>
              <w:t xml:space="preserve">127</w:t>
            </w:r>
          </w:p>
        </w:tc>
        <w:tc>
          <w:tcPr/>
          <w:p>
            <w:pPr>
              <w:pStyle w:val="Compact"/>
            </w:pPr>
            <w:r>
              <w:t xml:space="preserve">49</w:t>
            </w:r>
          </w:p>
        </w:tc>
        <w:tc>
          <w:tcPr/>
          <w:p>
            <w:pPr>
              <w:pStyle w:val="Compact"/>
            </w:pPr>
            <w:r>
              <w:t xml:space="preserve">38.6%</w:t>
            </w:r>
          </w:p>
        </w:tc>
        <w:tc>
          <w:tcPr/>
          <w:p>
            <w:pPr>
              <w:pStyle w:val="Compact"/>
            </w:pPr>
            <w:r>
              <w:t xml:space="preserve">Yes</w:t>
            </w:r>
          </w:p>
        </w:tc>
      </w:tr>
      <w:tr>
        <w:tc>
          <w:tcPr/>
          <w:p>
            <w:pPr>
              <w:pStyle w:val="Compact"/>
            </w:pPr>
            <w:r>
              <w:t xml:space="preserve">NY</w:t>
            </w:r>
          </w:p>
        </w:tc>
        <w:tc>
          <w:tcPr/>
          <w:p>
            <w:pPr>
              <w:pStyle w:val="Compact"/>
            </w:pPr>
            <w:r>
              <w:t xml:space="preserve">70</w:t>
            </w:r>
          </w:p>
        </w:tc>
        <w:tc>
          <w:tcPr/>
          <w:p>
            <w:pPr>
              <w:pStyle w:val="Compact"/>
            </w:pPr>
            <w:r>
              <w:t xml:space="preserve">41</w:t>
            </w:r>
          </w:p>
        </w:tc>
        <w:tc>
          <w:tcPr/>
          <w:p>
            <w:pPr>
              <w:pStyle w:val="Compact"/>
            </w:pPr>
            <w:r>
              <w:t xml:space="preserve">58.6%</w:t>
            </w:r>
          </w:p>
        </w:tc>
        <w:tc>
          <w:tcPr/>
          <w:p>
            <w:pPr>
              <w:pStyle w:val="Compact"/>
            </w:pPr>
            <w:r>
              <w:t xml:space="preserve">Yes</w:t>
            </w:r>
          </w:p>
        </w:tc>
      </w:tr>
      <w:tr>
        <w:tc>
          <w:tcPr/>
          <w:p>
            <w:pPr>
              <w:pStyle w:val="Compact"/>
            </w:pPr>
            <w:r>
              <w:t xml:space="preserve">IL</w:t>
            </w:r>
          </w:p>
        </w:tc>
        <w:tc>
          <w:tcPr/>
          <w:p>
            <w:pPr>
              <w:pStyle w:val="Compact"/>
            </w:pPr>
            <w:r>
              <w:t xml:space="preserve">62</w:t>
            </w:r>
          </w:p>
        </w:tc>
        <w:tc>
          <w:tcPr/>
          <w:p>
            <w:pPr>
              <w:pStyle w:val="Compact"/>
            </w:pPr>
            <w:r>
              <w:t xml:space="preserve">39</w:t>
            </w:r>
          </w:p>
        </w:tc>
        <w:tc>
          <w:tcPr/>
          <w:p>
            <w:pPr>
              <w:pStyle w:val="Compact"/>
            </w:pPr>
            <w:r>
              <w:t xml:space="preserve">62.9%</w:t>
            </w:r>
          </w:p>
        </w:tc>
        <w:tc>
          <w:tcPr/>
          <w:p>
            <w:pPr>
              <w:pStyle w:val="Compact"/>
            </w:pPr>
            <w:r>
              <w:t xml:space="preserve">Yes</w:t>
            </w:r>
          </w:p>
        </w:tc>
      </w:tr>
      <w:tr>
        <w:tc>
          <w:tcPr/>
          <w:p>
            <w:pPr>
              <w:pStyle w:val="Compact"/>
            </w:pPr>
            <w:r>
              <w:t xml:space="preserve">OH</w:t>
            </w:r>
          </w:p>
        </w:tc>
        <w:tc>
          <w:tcPr/>
          <w:p>
            <w:pPr>
              <w:pStyle w:val="Compact"/>
            </w:pPr>
            <w:r>
              <w:t xml:space="preserve">59</w:t>
            </w:r>
          </w:p>
        </w:tc>
        <w:tc>
          <w:tcPr/>
          <w:p>
            <w:pPr>
              <w:pStyle w:val="Compact"/>
            </w:pPr>
            <w:r>
              <w:t xml:space="preserve">44</w:t>
            </w:r>
          </w:p>
        </w:tc>
        <w:tc>
          <w:tcPr/>
          <w:p>
            <w:pPr>
              <w:pStyle w:val="Compact"/>
            </w:pPr>
            <w:r>
              <w:t xml:space="preserve">74.6%</w:t>
            </w:r>
          </w:p>
        </w:tc>
        <w:tc>
          <w:tcPr/>
          <w:p>
            <w:pPr>
              <w:pStyle w:val="Compact"/>
            </w:pPr>
            <w:r>
              <w:t xml:space="preserve">Yes</w:t>
            </w:r>
          </w:p>
        </w:tc>
      </w:tr>
      <w:tr>
        <w:tc>
          <w:tcPr/>
          <w:p>
            <w:pPr>
              <w:pStyle w:val="Compact"/>
            </w:pPr>
            <w:r>
              <w:t xml:space="preserve">PA</w:t>
            </w:r>
          </w:p>
        </w:tc>
        <w:tc>
          <w:tcPr/>
          <w:p>
            <w:pPr>
              <w:pStyle w:val="Compact"/>
            </w:pPr>
            <w:r>
              <w:t xml:space="preserve">57</w:t>
            </w:r>
          </w:p>
        </w:tc>
        <w:tc>
          <w:tcPr/>
          <w:p>
            <w:pPr>
              <w:pStyle w:val="Compact"/>
            </w:pPr>
            <w:r>
              <w:t xml:space="preserve">33</w:t>
            </w:r>
          </w:p>
        </w:tc>
        <w:tc>
          <w:tcPr/>
          <w:p>
            <w:pPr>
              <w:pStyle w:val="Compact"/>
            </w:pPr>
            <w:r>
              <w:t xml:space="preserve">57.9%</w:t>
            </w:r>
          </w:p>
        </w:tc>
        <w:tc>
          <w:tcPr/>
          <w:p>
            <w:pPr>
              <w:pStyle w:val="Compact"/>
            </w:pPr>
            <w:r>
              <w:t xml:space="preserve">Yes</w:t>
            </w:r>
          </w:p>
        </w:tc>
      </w:tr>
      <w:tr>
        <w:tc>
          <w:tcPr/>
          <w:p>
            <w:pPr>
              <w:pStyle w:val="Compact"/>
            </w:pPr>
            <w:r>
              <w:t xml:space="preserve">AZ</w:t>
            </w:r>
          </w:p>
        </w:tc>
        <w:tc>
          <w:tcPr/>
          <w:p>
            <w:pPr>
              <w:pStyle w:val="Compact"/>
            </w:pPr>
            <w:r>
              <w:t xml:space="preserve">55</w:t>
            </w:r>
          </w:p>
        </w:tc>
        <w:tc>
          <w:tcPr/>
          <w:p>
            <w:pPr>
              <w:pStyle w:val="Compact"/>
            </w:pPr>
            <w:r>
              <w:t xml:space="preserve">19</w:t>
            </w:r>
          </w:p>
        </w:tc>
        <w:tc>
          <w:tcPr/>
          <w:p>
            <w:pPr>
              <w:pStyle w:val="Compact"/>
            </w:pPr>
            <w:r>
              <w:t xml:space="preserve">34.5%</w:t>
            </w:r>
          </w:p>
        </w:tc>
        <w:tc>
          <w:tcPr/>
          <w:p>
            <w:pPr>
              <w:pStyle w:val="Compact"/>
            </w:pPr>
            <w:r>
              <w:t xml:space="preserve">Yes</w:t>
            </w:r>
          </w:p>
        </w:tc>
      </w:tr>
      <w:tr>
        <w:tc>
          <w:tcPr/>
          <w:p>
            <w:pPr>
              <w:pStyle w:val="Compact"/>
            </w:pPr>
            <w:r>
              <w:t xml:space="preserve">MI</w:t>
            </w:r>
          </w:p>
        </w:tc>
        <w:tc>
          <w:tcPr/>
          <w:p>
            <w:pPr>
              <w:pStyle w:val="Compact"/>
            </w:pPr>
            <w:r>
              <w:t xml:space="preserve">52</w:t>
            </w:r>
          </w:p>
        </w:tc>
        <w:tc>
          <w:tcPr/>
          <w:p>
            <w:pPr>
              <w:pStyle w:val="Compact"/>
            </w:pPr>
            <w:r>
              <w:t xml:space="preserve">22</w:t>
            </w:r>
          </w:p>
        </w:tc>
        <w:tc>
          <w:tcPr/>
          <w:p>
            <w:pPr>
              <w:pStyle w:val="Compact"/>
            </w:pPr>
            <w:r>
              <w:t xml:space="preserve">42.3%</w:t>
            </w:r>
          </w:p>
        </w:tc>
        <w:tc>
          <w:tcPr/>
          <w:p>
            <w:pPr>
              <w:pStyle w:val="Compact"/>
            </w:pPr>
            <w:r>
              <w:t xml:space="preserve">Yes</w:t>
            </w:r>
          </w:p>
        </w:tc>
      </w:tr>
      <w:tr>
        <w:tc>
          <w:tcPr/>
          <w:p>
            <w:pPr>
              <w:pStyle w:val="Compact"/>
            </w:pPr>
            <w:r>
              <w:t xml:space="preserve">NC</w:t>
            </w:r>
          </w:p>
        </w:tc>
        <w:tc>
          <w:tcPr/>
          <w:p>
            <w:pPr>
              <w:pStyle w:val="Compact"/>
            </w:pPr>
            <w:r>
              <w:t xml:space="preserve">52</w:t>
            </w:r>
          </w:p>
        </w:tc>
        <w:tc>
          <w:tcPr/>
          <w:p>
            <w:pPr>
              <w:pStyle w:val="Compact"/>
            </w:pPr>
            <w:r>
              <w:t xml:space="preserve">35</w:t>
            </w:r>
          </w:p>
        </w:tc>
        <w:tc>
          <w:tcPr/>
          <w:p>
            <w:pPr>
              <w:pStyle w:val="Compact"/>
            </w:pPr>
            <w:r>
              <w:t xml:space="preserve">67.3%</w:t>
            </w:r>
          </w:p>
        </w:tc>
        <w:tc>
          <w:tcPr/>
          <w:p>
            <w:pPr>
              <w:pStyle w:val="Compact"/>
            </w:pPr>
            <w:r>
              <w:t xml:space="preserve">Yes</w:t>
            </w:r>
          </w:p>
        </w:tc>
      </w:tr>
      <w:tr>
        <w:tc>
          <w:tcPr/>
          <w:p>
            <w:pPr>
              <w:pStyle w:val="Compact"/>
            </w:pPr>
            <w:r>
              <w:t xml:space="preserve">NJ</w:t>
            </w:r>
          </w:p>
        </w:tc>
        <w:tc>
          <w:tcPr/>
          <w:p>
            <w:pPr>
              <w:pStyle w:val="Compact"/>
            </w:pPr>
            <w:r>
              <w:t xml:space="preserve">52</w:t>
            </w:r>
          </w:p>
        </w:tc>
        <w:tc>
          <w:tcPr/>
          <w:p>
            <w:pPr>
              <w:pStyle w:val="Compact"/>
            </w:pPr>
            <w:r>
              <w:t xml:space="preserve">28</w:t>
            </w:r>
          </w:p>
        </w:tc>
        <w:tc>
          <w:tcPr/>
          <w:p>
            <w:pPr>
              <w:pStyle w:val="Compact"/>
            </w:pPr>
            <w:r>
              <w:t xml:space="preserve">53.8%</w:t>
            </w:r>
          </w:p>
        </w:tc>
        <w:tc>
          <w:tcPr/>
          <w:p>
            <w:pPr>
              <w:pStyle w:val="Compact"/>
            </w:pPr>
            <w:r>
              <w:t xml:space="preserve">Yes</w:t>
            </w:r>
          </w:p>
        </w:tc>
      </w:tr>
      <w:tr>
        <w:tc>
          <w:tcPr/>
          <w:p>
            <w:pPr>
              <w:pStyle w:val="Compact"/>
            </w:pPr>
            <w:r>
              <w:t xml:space="preserve">MA</w:t>
            </w:r>
          </w:p>
        </w:tc>
        <w:tc>
          <w:tcPr/>
          <w:p>
            <w:pPr>
              <w:pStyle w:val="Compact"/>
            </w:pPr>
            <w:r>
              <w:t xml:space="preserve">51</w:t>
            </w:r>
          </w:p>
        </w:tc>
        <w:tc>
          <w:tcPr/>
          <w:p>
            <w:pPr>
              <w:pStyle w:val="Compact"/>
            </w:pPr>
            <w:r>
              <w:t xml:space="preserve">33</w:t>
            </w:r>
          </w:p>
        </w:tc>
        <w:tc>
          <w:tcPr/>
          <w:p>
            <w:pPr>
              <w:pStyle w:val="Compact"/>
            </w:pPr>
            <w:r>
              <w:t xml:space="preserve">64.7%</w:t>
            </w:r>
          </w:p>
        </w:tc>
        <w:tc>
          <w:tcPr/>
          <w:p>
            <w:pPr>
              <w:pStyle w:val="Compact"/>
            </w:pPr>
            <w:r>
              <w:t xml:space="preserve">Yes</w:t>
            </w:r>
          </w:p>
        </w:tc>
      </w:tr>
      <w:tr>
        <w:tc>
          <w:tcPr/>
          <w:p>
            <w:pPr>
              <w:pStyle w:val="Compact"/>
            </w:pPr>
            <w:r>
              <w:t xml:space="preserve">TN</w:t>
            </w:r>
          </w:p>
        </w:tc>
        <w:tc>
          <w:tcPr/>
          <w:p>
            <w:pPr>
              <w:pStyle w:val="Compact"/>
            </w:pPr>
            <w:r>
              <w:t xml:space="preserve">48</w:t>
            </w:r>
          </w:p>
        </w:tc>
        <w:tc>
          <w:tcPr/>
          <w:p>
            <w:pPr>
              <w:pStyle w:val="Compact"/>
            </w:pPr>
            <w:r>
              <w:t xml:space="preserve">20</w:t>
            </w:r>
          </w:p>
        </w:tc>
        <w:tc>
          <w:tcPr/>
          <w:p>
            <w:pPr>
              <w:pStyle w:val="Compact"/>
            </w:pPr>
            <w:r>
              <w:t xml:space="preserve">41.7%</w:t>
            </w:r>
          </w:p>
        </w:tc>
        <w:tc>
          <w:tcPr/>
          <w:p>
            <w:pPr>
              <w:pStyle w:val="Compact"/>
            </w:pPr>
            <w:r>
              <w:t xml:space="preserve">Yes</w:t>
            </w:r>
          </w:p>
        </w:tc>
      </w:tr>
      <w:tr>
        <w:tc>
          <w:tcPr/>
          <w:p>
            <w:pPr>
              <w:pStyle w:val="Compact"/>
            </w:pPr>
            <w:r>
              <w:t xml:space="preserve">WA</w:t>
            </w:r>
          </w:p>
        </w:tc>
        <w:tc>
          <w:tcPr/>
          <w:p>
            <w:pPr>
              <w:pStyle w:val="Compact"/>
            </w:pPr>
            <w:r>
              <w:t xml:space="preserve">44</w:t>
            </w:r>
          </w:p>
        </w:tc>
        <w:tc>
          <w:tcPr/>
          <w:p>
            <w:pPr>
              <w:pStyle w:val="Compact"/>
            </w:pPr>
            <w:r>
              <w:t xml:space="preserve">19</w:t>
            </w:r>
          </w:p>
        </w:tc>
        <w:tc>
          <w:tcPr/>
          <w:p>
            <w:pPr>
              <w:pStyle w:val="Compact"/>
            </w:pPr>
            <w:r>
              <w:t xml:space="preserve">43.2%</w:t>
            </w:r>
          </w:p>
        </w:tc>
        <w:tc>
          <w:tcPr/>
          <w:p>
            <w:pPr>
              <w:pStyle w:val="Compact"/>
            </w:pPr>
            <w:r>
              <w:t xml:space="preserve">Yes</w:t>
            </w:r>
          </w:p>
        </w:tc>
      </w:tr>
      <w:tr>
        <w:tc>
          <w:tcPr/>
          <w:p>
            <w:pPr>
              <w:pStyle w:val="Compact"/>
            </w:pPr>
            <w:r>
              <w:t xml:space="preserve">GA</w:t>
            </w:r>
          </w:p>
        </w:tc>
        <w:tc>
          <w:tcPr/>
          <w:p>
            <w:pPr>
              <w:pStyle w:val="Compact"/>
            </w:pPr>
            <w:r>
              <w:t xml:space="preserve">39</w:t>
            </w:r>
          </w:p>
        </w:tc>
        <w:tc>
          <w:tcPr/>
          <w:p>
            <w:pPr>
              <w:pStyle w:val="Compact"/>
            </w:pPr>
            <w:r>
              <w:t xml:space="preserve">17</w:t>
            </w:r>
          </w:p>
        </w:tc>
        <w:tc>
          <w:tcPr/>
          <w:p>
            <w:pPr>
              <w:pStyle w:val="Compact"/>
            </w:pPr>
            <w:r>
              <w:t xml:space="preserve">43.6%</w:t>
            </w:r>
          </w:p>
        </w:tc>
        <w:tc>
          <w:tcPr/>
          <w:p>
            <w:pPr>
              <w:pStyle w:val="Compact"/>
            </w:pPr>
            <w:r>
              <w:t xml:space="preserve">Yes</w:t>
            </w:r>
          </w:p>
        </w:tc>
      </w:tr>
      <w:tr>
        <w:tc>
          <w:tcPr/>
          <w:p>
            <w:pPr>
              <w:pStyle w:val="Compact"/>
            </w:pPr>
            <w:r>
              <w:t xml:space="preserve">MO</w:t>
            </w:r>
          </w:p>
        </w:tc>
        <w:tc>
          <w:tcPr/>
          <w:p>
            <w:pPr>
              <w:pStyle w:val="Compact"/>
            </w:pPr>
            <w:r>
              <w:t xml:space="preserve">39</w:t>
            </w:r>
          </w:p>
        </w:tc>
        <w:tc>
          <w:tcPr/>
          <w:p>
            <w:pPr>
              <w:pStyle w:val="Compact"/>
            </w:pPr>
            <w:r>
              <w:t xml:space="preserve">16</w:t>
            </w:r>
          </w:p>
        </w:tc>
        <w:tc>
          <w:tcPr/>
          <w:p>
            <w:pPr>
              <w:pStyle w:val="Compact"/>
            </w:pPr>
            <w:r>
              <w:t xml:space="preserve">41.0%</w:t>
            </w:r>
          </w:p>
        </w:tc>
        <w:tc>
          <w:tcPr/>
          <w:p>
            <w:pPr>
              <w:pStyle w:val="Compact"/>
            </w:pPr>
            <w:r>
              <w:t xml:space="preserve">Yes</w:t>
            </w:r>
          </w:p>
        </w:tc>
      </w:tr>
      <w:tr>
        <w:tc>
          <w:tcPr/>
          <w:p>
            <w:pPr>
              <w:pStyle w:val="Compact"/>
            </w:pPr>
            <w:r>
              <w:t xml:space="preserve">VA</w:t>
            </w:r>
          </w:p>
        </w:tc>
        <w:tc>
          <w:tcPr/>
          <w:p>
            <w:pPr>
              <w:pStyle w:val="Compact"/>
            </w:pPr>
            <w:r>
              <w:t xml:space="preserve">39</w:t>
            </w:r>
          </w:p>
        </w:tc>
        <w:tc>
          <w:tcPr/>
          <w:p>
            <w:pPr>
              <w:pStyle w:val="Compact"/>
            </w:pPr>
            <w:r>
              <w:t xml:space="preserve">27</w:t>
            </w:r>
          </w:p>
        </w:tc>
        <w:tc>
          <w:tcPr/>
          <w:p>
            <w:pPr>
              <w:pStyle w:val="Compact"/>
            </w:pPr>
            <w:r>
              <w:t xml:space="preserve">69.2%</w:t>
            </w:r>
          </w:p>
        </w:tc>
        <w:tc>
          <w:tcPr/>
          <w:p>
            <w:pPr>
              <w:pStyle w:val="Compact"/>
            </w:pPr>
            <w:r>
              <w:t xml:space="preserve">Yes</w:t>
            </w:r>
          </w:p>
        </w:tc>
      </w:tr>
      <w:tr>
        <w:tc>
          <w:tcPr/>
          <w:p>
            <w:pPr>
              <w:pStyle w:val="Compact"/>
            </w:pPr>
            <w:r>
              <w:t xml:space="preserve">IN</w:t>
            </w:r>
          </w:p>
        </w:tc>
        <w:tc>
          <w:tcPr/>
          <w:p>
            <w:pPr>
              <w:pStyle w:val="Compact"/>
            </w:pPr>
            <w:r>
              <w:t xml:space="preserve">37</w:t>
            </w:r>
          </w:p>
        </w:tc>
        <w:tc>
          <w:tcPr/>
          <w:p>
            <w:pPr>
              <w:pStyle w:val="Compact"/>
            </w:pPr>
            <w:r>
              <w:t xml:space="preserve">13</w:t>
            </w:r>
          </w:p>
        </w:tc>
        <w:tc>
          <w:tcPr/>
          <w:p>
            <w:pPr>
              <w:pStyle w:val="Compact"/>
            </w:pPr>
            <w:r>
              <w:t xml:space="preserve">35.1%</w:t>
            </w:r>
          </w:p>
        </w:tc>
        <w:tc>
          <w:tcPr/>
          <w:p>
            <w:pPr>
              <w:pStyle w:val="Compact"/>
            </w:pPr>
            <w:r>
              <w:t xml:space="preserve">Yes</w:t>
            </w:r>
          </w:p>
        </w:tc>
      </w:tr>
      <w:tr>
        <w:tc>
          <w:tcPr/>
          <w:p>
            <w:pPr>
              <w:pStyle w:val="Compact"/>
            </w:pPr>
            <w:r>
              <w:t xml:space="preserve">AL</w:t>
            </w:r>
          </w:p>
        </w:tc>
        <w:tc>
          <w:tcPr/>
          <w:p>
            <w:pPr>
              <w:pStyle w:val="Compact"/>
            </w:pPr>
            <w:r>
              <w:t xml:space="preserve">35</w:t>
            </w:r>
          </w:p>
        </w:tc>
        <w:tc>
          <w:tcPr/>
          <w:p>
            <w:pPr>
              <w:pStyle w:val="Compact"/>
            </w:pPr>
            <w:r>
              <w:t xml:space="preserve">12</w:t>
            </w:r>
          </w:p>
        </w:tc>
        <w:tc>
          <w:tcPr/>
          <w:p>
            <w:pPr>
              <w:pStyle w:val="Compact"/>
            </w:pPr>
            <w:r>
              <w:t xml:space="preserve">34.3%</w:t>
            </w:r>
          </w:p>
        </w:tc>
        <w:tc>
          <w:tcPr/>
          <w:p>
            <w:pPr>
              <w:pStyle w:val="Compact"/>
            </w:pPr>
            <w:r>
              <w:t xml:space="preserve">Yes</w:t>
            </w:r>
          </w:p>
        </w:tc>
      </w:tr>
      <w:tr>
        <w:tc>
          <w:tcPr/>
          <w:p>
            <w:pPr>
              <w:pStyle w:val="Compact"/>
            </w:pPr>
            <w:r>
              <w:t xml:space="preserve">SC</w:t>
            </w:r>
          </w:p>
        </w:tc>
        <w:tc>
          <w:tcPr/>
          <w:p>
            <w:pPr>
              <w:pStyle w:val="Compact"/>
            </w:pPr>
            <w:r>
              <w:t xml:space="preserve">31</w:t>
            </w:r>
          </w:p>
        </w:tc>
        <w:tc>
          <w:tcPr/>
          <w:p>
            <w:pPr>
              <w:pStyle w:val="Compact"/>
            </w:pPr>
            <w:r>
              <w:t xml:space="preserve">11</w:t>
            </w:r>
          </w:p>
        </w:tc>
        <w:tc>
          <w:tcPr/>
          <w:p>
            <w:pPr>
              <w:pStyle w:val="Compact"/>
            </w:pPr>
            <w:r>
              <w:t xml:space="preserve">35.5%</w:t>
            </w:r>
          </w:p>
        </w:tc>
        <w:tc>
          <w:tcPr/>
          <w:p>
            <w:pPr>
              <w:pStyle w:val="Compact"/>
            </w:pPr>
            <w:r>
              <w:t xml:space="preserve">Yes</w:t>
            </w:r>
          </w:p>
        </w:tc>
      </w:tr>
      <w:tr>
        <w:tc>
          <w:tcPr/>
          <w:p>
            <w:pPr>
              <w:pStyle w:val="Compact"/>
            </w:pPr>
            <w:r>
              <w:t xml:space="preserve">MD</w:t>
            </w:r>
          </w:p>
        </w:tc>
        <w:tc>
          <w:tcPr/>
          <w:p>
            <w:pPr>
              <w:pStyle w:val="Compact"/>
            </w:pPr>
            <w:r>
              <w:t xml:space="preserve">29</w:t>
            </w:r>
          </w:p>
        </w:tc>
        <w:tc>
          <w:tcPr/>
          <w:p>
            <w:pPr>
              <w:pStyle w:val="Compact"/>
            </w:pPr>
            <w:r>
              <w:t xml:space="preserve">14</w:t>
            </w:r>
          </w:p>
        </w:tc>
        <w:tc>
          <w:tcPr/>
          <w:p>
            <w:pPr>
              <w:pStyle w:val="Compact"/>
            </w:pPr>
            <w:r>
              <w:t xml:space="preserve">48.3%</w:t>
            </w:r>
          </w:p>
        </w:tc>
        <w:tc>
          <w:tcPr/>
          <w:p>
            <w:pPr>
              <w:pStyle w:val="Compact"/>
            </w:pPr>
            <w:r>
              <w:t xml:space="preserve">Yes</w:t>
            </w:r>
          </w:p>
        </w:tc>
      </w:tr>
      <w:tr>
        <w:tc>
          <w:tcPr/>
          <w:p>
            <w:pPr>
              <w:pStyle w:val="Compact"/>
            </w:pPr>
            <w:r>
              <w:t xml:space="preserve">KY</w:t>
            </w:r>
          </w:p>
        </w:tc>
        <w:tc>
          <w:tcPr/>
          <w:p>
            <w:pPr>
              <w:pStyle w:val="Compact"/>
            </w:pPr>
            <w:r>
              <w:t xml:space="preserve">28</w:t>
            </w:r>
          </w:p>
        </w:tc>
        <w:tc>
          <w:tcPr/>
          <w:p>
            <w:pPr>
              <w:pStyle w:val="Compact"/>
            </w:pPr>
            <w:r>
              <w:t xml:space="preserve">10</w:t>
            </w:r>
          </w:p>
        </w:tc>
        <w:tc>
          <w:tcPr/>
          <w:p>
            <w:pPr>
              <w:pStyle w:val="Compact"/>
            </w:pPr>
            <w:r>
              <w:t xml:space="preserve">35.7%</w:t>
            </w:r>
          </w:p>
        </w:tc>
        <w:tc>
          <w:tcPr/>
          <w:p>
            <w:pPr>
              <w:pStyle w:val="Compact"/>
            </w:pPr>
            <w:r>
              <w:t xml:space="preserve">Yes</w:t>
            </w:r>
          </w:p>
        </w:tc>
      </w:tr>
      <w:tr>
        <w:tc>
          <w:tcPr/>
          <w:p>
            <w:pPr>
              <w:pStyle w:val="Compact"/>
            </w:pPr>
            <w:r>
              <w:t xml:space="preserve">OK</w:t>
            </w:r>
          </w:p>
        </w:tc>
        <w:tc>
          <w:tcPr/>
          <w:p>
            <w:pPr>
              <w:pStyle w:val="Compact"/>
            </w:pPr>
            <w:r>
              <w:t xml:space="preserve">28</w:t>
            </w:r>
          </w:p>
        </w:tc>
        <w:tc>
          <w:tcPr/>
          <w:p>
            <w:pPr>
              <w:pStyle w:val="Compact"/>
            </w:pPr>
            <w:r>
              <w:t xml:space="preserve">10</w:t>
            </w:r>
          </w:p>
        </w:tc>
        <w:tc>
          <w:tcPr/>
          <w:p>
            <w:pPr>
              <w:pStyle w:val="Compact"/>
            </w:pPr>
            <w:r>
              <w:t xml:space="preserve">35.7%</w:t>
            </w:r>
          </w:p>
        </w:tc>
        <w:tc>
          <w:tcPr/>
          <w:p>
            <w:pPr>
              <w:pStyle w:val="Compact"/>
            </w:pPr>
            <w:r>
              <w:t xml:space="preserve">Yes</w:t>
            </w:r>
          </w:p>
        </w:tc>
      </w:tr>
      <w:tr>
        <w:tc>
          <w:tcPr/>
          <w:p>
            <w:pPr>
              <w:pStyle w:val="Compact"/>
            </w:pPr>
            <w:r>
              <w:t xml:space="preserve">LA</w:t>
            </w:r>
          </w:p>
        </w:tc>
        <w:tc>
          <w:tcPr/>
          <w:p>
            <w:pPr>
              <w:pStyle w:val="Compact"/>
            </w:pPr>
            <w:r>
              <w:t xml:space="preserve">26</w:t>
            </w:r>
          </w:p>
        </w:tc>
        <w:tc>
          <w:tcPr/>
          <w:p>
            <w:pPr>
              <w:pStyle w:val="Compact"/>
            </w:pPr>
            <w:r>
              <w:t xml:space="preserve">6</w:t>
            </w:r>
          </w:p>
        </w:tc>
        <w:tc>
          <w:tcPr/>
          <w:p>
            <w:pPr>
              <w:pStyle w:val="Compact"/>
            </w:pPr>
            <w:r>
              <w:t xml:space="preserve">23.1%</w:t>
            </w:r>
          </w:p>
        </w:tc>
        <w:tc>
          <w:tcPr/>
          <w:p>
            <w:pPr>
              <w:pStyle w:val="Compact"/>
            </w:pPr>
            <w:r>
              <w:t xml:space="preserve">Yes</w:t>
            </w:r>
          </w:p>
        </w:tc>
      </w:tr>
      <w:tr>
        <w:tc>
          <w:tcPr/>
          <w:p>
            <w:pPr>
              <w:pStyle w:val="Compact"/>
            </w:pPr>
            <w:r>
              <w:t xml:space="preserve">NE</w:t>
            </w:r>
          </w:p>
        </w:tc>
        <w:tc>
          <w:tcPr/>
          <w:p>
            <w:pPr>
              <w:pStyle w:val="Compact"/>
            </w:pPr>
            <w:r>
              <w:t xml:space="preserve">25</w:t>
            </w:r>
          </w:p>
        </w:tc>
        <w:tc>
          <w:tcPr/>
          <w:p>
            <w:pPr>
              <w:pStyle w:val="Compact"/>
            </w:pPr>
            <w:r>
              <w:t xml:space="preserve">4</w:t>
            </w:r>
          </w:p>
        </w:tc>
        <w:tc>
          <w:tcPr/>
          <w:p>
            <w:pPr>
              <w:pStyle w:val="Compact"/>
            </w:pPr>
            <w:r>
              <w:t xml:space="preserve">16.0%</w:t>
            </w:r>
          </w:p>
        </w:tc>
        <w:tc>
          <w:tcPr/>
          <w:p>
            <w:pPr>
              <w:pStyle w:val="Compact"/>
            </w:pPr>
            <w:r>
              <w:t xml:space="preserve">Yes</w:t>
            </w:r>
          </w:p>
        </w:tc>
      </w:tr>
      <w:tr>
        <w:tc>
          <w:tcPr/>
          <w:p>
            <w:pPr>
              <w:pStyle w:val="Compact"/>
            </w:pPr>
            <w:r>
              <w:t xml:space="preserve">OR</w:t>
            </w:r>
          </w:p>
        </w:tc>
        <w:tc>
          <w:tcPr/>
          <w:p>
            <w:pPr>
              <w:pStyle w:val="Compact"/>
            </w:pPr>
            <w:r>
              <w:t xml:space="preserve">25</w:t>
            </w:r>
          </w:p>
        </w:tc>
        <w:tc>
          <w:tcPr/>
          <w:p>
            <w:pPr>
              <w:pStyle w:val="Compact"/>
            </w:pPr>
            <w:r>
              <w:t xml:space="preserve">9</w:t>
            </w:r>
          </w:p>
        </w:tc>
        <w:tc>
          <w:tcPr/>
          <w:p>
            <w:pPr>
              <w:pStyle w:val="Compact"/>
            </w:pPr>
            <w:r>
              <w:t xml:space="preserve">36.0%</w:t>
            </w:r>
          </w:p>
        </w:tc>
        <w:tc>
          <w:tcPr/>
          <w:p>
            <w:pPr>
              <w:pStyle w:val="Compact"/>
            </w:pPr>
            <w:r>
              <w:t xml:space="preserve">Yes</w:t>
            </w:r>
          </w:p>
        </w:tc>
      </w:tr>
      <w:tr>
        <w:tc>
          <w:tcPr/>
          <w:p>
            <w:pPr>
              <w:pStyle w:val="Compact"/>
            </w:pPr>
            <w:r>
              <w:t xml:space="preserve">CO</w:t>
            </w:r>
          </w:p>
        </w:tc>
        <w:tc>
          <w:tcPr/>
          <w:p>
            <w:pPr>
              <w:pStyle w:val="Compact"/>
            </w:pPr>
            <w:r>
              <w:t xml:space="preserve">24</w:t>
            </w:r>
          </w:p>
        </w:tc>
        <w:tc>
          <w:tcPr/>
          <w:p>
            <w:pPr>
              <w:pStyle w:val="Compact"/>
            </w:pPr>
            <w:r>
              <w:t xml:space="preserve">14</w:t>
            </w:r>
          </w:p>
        </w:tc>
        <w:tc>
          <w:tcPr/>
          <w:p>
            <w:pPr>
              <w:pStyle w:val="Compact"/>
            </w:pPr>
            <w:r>
              <w:t xml:space="preserve">58.3%</w:t>
            </w:r>
          </w:p>
        </w:tc>
        <w:tc>
          <w:tcPr/>
          <w:p>
            <w:pPr>
              <w:pStyle w:val="Compact"/>
            </w:pPr>
            <w:r>
              <w:t xml:space="preserve">Yes</w:t>
            </w:r>
          </w:p>
        </w:tc>
      </w:tr>
      <w:tr>
        <w:tc>
          <w:tcPr/>
          <w:p>
            <w:pPr>
              <w:pStyle w:val="Compact"/>
            </w:pPr>
            <w:r>
              <w:t xml:space="preserve">NV</w:t>
            </w:r>
          </w:p>
        </w:tc>
        <w:tc>
          <w:tcPr/>
          <w:p>
            <w:pPr>
              <w:pStyle w:val="Compact"/>
            </w:pPr>
            <w:r>
              <w:t xml:space="preserve">21</w:t>
            </w:r>
          </w:p>
        </w:tc>
        <w:tc>
          <w:tcPr/>
          <w:p>
            <w:pPr>
              <w:pStyle w:val="Compact"/>
            </w:pPr>
            <w:r>
              <w:t xml:space="preserve">8</w:t>
            </w:r>
          </w:p>
        </w:tc>
        <w:tc>
          <w:tcPr/>
          <w:p>
            <w:pPr>
              <w:pStyle w:val="Compact"/>
            </w:pPr>
            <w:r>
              <w:t xml:space="preserve">38.1%</w:t>
            </w:r>
          </w:p>
        </w:tc>
        <w:tc>
          <w:tcPr/>
          <w:p>
            <w:pPr>
              <w:pStyle w:val="Compact"/>
            </w:pPr>
            <w:r>
              <w:t xml:space="preserve">Yes</w:t>
            </w:r>
          </w:p>
        </w:tc>
      </w:tr>
      <w:tr>
        <w:tc>
          <w:tcPr/>
          <w:p>
            <w:pPr>
              <w:pStyle w:val="Compact"/>
            </w:pPr>
            <w:r>
              <w:t xml:space="preserve">WI</w:t>
            </w:r>
          </w:p>
        </w:tc>
        <w:tc>
          <w:tcPr/>
          <w:p>
            <w:pPr>
              <w:pStyle w:val="Compact"/>
            </w:pPr>
            <w:r>
              <w:t xml:space="preserve">20</w:t>
            </w:r>
          </w:p>
        </w:tc>
        <w:tc>
          <w:tcPr/>
          <w:p>
            <w:pPr>
              <w:pStyle w:val="Compact"/>
            </w:pPr>
            <w:r>
              <w:t xml:space="preserve">12</w:t>
            </w:r>
          </w:p>
        </w:tc>
        <w:tc>
          <w:tcPr/>
          <w:p>
            <w:pPr>
              <w:pStyle w:val="Compact"/>
            </w:pPr>
            <w:r>
              <w:t xml:space="preserve">60.0%</w:t>
            </w:r>
          </w:p>
        </w:tc>
        <w:tc>
          <w:tcPr/>
          <w:p>
            <w:pPr>
              <w:pStyle w:val="Compact"/>
            </w:pPr>
            <w:r>
              <w:t xml:space="preserve">Yes</w:t>
            </w:r>
          </w:p>
        </w:tc>
      </w:tr>
      <w:tr>
        <w:tc>
          <w:tcPr/>
          <w:p>
            <w:pPr>
              <w:pStyle w:val="Compact"/>
            </w:pPr>
            <w:r>
              <w:t xml:space="preserve">AR</w:t>
            </w:r>
          </w:p>
        </w:tc>
        <w:tc>
          <w:tcPr/>
          <w:p>
            <w:pPr>
              <w:pStyle w:val="Compact"/>
            </w:pPr>
            <w:r>
              <w:t xml:space="preserve">19</w:t>
            </w:r>
          </w:p>
        </w:tc>
        <w:tc>
          <w:tcPr/>
          <w:p>
            <w:pPr>
              <w:pStyle w:val="Compact"/>
            </w:pPr>
            <w:r>
              <w:t xml:space="preserve">3</w:t>
            </w:r>
          </w:p>
        </w:tc>
        <w:tc>
          <w:tcPr/>
          <w:p>
            <w:pPr>
              <w:pStyle w:val="Compact"/>
            </w:pPr>
            <w:r>
              <w:t xml:space="preserve">15.8%</w:t>
            </w:r>
          </w:p>
        </w:tc>
        <w:tc>
          <w:tcPr/>
          <w:p>
            <w:pPr>
              <w:pStyle w:val="Compact"/>
            </w:pPr>
            <w:r>
              <w:t xml:space="preserve">Yes</w:t>
            </w:r>
          </w:p>
        </w:tc>
      </w:tr>
      <w:tr>
        <w:tc>
          <w:tcPr/>
          <w:p>
            <w:pPr>
              <w:pStyle w:val="Compact"/>
            </w:pPr>
            <w:r>
              <w:t xml:space="preserve">KS</w:t>
            </w:r>
          </w:p>
        </w:tc>
        <w:tc>
          <w:tcPr/>
          <w:p>
            <w:pPr>
              <w:pStyle w:val="Compact"/>
            </w:pPr>
            <w:r>
              <w:t xml:space="preserve">18</w:t>
            </w:r>
          </w:p>
        </w:tc>
        <w:tc>
          <w:tcPr/>
          <w:p>
            <w:pPr>
              <w:pStyle w:val="Compact"/>
            </w:pPr>
            <w:r>
              <w:t xml:space="preserve">4</w:t>
            </w:r>
          </w:p>
        </w:tc>
        <w:tc>
          <w:tcPr/>
          <w:p>
            <w:pPr>
              <w:pStyle w:val="Compact"/>
            </w:pPr>
            <w:r>
              <w:t xml:space="preserve">22.2%</w:t>
            </w:r>
          </w:p>
        </w:tc>
        <w:tc>
          <w:tcPr/>
          <w:p>
            <w:pPr>
              <w:pStyle w:val="Compact"/>
            </w:pPr>
            <w:r>
              <w:t xml:space="preserve">Yes</w:t>
            </w:r>
          </w:p>
        </w:tc>
      </w:tr>
      <w:tr>
        <w:tc>
          <w:tcPr/>
          <w:p>
            <w:pPr>
              <w:pStyle w:val="Compact"/>
            </w:pPr>
            <w:r>
              <w:t xml:space="preserve">CT</w:t>
            </w:r>
          </w:p>
        </w:tc>
        <w:tc>
          <w:tcPr/>
          <w:p>
            <w:pPr>
              <w:pStyle w:val="Compact"/>
            </w:pPr>
            <w:r>
              <w:t xml:space="preserve">17</w:t>
            </w:r>
          </w:p>
        </w:tc>
        <w:tc>
          <w:tcPr/>
          <w:p>
            <w:pPr>
              <w:pStyle w:val="Compact"/>
            </w:pPr>
            <w:r>
              <w:t xml:space="preserve">14</w:t>
            </w:r>
          </w:p>
        </w:tc>
        <w:tc>
          <w:tcPr/>
          <w:p>
            <w:pPr>
              <w:pStyle w:val="Compact"/>
            </w:pPr>
            <w:r>
              <w:t xml:space="preserve">82.4%</w:t>
            </w:r>
          </w:p>
        </w:tc>
        <w:tc>
          <w:tcPr/>
          <w:p>
            <w:pPr>
              <w:pStyle w:val="Compact"/>
            </w:pPr>
            <w:r>
              <w:t xml:space="preserve">Yes</w:t>
            </w:r>
          </w:p>
        </w:tc>
      </w:tr>
      <w:tr>
        <w:tc>
          <w:tcPr/>
          <w:p>
            <w:pPr>
              <w:pStyle w:val="Compact"/>
            </w:pPr>
            <w:r>
              <w:t xml:space="preserve">IA</w:t>
            </w:r>
          </w:p>
        </w:tc>
        <w:tc>
          <w:tcPr/>
          <w:p>
            <w:pPr>
              <w:pStyle w:val="Compact"/>
            </w:pPr>
            <w:r>
              <w:t xml:space="preserve">15</w:t>
            </w:r>
          </w:p>
        </w:tc>
        <w:tc>
          <w:tcPr/>
          <w:p>
            <w:pPr>
              <w:pStyle w:val="Compact"/>
            </w:pPr>
            <w:r>
              <w:t xml:space="preserve">7</w:t>
            </w:r>
          </w:p>
        </w:tc>
        <w:tc>
          <w:tcPr/>
          <w:p>
            <w:pPr>
              <w:pStyle w:val="Compact"/>
            </w:pPr>
            <w:r>
              <w:t xml:space="preserve">46.7%</w:t>
            </w:r>
          </w:p>
        </w:tc>
        <w:tc>
          <w:tcPr/>
          <w:p>
            <w:pPr>
              <w:pStyle w:val="Compact"/>
            </w:pPr>
            <w:r>
              <w:t xml:space="preserve">Yes</w:t>
            </w:r>
          </w:p>
        </w:tc>
      </w:tr>
      <w:tr>
        <w:tc>
          <w:tcPr/>
          <w:p>
            <w:pPr>
              <w:pStyle w:val="Compact"/>
            </w:pPr>
            <w:r>
              <w:t xml:space="preserve">SD</w:t>
            </w:r>
          </w:p>
        </w:tc>
        <w:tc>
          <w:tcPr/>
          <w:p>
            <w:pPr>
              <w:pStyle w:val="Compact"/>
            </w:pPr>
            <w:r>
              <w:t xml:space="preserve">14</w:t>
            </w:r>
          </w:p>
        </w:tc>
        <w:tc>
          <w:tcPr/>
          <w:p>
            <w:pPr>
              <w:pStyle w:val="Compact"/>
            </w:pPr>
            <w:r>
              <w:t xml:space="preserve">3</w:t>
            </w:r>
          </w:p>
        </w:tc>
        <w:tc>
          <w:tcPr/>
          <w:p>
            <w:pPr>
              <w:pStyle w:val="Compact"/>
            </w:pPr>
            <w:r>
              <w:t xml:space="preserve">21.4%</w:t>
            </w:r>
          </w:p>
        </w:tc>
        <w:tc>
          <w:tcPr/>
          <w:p>
            <w:pPr>
              <w:pStyle w:val="Compact"/>
            </w:pPr>
            <w:r>
              <w:t xml:space="preserve">Yes</w:t>
            </w:r>
          </w:p>
        </w:tc>
      </w:tr>
      <w:tr>
        <w:tc>
          <w:tcPr/>
          <w:p>
            <w:pPr>
              <w:pStyle w:val="Compact"/>
            </w:pPr>
            <w:r>
              <w:t xml:space="preserve">MN</w:t>
            </w:r>
          </w:p>
        </w:tc>
        <w:tc>
          <w:tcPr/>
          <w:p>
            <w:pPr>
              <w:pStyle w:val="Compact"/>
            </w:pPr>
            <w:r>
              <w:t xml:space="preserve">13</w:t>
            </w:r>
          </w:p>
        </w:tc>
        <w:tc>
          <w:tcPr/>
          <w:p>
            <w:pPr>
              <w:pStyle w:val="Compact"/>
            </w:pPr>
            <w:r>
              <w:t xml:space="preserve">11</w:t>
            </w:r>
          </w:p>
        </w:tc>
        <w:tc>
          <w:tcPr/>
          <w:p>
            <w:pPr>
              <w:pStyle w:val="Compact"/>
            </w:pPr>
            <w:r>
              <w:t xml:space="preserve">84.6%</w:t>
            </w:r>
          </w:p>
        </w:tc>
        <w:tc>
          <w:tcPr/>
          <w:p>
            <w:pPr>
              <w:pStyle w:val="Compact"/>
            </w:pPr>
            <w:r>
              <w:t xml:space="preserve">Yes</w:t>
            </w:r>
          </w:p>
        </w:tc>
      </w:tr>
      <w:tr>
        <w:tc>
          <w:tcPr/>
          <w:p>
            <w:pPr>
              <w:pStyle w:val="Compact"/>
            </w:pPr>
            <w:r>
              <w:t xml:space="preserve">MS</w:t>
            </w:r>
          </w:p>
        </w:tc>
        <w:tc>
          <w:tcPr/>
          <w:p>
            <w:pPr>
              <w:pStyle w:val="Compact"/>
            </w:pPr>
            <w:r>
              <w:t xml:space="preserve">11</w:t>
            </w:r>
          </w:p>
        </w:tc>
        <w:tc>
          <w:tcPr/>
          <w:p>
            <w:pPr>
              <w:pStyle w:val="Compact"/>
            </w:pPr>
            <w:r>
              <w:t xml:space="preserve">3</w:t>
            </w:r>
          </w:p>
        </w:tc>
        <w:tc>
          <w:tcPr/>
          <w:p>
            <w:pPr>
              <w:pStyle w:val="Compact"/>
            </w:pPr>
            <w:r>
              <w:t xml:space="preserve">27.3%</w:t>
            </w:r>
          </w:p>
        </w:tc>
        <w:tc>
          <w:tcPr/>
          <w:p>
            <w:pPr>
              <w:pStyle w:val="Compact"/>
            </w:pPr>
            <w:r>
              <w:t xml:space="preserve">Yes</w:t>
            </w:r>
          </w:p>
        </w:tc>
      </w:tr>
      <w:tr>
        <w:tc>
          <w:tcPr/>
          <w:p>
            <w:pPr>
              <w:pStyle w:val="Compact"/>
            </w:pPr>
            <w:r>
              <w:t xml:space="preserve">NM</w:t>
            </w:r>
          </w:p>
        </w:tc>
        <w:tc>
          <w:tcPr/>
          <w:p>
            <w:pPr>
              <w:pStyle w:val="Compact"/>
            </w:pPr>
            <w:r>
              <w:t xml:space="preserve">10</w:t>
            </w:r>
          </w:p>
        </w:tc>
        <w:tc>
          <w:tcPr/>
          <w:p>
            <w:pPr>
              <w:pStyle w:val="Compact"/>
            </w:pPr>
            <w:r>
              <w:t xml:space="preserve">5</w:t>
            </w:r>
          </w:p>
        </w:tc>
        <w:tc>
          <w:tcPr/>
          <w:p>
            <w:pPr>
              <w:pStyle w:val="Compact"/>
            </w:pPr>
            <w:r>
              <w:t xml:space="preserve">50.0%</w:t>
            </w:r>
          </w:p>
        </w:tc>
        <w:tc>
          <w:tcPr/>
          <w:p>
            <w:pPr>
              <w:pStyle w:val="Compact"/>
            </w:pPr>
            <w:r>
              <w:t xml:space="preserve">Yes</w:t>
            </w:r>
          </w:p>
        </w:tc>
      </w:tr>
      <w:tr>
        <w:tc>
          <w:tcPr/>
          <w:p>
            <w:pPr>
              <w:pStyle w:val="Compact"/>
            </w:pPr>
            <w:r>
              <w:t xml:space="preserve">UT</w:t>
            </w:r>
          </w:p>
        </w:tc>
        <w:tc>
          <w:tcPr/>
          <w:p>
            <w:pPr>
              <w:pStyle w:val="Compact"/>
            </w:pPr>
            <w:r>
              <w:t xml:space="preserve">10</w:t>
            </w:r>
          </w:p>
        </w:tc>
        <w:tc>
          <w:tcPr/>
          <w:p>
            <w:pPr>
              <w:pStyle w:val="Compact"/>
            </w:pPr>
            <w:r>
              <w:t xml:space="preserve">3</w:t>
            </w:r>
          </w:p>
        </w:tc>
        <w:tc>
          <w:tcPr/>
          <w:p>
            <w:pPr>
              <w:pStyle w:val="Compact"/>
            </w:pPr>
            <w:r>
              <w:t xml:space="preserve">30.0%</w:t>
            </w:r>
          </w:p>
        </w:tc>
        <w:tc>
          <w:tcPr/>
          <w:p>
            <w:pPr>
              <w:pStyle w:val="Compact"/>
            </w:pPr>
            <w:r>
              <w:t xml:space="preserve">Yes</w:t>
            </w:r>
          </w:p>
        </w:tc>
      </w:tr>
      <w:tr>
        <w:tc>
          <w:tcPr/>
          <w:p>
            <w:pPr>
              <w:pStyle w:val="Compact"/>
            </w:pPr>
            <w:r>
              <w:t xml:space="preserve">ME</w:t>
            </w:r>
          </w:p>
        </w:tc>
        <w:tc>
          <w:tcPr/>
          <w:p>
            <w:pPr>
              <w:pStyle w:val="Compact"/>
            </w:pPr>
            <w:r>
              <w:t xml:space="preserve">9</w:t>
            </w:r>
          </w:p>
        </w:tc>
        <w:tc>
          <w:tcPr/>
          <w:p>
            <w:pPr>
              <w:pStyle w:val="Compact"/>
            </w:pPr>
            <w:r>
              <w:t xml:space="preserve">6</w:t>
            </w:r>
          </w:p>
        </w:tc>
        <w:tc>
          <w:tcPr/>
          <w:p>
            <w:pPr>
              <w:pStyle w:val="Compact"/>
            </w:pPr>
            <w:r>
              <w:t xml:space="preserve">66.7%</w:t>
            </w:r>
          </w:p>
        </w:tc>
        <w:tc>
          <w:tcPr/>
          <w:p>
            <w:pPr>
              <w:pStyle w:val="Compact"/>
            </w:pPr>
            <w:r>
              <w:t xml:space="preserve">Yes</w:t>
            </w:r>
          </w:p>
        </w:tc>
      </w:tr>
      <w:tr>
        <w:tc>
          <w:tcPr/>
          <w:p>
            <w:pPr>
              <w:pStyle w:val="Compact"/>
            </w:pPr>
            <w:r>
              <w:t xml:space="preserve">NH</w:t>
            </w:r>
          </w:p>
        </w:tc>
        <w:tc>
          <w:tcPr/>
          <w:p>
            <w:pPr>
              <w:pStyle w:val="Compact"/>
            </w:pPr>
            <w:r>
              <w:t xml:space="preserve">9</w:t>
            </w:r>
          </w:p>
        </w:tc>
        <w:tc>
          <w:tcPr/>
          <w:p>
            <w:pPr>
              <w:pStyle w:val="Compact"/>
            </w:pPr>
            <w:r>
              <w:t xml:space="preserve">5</w:t>
            </w:r>
          </w:p>
        </w:tc>
        <w:tc>
          <w:tcPr/>
          <w:p>
            <w:pPr>
              <w:pStyle w:val="Compact"/>
            </w:pPr>
            <w:r>
              <w:t xml:space="preserve">55.6%</w:t>
            </w:r>
          </w:p>
        </w:tc>
        <w:tc>
          <w:tcPr/>
          <w:p>
            <w:pPr>
              <w:pStyle w:val="Compact"/>
            </w:pPr>
            <w:r>
              <w:t xml:space="preserve">Yes</w:t>
            </w:r>
          </w:p>
        </w:tc>
      </w:tr>
      <w:tr>
        <w:tc>
          <w:tcPr/>
          <w:p>
            <w:pPr>
              <w:pStyle w:val="Compact"/>
            </w:pPr>
            <w:r>
              <w:t xml:space="preserve">WV</w:t>
            </w:r>
          </w:p>
        </w:tc>
        <w:tc>
          <w:tcPr/>
          <w:p>
            <w:pPr>
              <w:pStyle w:val="Compact"/>
            </w:pPr>
            <w:r>
              <w:t xml:space="preserve">8</w:t>
            </w:r>
          </w:p>
        </w:tc>
        <w:tc>
          <w:tcPr/>
          <w:p>
            <w:pPr>
              <w:pStyle w:val="Compact"/>
            </w:pPr>
            <w:r>
              <w:t xml:space="preserve">3</w:t>
            </w:r>
          </w:p>
        </w:tc>
        <w:tc>
          <w:tcPr/>
          <w:p>
            <w:pPr>
              <w:pStyle w:val="Compact"/>
            </w:pPr>
            <w:r>
              <w:t xml:space="preserve">37.5%</w:t>
            </w:r>
          </w:p>
        </w:tc>
        <w:tc>
          <w:tcPr/>
          <w:p>
            <w:pPr>
              <w:pStyle w:val="Compact"/>
            </w:pPr>
            <w:r>
              <w:t xml:space="preserve">Yes</w:t>
            </w:r>
          </w:p>
        </w:tc>
      </w:tr>
      <w:tr>
        <w:tc>
          <w:tcPr/>
          <w:p>
            <w:pPr>
              <w:pStyle w:val="Compact"/>
            </w:pPr>
            <w:r>
              <w:t xml:space="preserve">RI</w:t>
            </w:r>
          </w:p>
        </w:tc>
        <w:tc>
          <w:tcPr/>
          <w:p>
            <w:pPr>
              <w:pStyle w:val="Compact"/>
            </w:pPr>
            <w:r>
              <w:t xml:space="preserve">7</w:t>
            </w:r>
          </w:p>
        </w:tc>
        <w:tc>
          <w:tcPr/>
          <w:p>
            <w:pPr>
              <w:pStyle w:val="Compact"/>
            </w:pPr>
            <w:r>
              <w:t xml:space="preserve">5</w:t>
            </w:r>
          </w:p>
        </w:tc>
        <w:tc>
          <w:tcPr/>
          <w:p>
            <w:pPr>
              <w:pStyle w:val="Compact"/>
            </w:pPr>
            <w:r>
              <w:t xml:space="preserve">71.4%</w:t>
            </w:r>
          </w:p>
        </w:tc>
        <w:tc>
          <w:tcPr/>
          <w:p>
            <w:pPr>
              <w:pStyle w:val="Compact"/>
            </w:pPr>
            <w:r>
              <w:t xml:space="preserve">Yes</w:t>
            </w:r>
          </w:p>
        </w:tc>
      </w:tr>
      <w:tr>
        <w:tc>
          <w:tcPr/>
          <w:p>
            <w:pPr>
              <w:pStyle w:val="Compact"/>
            </w:pPr>
            <w:r>
              <w:t xml:space="preserve">DC</w:t>
            </w:r>
          </w:p>
        </w:tc>
        <w:tc>
          <w:tcPr/>
          <w:p>
            <w:pPr>
              <w:pStyle w:val="Compact"/>
            </w:pPr>
            <w:r>
              <w:t xml:space="preserve">6</w:t>
            </w:r>
          </w:p>
        </w:tc>
        <w:tc>
          <w:tcPr/>
          <w:p>
            <w:pPr>
              <w:pStyle w:val="Compact"/>
            </w:pPr>
            <w:r>
              <w:t xml:space="preserve">5</w:t>
            </w:r>
          </w:p>
        </w:tc>
        <w:tc>
          <w:tcPr/>
          <w:p>
            <w:pPr>
              <w:pStyle w:val="Compact"/>
            </w:pPr>
            <w:r>
              <w:t xml:space="preserve">83.3%</w:t>
            </w:r>
          </w:p>
        </w:tc>
        <w:tc>
          <w:tcPr/>
          <w:p>
            <w:pPr>
              <w:pStyle w:val="Compact"/>
            </w:pPr>
            <w:r>
              <w:t xml:space="preserve">Yes</w:t>
            </w:r>
          </w:p>
        </w:tc>
      </w:tr>
      <w:tr>
        <w:tc>
          <w:tcPr/>
          <w:p>
            <w:pPr>
              <w:pStyle w:val="Compact"/>
            </w:pPr>
            <w:r>
              <w:t xml:space="preserve">DE</w:t>
            </w:r>
          </w:p>
        </w:tc>
        <w:tc>
          <w:tcPr/>
          <w:p>
            <w:pPr>
              <w:pStyle w:val="Compact"/>
            </w:pPr>
            <w:r>
              <w:t xml:space="preserve">6</w:t>
            </w:r>
          </w:p>
        </w:tc>
        <w:tc>
          <w:tcPr/>
          <w:p>
            <w:pPr>
              <w:pStyle w:val="Compact"/>
            </w:pPr>
            <w:r>
              <w:t xml:space="preserve">4</w:t>
            </w:r>
          </w:p>
        </w:tc>
        <w:tc>
          <w:tcPr/>
          <w:p>
            <w:pPr>
              <w:pStyle w:val="Compact"/>
            </w:pPr>
            <w:r>
              <w:t xml:space="preserve">66.7%</w:t>
            </w:r>
          </w:p>
        </w:tc>
        <w:tc>
          <w:tcPr/>
          <w:p>
            <w:pPr>
              <w:pStyle w:val="Compact"/>
            </w:pPr>
            <w:r>
              <w:t xml:space="preserve">Yes</w:t>
            </w:r>
          </w:p>
        </w:tc>
      </w:tr>
      <w:tr>
        <w:tc>
          <w:tcPr/>
          <w:p>
            <w:pPr>
              <w:pStyle w:val="Compact"/>
            </w:pPr>
            <w:r>
              <w:t xml:space="preserve">MT</w:t>
            </w:r>
          </w:p>
        </w:tc>
        <w:tc>
          <w:tcPr/>
          <w:p>
            <w:pPr>
              <w:pStyle w:val="Compact"/>
            </w:pPr>
            <w:r>
              <w:t xml:space="preserve">6</w:t>
            </w:r>
          </w:p>
        </w:tc>
        <w:tc>
          <w:tcPr/>
          <w:p>
            <w:pPr>
              <w:pStyle w:val="Compact"/>
            </w:pPr>
            <w:r>
              <w:t xml:space="preserve">2</w:t>
            </w:r>
          </w:p>
        </w:tc>
        <w:tc>
          <w:tcPr/>
          <w:p>
            <w:pPr>
              <w:pStyle w:val="Compact"/>
            </w:pPr>
            <w:r>
              <w:t xml:space="preserve">33.3%</w:t>
            </w:r>
          </w:p>
        </w:tc>
        <w:tc>
          <w:tcPr/>
          <w:p>
            <w:pPr>
              <w:pStyle w:val="Compact"/>
            </w:pPr>
            <w:r>
              <w:t xml:space="preserve">Yes</w:t>
            </w:r>
          </w:p>
        </w:tc>
      </w:tr>
      <w:tr>
        <w:tc>
          <w:tcPr/>
          <w:p>
            <w:pPr>
              <w:pStyle w:val="Compact"/>
            </w:pPr>
            <w:r>
              <w:t xml:space="preserve">ID</w:t>
            </w:r>
          </w:p>
        </w:tc>
        <w:tc>
          <w:tcPr/>
          <w:p>
            <w:pPr>
              <w:pStyle w:val="Compact"/>
            </w:pPr>
            <w:r>
              <w:t xml:space="preserve">5</w:t>
            </w:r>
          </w:p>
        </w:tc>
        <w:tc>
          <w:tcPr/>
          <w:p>
            <w:pPr>
              <w:pStyle w:val="Compact"/>
            </w:pPr>
            <w:r>
              <w:t xml:space="preserve">3</w:t>
            </w:r>
          </w:p>
        </w:tc>
        <w:tc>
          <w:tcPr/>
          <w:p>
            <w:pPr>
              <w:pStyle w:val="Compact"/>
            </w:pPr>
            <w:r>
              <w:t xml:space="preserve">60.0%</w:t>
            </w:r>
          </w:p>
        </w:tc>
        <w:tc>
          <w:tcPr/>
          <w:p>
            <w:pPr>
              <w:pStyle w:val="Compact"/>
            </w:pPr>
            <w:r>
              <w:t xml:space="preserve">Yes</w:t>
            </w:r>
          </w:p>
        </w:tc>
      </w:tr>
      <w:tr>
        <w:tc>
          <w:tcPr/>
          <w:p>
            <w:pPr>
              <w:pStyle w:val="Compact"/>
            </w:pPr>
            <w:r>
              <w:t xml:space="preserve">ND</w:t>
            </w:r>
          </w:p>
        </w:tc>
        <w:tc>
          <w:tcPr/>
          <w:p>
            <w:pPr>
              <w:pStyle w:val="Compact"/>
            </w:pPr>
            <w:r>
              <w:t xml:space="preserve">5</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HI</w:t>
            </w:r>
          </w:p>
        </w:tc>
        <w:tc>
          <w:tcPr/>
          <w:p>
            <w:pPr>
              <w:pStyle w:val="Compact"/>
            </w:pPr>
            <w:r>
              <w:t xml:space="preserve">3</w:t>
            </w:r>
          </w:p>
        </w:tc>
        <w:tc>
          <w:tcPr/>
          <w:p>
            <w:pPr>
              <w:pStyle w:val="Compact"/>
            </w:pPr>
            <w:r>
              <w:t xml:space="preserve">3</w:t>
            </w:r>
          </w:p>
        </w:tc>
        <w:tc>
          <w:tcPr/>
          <w:p>
            <w:pPr>
              <w:pStyle w:val="Compact"/>
            </w:pPr>
            <w:r>
              <w:t xml:space="preserve">100.0%</w:t>
            </w:r>
          </w:p>
        </w:tc>
        <w:tc>
          <w:tcPr/>
          <w:p>
            <w:pPr>
              <w:pStyle w:val="Compact"/>
            </w:pPr>
            <w:r>
              <w:t xml:space="preserve">Yes</w:t>
            </w:r>
          </w:p>
        </w:tc>
      </w:tr>
      <w:tr>
        <w:tc>
          <w:tcPr/>
          <w:p>
            <w:pPr>
              <w:pStyle w:val="Compact"/>
            </w:pPr>
            <w:r>
              <w:t xml:space="preserve">VT</w:t>
            </w:r>
          </w:p>
        </w:tc>
        <w:tc>
          <w:tcPr/>
          <w:p>
            <w:pPr>
              <w:pStyle w:val="Compact"/>
            </w:pPr>
            <w:r>
              <w:t xml:space="preserve">3</w:t>
            </w:r>
          </w:p>
        </w:tc>
        <w:tc>
          <w:tcPr/>
          <w:p>
            <w:pPr>
              <w:pStyle w:val="Compact"/>
            </w:pPr>
            <w:r>
              <w:t xml:space="preserve">2</w:t>
            </w:r>
          </w:p>
        </w:tc>
        <w:tc>
          <w:tcPr/>
          <w:p>
            <w:pPr>
              <w:pStyle w:val="Compact"/>
            </w:pPr>
            <w:r>
              <w:t xml:space="preserve">66.7%</w:t>
            </w:r>
          </w:p>
        </w:tc>
        <w:tc>
          <w:tcPr/>
          <w:p>
            <w:pPr>
              <w:pStyle w:val="Compact"/>
            </w:pPr>
            <w:r>
              <w:t xml:space="preserve">Yes</w:t>
            </w:r>
          </w:p>
        </w:tc>
      </w:tr>
      <w:tr>
        <w:tc>
          <w:tcPr/>
          <w:p>
            <w:pPr>
              <w:pStyle w:val="Compact"/>
            </w:pPr>
            <w:r>
              <w:t xml:space="preserve">PR</w:t>
            </w:r>
          </w:p>
        </w:tc>
        <w:tc>
          <w:tcPr/>
          <w:p>
            <w:pPr>
              <w:pStyle w:val="Compact"/>
            </w:pPr>
            <w:r>
              <w:t xml:space="preserve">2</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AK</w:t>
            </w:r>
          </w:p>
        </w:tc>
        <w:tc>
          <w:tcPr/>
          <w:p>
            <w:pPr>
              <w:pStyle w:val="Compact"/>
            </w:pPr>
            <w:r>
              <w:t xml:space="preserve">1</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WY</w:t>
            </w:r>
          </w:p>
        </w:tc>
        <w:tc>
          <w:tcPr/>
          <w:p>
            <w:pPr>
              <w:pStyle w:val="Compact"/>
            </w:pPr>
            <w:r>
              <w:t xml:space="preserve">1</w:t>
            </w:r>
          </w:p>
        </w:tc>
        <w:tc>
          <w:tcPr/>
          <w:p>
            <w:pPr>
              <w:pStyle w:val="Compact"/>
            </w:pPr>
            <w:r>
              <w:t xml:space="preserve">0</w:t>
            </w:r>
          </w:p>
        </w:tc>
        <w:tc>
          <w:tcPr/>
          <w:p>
            <w:pPr>
              <w:pStyle w:val="Compact"/>
            </w:pPr>
            <w:r>
              <w:t xml:space="preserve">0.0%</w:t>
            </w:r>
          </w:p>
        </w:tc>
        <w:tc>
          <w:tcPr/>
          <w:p>
            <w:pPr>
              <w:pStyle w:val="Compact"/>
            </w:pPr>
            <w:r>
              <w:t xml:space="preserve">No</w:t>
            </w:r>
          </w:p>
        </w:tc>
      </w:tr>
    </w:tbl>
    <w:p>
      <w:pPr>
        <w:pStyle w:val="BodyText"/>
      </w:pPr>
      <w:r>
        <w:rPr>
          <w:b/>
          <w:bCs/>
        </w:rPr>
        <w:t xml:space="preserve">Supplementary Table S8.</w:t>
      </w:r>
      <w:r>
        <w:t xml:space="preserve"> </w:t>
      </w:r>
      <w:r>
        <w:t xml:space="preserve">Suppression sensitivity. Hypothetical suppressed low-volume providers (25% and 50% of the observed count, each performing 1–10 services) were added to each group before recomputing the Gini coefficient and HHI. Concentration rose only modestly, so the low-concentration conclusion is robust to the unobserved low-volume tail.</w:t>
      </w:r>
    </w:p>
    <w:tbl>
      <w:tblPr>
        <w:tblStyle w:val="Table"/>
        <w:tblW w:type="pct" w:w="5000"/>
        <w:tblLayout w:type="fixed"/>
        <w:tblLook w:firstRow="1" w:lastRow="0" w:firstColumn="0" w:lastColumn="0" w:noHBand="0" w:noVBand="0" w:val="0020"/>
      </w:tblPr>
      <w:tblGrid>
        <w:gridCol w:w="1556"/>
        <w:gridCol w:w="1015"/>
        <w:gridCol w:w="1489"/>
        <w:gridCol w:w="1489"/>
        <w:gridCol w:w="947"/>
        <w:gridCol w:w="1421"/>
      </w:tblGrid>
      <w:tr>
        <w:trPr>
          <w:tblHeader w:val="on"/>
        </w:trPr>
        <w:tc>
          <w:tcPr/>
          <w:p>
            <w:pPr>
              <w:pStyle w:val="Compact"/>
            </w:pPr>
            <w:r>
              <w:t xml:space="preserve">Specialty</w:t>
            </w:r>
          </w:p>
        </w:tc>
        <w:tc>
          <w:tcPr/>
          <w:p>
            <w:pPr>
              <w:pStyle w:val="Compact"/>
            </w:pPr>
            <w:r>
              <w:t xml:space="preserve">Observed Gini</w:t>
            </w:r>
          </w:p>
        </w:tc>
        <w:tc>
          <w:tcPr/>
          <w:p>
            <w:pPr>
              <w:pStyle w:val="Compact"/>
            </w:pPr>
            <w:r>
              <w:t xml:space="preserve">Gini +25% suppressed</w:t>
            </w:r>
          </w:p>
        </w:tc>
        <w:tc>
          <w:tcPr/>
          <w:p>
            <w:pPr>
              <w:pStyle w:val="Compact"/>
            </w:pPr>
            <w:r>
              <w:t xml:space="preserve">Gini +50% suppressed</w:t>
            </w:r>
          </w:p>
        </w:tc>
        <w:tc>
          <w:tcPr/>
          <w:p>
            <w:pPr>
              <w:pStyle w:val="Compact"/>
            </w:pPr>
            <w:r>
              <w:t xml:space="preserve">Observed HHI</w:t>
            </w:r>
          </w:p>
        </w:tc>
        <w:tc>
          <w:tcPr/>
          <w:p>
            <w:pPr>
              <w:pStyle w:val="Compact"/>
            </w:pPr>
            <w:r>
              <w:t xml:space="preserve">HHI +50% suppressed</w:t>
            </w:r>
          </w:p>
        </w:tc>
      </w:tr>
      <w:tr>
        <w:tc>
          <w:tcPr/>
          <w:p>
            <w:pPr>
              <w:pStyle w:val="Compact"/>
            </w:pPr>
            <w:r>
              <w:t xml:space="preserve">URPS (OB/GYN)</w:t>
            </w:r>
          </w:p>
        </w:tc>
        <w:tc>
          <w:tcPr/>
          <w:p>
            <w:pPr>
              <w:pStyle w:val="Compact"/>
            </w:pPr>
            <w:r>
              <w:t xml:space="preserve">0.51</w:t>
            </w:r>
          </w:p>
        </w:tc>
        <w:tc>
          <w:tcPr/>
          <w:p>
            <w:pPr>
              <w:pStyle w:val="Compact"/>
            </w:pPr>
            <w:r>
              <w:t xml:space="preserve">0.59</w:t>
            </w:r>
          </w:p>
        </w:tc>
        <w:tc>
          <w:tcPr/>
          <w:p>
            <w:pPr>
              <w:pStyle w:val="Compact"/>
            </w:pPr>
            <w:r>
              <w:t xml:space="preserve">0.64</w:t>
            </w:r>
          </w:p>
        </w:tc>
        <w:tc>
          <w:tcPr/>
          <w:p>
            <w:pPr>
              <w:pStyle w:val="Compact"/>
            </w:pPr>
            <w:r>
              <w:t xml:space="preserve">33</w:t>
            </w:r>
          </w:p>
        </w:tc>
        <w:tc>
          <w:tcPr/>
          <w:p>
            <w:pPr>
              <w:pStyle w:val="Compact"/>
            </w:pPr>
            <w:r>
              <w:t xml:space="preserve">31</w:t>
            </w:r>
          </w:p>
        </w:tc>
      </w:tr>
      <w:tr>
        <w:tc>
          <w:tcPr/>
          <w:p>
            <w:pPr>
              <w:pStyle w:val="Compact"/>
            </w:pPr>
            <w:r>
              <w:t xml:space="preserve">URPS (urology)</w:t>
            </w:r>
          </w:p>
        </w:tc>
        <w:tc>
          <w:tcPr/>
          <w:p>
            <w:pPr>
              <w:pStyle w:val="Compact"/>
            </w:pPr>
            <w:r>
              <w:t xml:space="preserve">0.53</w:t>
            </w:r>
          </w:p>
        </w:tc>
        <w:tc>
          <w:tcPr/>
          <w:p>
            <w:pPr>
              <w:pStyle w:val="Compact"/>
            </w:pPr>
            <w:r>
              <w:t xml:space="preserve">0.60</w:t>
            </w:r>
          </w:p>
        </w:tc>
        <w:tc>
          <w:tcPr/>
          <w:p>
            <w:pPr>
              <w:pStyle w:val="Compact"/>
            </w:pPr>
            <w:r>
              <w:t xml:space="preserve">0.65</w:t>
            </w:r>
          </w:p>
        </w:tc>
        <w:tc>
          <w:tcPr/>
          <w:p>
            <w:pPr>
              <w:pStyle w:val="Compact"/>
            </w:pPr>
            <w:r>
              <w:t xml:space="preserve">149</w:t>
            </w:r>
          </w:p>
        </w:tc>
        <w:tc>
          <w:tcPr/>
          <w:p>
            <w:pPr>
              <w:pStyle w:val="Compact"/>
            </w:pPr>
            <w:r>
              <w:t xml:space="preserve">140</w:t>
            </w:r>
          </w:p>
        </w:tc>
      </w:tr>
      <w:tr>
        <w:tc>
          <w:tcPr/>
          <w:p>
            <w:pPr>
              <w:pStyle w:val="Compact"/>
            </w:pPr>
            <w:r>
              <w:t xml:space="preserve">Urology (non-URPS)</w:t>
            </w:r>
          </w:p>
        </w:tc>
        <w:tc>
          <w:tcPr/>
          <w:p>
            <w:pPr>
              <w:pStyle w:val="Compact"/>
            </w:pPr>
            <w:r>
              <w:t xml:space="preserve">0.52</w:t>
            </w:r>
          </w:p>
        </w:tc>
        <w:tc>
          <w:tcPr/>
          <w:p>
            <w:pPr>
              <w:pStyle w:val="Compact"/>
            </w:pPr>
            <w:r>
              <w:t xml:space="preserve">0.59</w:t>
            </w:r>
          </w:p>
        </w:tc>
        <w:tc>
          <w:tcPr/>
          <w:p>
            <w:pPr>
              <w:pStyle w:val="Compact"/>
            </w:pPr>
            <w:r>
              <w:t xml:space="preserve">0.62</w:t>
            </w:r>
          </w:p>
        </w:tc>
        <w:tc>
          <w:tcPr/>
          <w:p>
            <w:pPr>
              <w:pStyle w:val="Compact"/>
            </w:pPr>
            <w:r>
              <w:t xml:space="preserve">65</w:t>
            </w:r>
          </w:p>
        </w:tc>
        <w:tc>
          <w:tcPr/>
          <w:p>
            <w:pPr>
              <w:pStyle w:val="Compact"/>
            </w:pPr>
            <w:r>
              <w:t xml:space="preserve">59</w:t>
            </w:r>
          </w:p>
        </w:tc>
      </w:tr>
      <w:tr>
        <w:tc>
          <w:tcPr/>
          <w:p>
            <w:pPr>
              <w:pStyle w:val="Compact"/>
            </w:pPr>
            <w:r>
              <w:t xml:space="preserve">Other non-URPS OB/GYN</w:t>
            </w:r>
          </w:p>
        </w:tc>
        <w:tc>
          <w:tcPr/>
          <w:p>
            <w:pPr>
              <w:pStyle w:val="Compact"/>
            </w:pPr>
            <w:r>
              <w:t xml:space="preserve">0.56</w:t>
            </w:r>
          </w:p>
        </w:tc>
        <w:tc>
          <w:tcPr/>
          <w:p>
            <w:pPr>
              <w:pStyle w:val="Compact"/>
            </w:pPr>
            <w:r>
              <w:t xml:space="preserve">0.62</w:t>
            </w:r>
          </w:p>
        </w:tc>
        <w:tc>
          <w:tcPr/>
          <w:p>
            <w:pPr>
              <w:pStyle w:val="Compact"/>
            </w:pPr>
            <w:r>
              <w:t xml:space="preserve">0.65</w:t>
            </w:r>
          </w:p>
        </w:tc>
        <w:tc>
          <w:tcPr/>
          <w:p>
            <w:pPr>
              <w:pStyle w:val="Compact"/>
            </w:pPr>
            <w:r>
              <w:t xml:space="preserve">89</w:t>
            </w:r>
          </w:p>
        </w:tc>
        <w:tc>
          <w:tcPr/>
          <w:p>
            <w:pPr>
              <w:pStyle w:val="Compact"/>
            </w:pPr>
            <w:r>
              <w:t xml:space="preserve">81</w:t>
            </w:r>
          </w:p>
        </w:tc>
      </w:tr>
    </w:tbl>
    <w:p>
      <w:pPr>
        <w:pStyle w:val="BodyText"/>
      </w:pPr>
      <w:r>
        <w:rPr>
          <w:b/>
          <w:bCs/>
        </w:rPr>
        <w:t xml:space="preserve">Supplementary Table S9.</w:t>
      </w:r>
      <w:r>
        <w:t xml:space="preserve"> </w:t>
      </w:r>
      <w:r>
        <w:t xml:space="preserve">Annual observable participation transitions using a two-year washout. Newly observable surgeons were absent in both prior observable years; surgeons no longer observable were absent in both subsequent observable years. Newly observable and continuing counts are undefined for the first two years, and no-longer-observable counts are undefined for the last two years. These describe threshold crossings, not definitive entry into or exit from practice.</w:t>
      </w:r>
    </w:p>
    <w:tbl>
      <w:tblPr>
        <w:tblStyle w:val="Table"/>
        <w:tblW w:type="pct" w:w="5000"/>
        <w:tblLayout w:type="fixed"/>
        <w:tblLook w:firstRow="1" w:lastRow="0" w:firstColumn="0" w:lastColumn="0" w:noHBand="0" w:noVBand="0" w:val="0020"/>
      </w:tblPr>
      <w:tblGrid>
        <w:gridCol w:w="505"/>
        <w:gridCol w:w="1011"/>
        <w:gridCol w:w="842"/>
        <w:gridCol w:w="1011"/>
        <w:gridCol w:w="758"/>
        <w:gridCol w:w="1853"/>
        <w:gridCol w:w="1937"/>
      </w:tblGrid>
      <w:tr>
        <w:trPr>
          <w:tblHeader w:val="on"/>
        </w:trPr>
        <w:tc>
          <w:tcPr/>
          <w:p>
            <w:pPr>
              <w:pStyle w:val="Compact"/>
            </w:pPr>
            <w:r>
              <w:t xml:space="preserve">Year</w:t>
            </w:r>
          </w:p>
        </w:tc>
        <w:tc>
          <w:tcPr/>
          <w:p>
            <w:pPr>
              <w:pStyle w:val="Compact"/>
            </w:pPr>
            <w:r>
              <w:t xml:space="preserve">Observable</w:t>
            </w:r>
          </w:p>
        </w:tc>
        <w:tc>
          <w:tcPr/>
          <w:p>
            <w:pPr>
              <w:pStyle w:val="Compact"/>
            </w:pPr>
            <w:r>
              <w:t xml:space="preserve">Entrants</w:t>
            </w:r>
          </w:p>
        </w:tc>
        <w:tc>
          <w:tcPr/>
          <w:p>
            <w:pPr>
              <w:pStyle w:val="Compact"/>
            </w:pPr>
            <w:r>
              <w:t xml:space="preserve">Continuing</w:t>
            </w:r>
          </w:p>
        </w:tc>
        <w:tc>
          <w:tcPr/>
          <w:p>
            <w:pPr>
              <w:pStyle w:val="Compact"/>
            </w:pPr>
            <w:r>
              <w:t xml:space="preserve">Exiting</w:t>
            </w:r>
          </w:p>
        </w:tc>
        <w:tc>
          <w:tcPr/>
          <w:p>
            <w:pPr>
              <w:pStyle w:val="Compact"/>
            </w:pPr>
            <w:r>
              <w:t xml:space="preserve">% volume by entrants</w:t>
            </w:r>
          </w:p>
        </w:tc>
        <w:tc>
          <w:tcPr/>
          <w:p>
            <w:pPr>
              <w:pStyle w:val="Compact"/>
            </w:pPr>
            <w:r>
              <w:t xml:space="preserve">Median entrant volume</w:t>
            </w:r>
          </w:p>
        </w:tc>
      </w:tr>
      <w:tr>
        <w:tc>
          <w:tcPr/>
          <w:p>
            <w:pPr>
              <w:pStyle w:val="Compact"/>
            </w:pPr>
            <w:r>
              <w:t xml:space="preserve">2013</w:t>
            </w:r>
          </w:p>
        </w:tc>
        <w:tc>
          <w:tcPr/>
          <w:p>
            <w:pPr>
              <w:pStyle w:val="Compact"/>
            </w:pPr>
            <w:r>
              <w:t xml:space="preserve">779</w:t>
            </w:r>
          </w:p>
        </w:tc>
        <w:tc>
          <w:tcPr/>
          <w:p>
            <w:pPr>
              <w:pStyle w:val="Compact"/>
            </w:pPr>
            <w:r>
              <w:t xml:space="preserve">n/a</w:t>
            </w:r>
          </w:p>
        </w:tc>
        <w:tc>
          <w:tcPr/>
          <w:p>
            <w:pPr>
              <w:pStyle w:val="Compact"/>
            </w:pPr>
            <w:r>
              <w:t xml:space="preserve">n/a</w:t>
            </w:r>
          </w:p>
        </w:tc>
        <w:tc>
          <w:tcPr/>
          <w:p>
            <w:pPr>
              <w:pStyle w:val="Compact"/>
            </w:pPr>
            <w:r>
              <w:t xml:space="preserve">204</w:t>
            </w:r>
          </w:p>
        </w:tc>
        <w:tc>
          <w:tcPr/>
          <w:p>
            <w:pPr>
              <w:pStyle w:val="Compact"/>
            </w:pPr>
            <w:r>
              <w:t xml:space="preserve">n/a</w:t>
            </w:r>
          </w:p>
        </w:tc>
        <w:tc>
          <w:tcPr/>
          <w:p>
            <w:pPr>
              <w:pStyle w:val="Compact"/>
            </w:pPr>
            <w:r>
              <w:t xml:space="preserve">n/a</w:t>
            </w:r>
          </w:p>
        </w:tc>
      </w:tr>
      <w:tr>
        <w:tc>
          <w:tcPr/>
          <w:p>
            <w:pPr>
              <w:pStyle w:val="Compact"/>
            </w:pPr>
            <w:r>
              <w:t xml:space="preserve">2014</w:t>
            </w:r>
          </w:p>
        </w:tc>
        <w:tc>
          <w:tcPr/>
          <w:p>
            <w:pPr>
              <w:pStyle w:val="Compact"/>
            </w:pPr>
            <w:r>
              <w:t xml:space="preserve">656</w:t>
            </w:r>
          </w:p>
        </w:tc>
        <w:tc>
          <w:tcPr/>
          <w:p>
            <w:pPr>
              <w:pStyle w:val="Compact"/>
            </w:pPr>
            <w:r>
              <w:t xml:space="preserve">n/a</w:t>
            </w:r>
          </w:p>
        </w:tc>
        <w:tc>
          <w:tcPr/>
          <w:p>
            <w:pPr>
              <w:pStyle w:val="Compact"/>
            </w:pPr>
            <w:r>
              <w:t xml:space="preserve">n/a</w:t>
            </w:r>
          </w:p>
        </w:tc>
        <w:tc>
          <w:tcPr/>
          <w:p>
            <w:pPr>
              <w:pStyle w:val="Compact"/>
            </w:pPr>
            <w:r>
              <w:t xml:space="preserve">156</w:t>
            </w:r>
          </w:p>
        </w:tc>
        <w:tc>
          <w:tcPr/>
          <w:p>
            <w:pPr>
              <w:pStyle w:val="Compact"/>
            </w:pPr>
            <w:r>
              <w:t xml:space="preserve">n/a</w:t>
            </w:r>
          </w:p>
        </w:tc>
        <w:tc>
          <w:tcPr/>
          <w:p>
            <w:pPr>
              <w:pStyle w:val="Compact"/>
            </w:pPr>
            <w:r>
              <w:t xml:space="preserve">n/a</w:t>
            </w:r>
          </w:p>
        </w:tc>
      </w:tr>
      <w:tr>
        <w:tc>
          <w:tcPr/>
          <w:p>
            <w:pPr>
              <w:pStyle w:val="Compact"/>
            </w:pPr>
            <w:r>
              <w:t xml:space="preserve">2015</w:t>
            </w:r>
          </w:p>
        </w:tc>
        <w:tc>
          <w:tcPr/>
          <w:p>
            <w:pPr>
              <w:pStyle w:val="Compact"/>
            </w:pPr>
            <w:r>
              <w:t xml:space="preserve">627</w:t>
            </w:r>
          </w:p>
        </w:tc>
        <w:tc>
          <w:tcPr/>
          <w:p>
            <w:pPr>
              <w:pStyle w:val="Compact"/>
            </w:pPr>
            <w:r>
              <w:t xml:space="preserve">120</w:t>
            </w:r>
          </w:p>
        </w:tc>
        <w:tc>
          <w:tcPr/>
          <w:p>
            <w:pPr>
              <w:pStyle w:val="Compact"/>
            </w:pPr>
            <w:r>
              <w:t xml:space="preserve">507</w:t>
            </w:r>
          </w:p>
        </w:tc>
        <w:tc>
          <w:tcPr/>
          <w:p>
            <w:pPr>
              <w:pStyle w:val="Compact"/>
            </w:pPr>
            <w:r>
              <w:t xml:space="preserve">123</w:t>
            </w:r>
          </w:p>
        </w:tc>
        <w:tc>
          <w:tcPr/>
          <w:p>
            <w:pPr>
              <w:pStyle w:val="Compact"/>
            </w:pPr>
            <w:r>
              <w:t xml:space="preserve">13.8%</w:t>
            </w:r>
          </w:p>
        </w:tc>
        <w:tc>
          <w:tcPr/>
          <w:p>
            <w:pPr>
              <w:pStyle w:val="Compact"/>
            </w:pPr>
            <w:r>
              <w:t xml:space="preserve">13</w:t>
            </w:r>
          </w:p>
        </w:tc>
      </w:tr>
      <w:tr>
        <w:tc>
          <w:tcPr/>
          <w:p>
            <w:pPr>
              <w:pStyle w:val="Compact"/>
            </w:pPr>
            <w:r>
              <w:t xml:space="preserve">2016</w:t>
            </w:r>
          </w:p>
        </w:tc>
        <w:tc>
          <w:tcPr/>
          <w:p>
            <w:pPr>
              <w:pStyle w:val="Compact"/>
            </w:pPr>
            <w:r>
              <w:t xml:space="preserve">665</w:t>
            </w:r>
          </w:p>
        </w:tc>
        <w:tc>
          <w:tcPr/>
          <w:p>
            <w:pPr>
              <w:pStyle w:val="Compact"/>
            </w:pPr>
            <w:r>
              <w:t xml:space="preserve">143</w:t>
            </w:r>
          </w:p>
        </w:tc>
        <w:tc>
          <w:tcPr/>
          <w:p>
            <w:pPr>
              <w:pStyle w:val="Compact"/>
            </w:pPr>
            <w:r>
              <w:t xml:space="preserve">522</w:t>
            </w:r>
          </w:p>
        </w:tc>
        <w:tc>
          <w:tcPr/>
          <w:p>
            <w:pPr>
              <w:pStyle w:val="Compact"/>
            </w:pPr>
            <w:r>
              <w:t xml:space="preserve">118</w:t>
            </w:r>
          </w:p>
        </w:tc>
        <w:tc>
          <w:tcPr/>
          <w:p>
            <w:pPr>
              <w:pStyle w:val="Compact"/>
            </w:pPr>
            <w:r>
              <w:t xml:space="preserve">14.5%</w:t>
            </w:r>
          </w:p>
        </w:tc>
        <w:tc>
          <w:tcPr/>
          <w:p>
            <w:pPr>
              <w:pStyle w:val="Compact"/>
            </w:pPr>
            <w:r>
              <w:t xml:space="preserve">13</w:t>
            </w:r>
          </w:p>
        </w:tc>
      </w:tr>
      <w:tr>
        <w:tc>
          <w:tcPr/>
          <w:p>
            <w:pPr>
              <w:pStyle w:val="Compact"/>
            </w:pPr>
            <w:r>
              <w:t xml:space="preserve">2017</w:t>
            </w:r>
          </w:p>
        </w:tc>
        <w:tc>
          <w:tcPr/>
          <w:p>
            <w:pPr>
              <w:pStyle w:val="Compact"/>
            </w:pPr>
            <w:r>
              <w:t xml:space="preserve">694</w:t>
            </w:r>
          </w:p>
        </w:tc>
        <w:tc>
          <w:tcPr/>
          <w:p>
            <w:pPr>
              <w:pStyle w:val="Compact"/>
            </w:pPr>
            <w:r>
              <w:t xml:space="preserve">135</w:t>
            </w:r>
          </w:p>
        </w:tc>
        <w:tc>
          <w:tcPr/>
          <w:p>
            <w:pPr>
              <w:pStyle w:val="Compact"/>
            </w:pPr>
            <w:r>
              <w:t xml:space="preserve">559</w:t>
            </w:r>
          </w:p>
        </w:tc>
        <w:tc>
          <w:tcPr/>
          <w:p>
            <w:pPr>
              <w:pStyle w:val="Compact"/>
            </w:pPr>
            <w:r>
              <w:t xml:space="preserve">189</w:t>
            </w:r>
          </w:p>
        </w:tc>
        <w:tc>
          <w:tcPr/>
          <w:p>
            <w:pPr>
              <w:pStyle w:val="Compact"/>
            </w:pPr>
            <w:r>
              <w:t xml:space="preserve">13.0%</w:t>
            </w:r>
          </w:p>
        </w:tc>
        <w:tc>
          <w:tcPr/>
          <w:p>
            <w:pPr>
              <w:pStyle w:val="Compact"/>
            </w:pPr>
            <w:r>
              <w:t xml:space="preserve">13</w:t>
            </w:r>
          </w:p>
        </w:tc>
      </w:tr>
      <w:tr>
        <w:tc>
          <w:tcPr/>
          <w:p>
            <w:pPr>
              <w:pStyle w:val="Compact"/>
            </w:pPr>
            <w:r>
              <w:t xml:space="preserve">2018</w:t>
            </w:r>
          </w:p>
        </w:tc>
        <w:tc>
          <w:tcPr/>
          <w:p>
            <w:pPr>
              <w:pStyle w:val="Compact"/>
            </w:pPr>
            <w:r>
              <w:t xml:space="preserve">640</w:t>
            </w:r>
          </w:p>
        </w:tc>
        <w:tc>
          <w:tcPr/>
          <w:p>
            <w:pPr>
              <w:pStyle w:val="Compact"/>
            </w:pPr>
            <w:r>
              <w:t xml:space="preserve">130</w:t>
            </w:r>
          </w:p>
        </w:tc>
        <w:tc>
          <w:tcPr/>
          <w:p>
            <w:pPr>
              <w:pStyle w:val="Compact"/>
            </w:pPr>
            <w:r>
              <w:t xml:space="preserve">510</w:t>
            </w:r>
          </w:p>
        </w:tc>
        <w:tc>
          <w:tcPr/>
          <w:p>
            <w:pPr>
              <w:pStyle w:val="Compact"/>
            </w:pPr>
            <w:r>
              <w:t xml:space="preserve">146</w:t>
            </w:r>
          </w:p>
        </w:tc>
        <w:tc>
          <w:tcPr/>
          <w:p>
            <w:pPr>
              <w:pStyle w:val="Compact"/>
            </w:pPr>
            <w:r>
              <w:t xml:space="preserve">13.8%</w:t>
            </w:r>
          </w:p>
        </w:tc>
        <w:tc>
          <w:tcPr/>
          <w:p>
            <w:pPr>
              <w:pStyle w:val="Compact"/>
            </w:pPr>
            <w:r>
              <w:t xml:space="preserve">14</w:t>
            </w:r>
          </w:p>
        </w:tc>
      </w:tr>
      <w:tr>
        <w:tc>
          <w:tcPr/>
          <w:p>
            <w:pPr>
              <w:pStyle w:val="Compact"/>
            </w:pPr>
            <w:r>
              <w:t xml:space="preserve">2019</w:t>
            </w:r>
          </w:p>
        </w:tc>
        <w:tc>
          <w:tcPr/>
          <w:p>
            <w:pPr>
              <w:pStyle w:val="Compact"/>
            </w:pPr>
            <w:r>
              <w:t xml:space="preserve">610</w:t>
            </w:r>
          </w:p>
        </w:tc>
        <w:tc>
          <w:tcPr/>
          <w:p>
            <w:pPr>
              <w:pStyle w:val="Compact"/>
            </w:pPr>
            <w:r>
              <w:t xml:space="preserve">111</w:t>
            </w:r>
          </w:p>
        </w:tc>
        <w:tc>
          <w:tcPr/>
          <w:p>
            <w:pPr>
              <w:pStyle w:val="Compact"/>
            </w:pPr>
            <w:r>
              <w:t xml:space="preserve">499</w:t>
            </w:r>
          </w:p>
        </w:tc>
        <w:tc>
          <w:tcPr/>
          <w:p>
            <w:pPr>
              <w:pStyle w:val="Compact"/>
            </w:pPr>
            <w:r>
              <w:t xml:space="preserve">212</w:t>
            </w:r>
          </w:p>
        </w:tc>
        <w:tc>
          <w:tcPr/>
          <w:p>
            <w:pPr>
              <w:pStyle w:val="Compact"/>
            </w:pPr>
            <w:r>
              <w:t xml:space="preserve">11.7%</w:t>
            </w:r>
          </w:p>
        </w:tc>
        <w:tc>
          <w:tcPr/>
          <w:p>
            <w:pPr>
              <w:pStyle w:val="Compact"/>
            </w:pPr>
            <w:r>
              <w:t xml:space="preserve">13</w:t>
            </w:r>
          </w:p>
        </w:tc>
      </w:tr>
      <w:tr>
        <w:tc>
          <w:tcPr/>
          <w:p>
            <w:pPr>
              <w:pStyle w:val="Compact"/>
            </w:pPr>
            <w:r>
              <w:t xml:space="preserve">2020</w:t>
            </w:r>
          </w:p>
        </w:tc>
        <w:tc>
          <w:tcPr/>
          <w:p>
            <w:pPr>
              <w:pStyle w:val="Compact"/>
            </w:pPr>
            <w:r>
              <w:t xml:space="preserve">423</w:t>
            </w:r>
          </w:p>
        </w:tc>
        <w:tc>
          <w:tcPr/>
          <w:p>
            <w:pPr>
              <w:pStyle w:val="Compact"/>
            </w:pPr>
            <w:r>
              <w:t xml:space="preserve">46</w:t>
            </w:r>
          </w:p>
        </w:tc>
        <w:tc>
          <w:tcPr/>
          <w:p>
            <w:pPr>
              <w:pStyle w:val="Compact"/>
            </w:pPr>
            <w:r>
              <w:t xml:space="preserve">377</w:t>
            </w:r>
          </w:p>
        </w:tc>
        <w:tc>
          <w:tcPr/>
          <w:p>
            <w:pPr>
              <w:pStyle w:val="Compact"/>
            </w:pPr>
            <w:r>
              <w:t xml:space="preserve">64</w:t>
            </w:r>
          </w:p>
        </w:tc>
        <w:tc>
          <w:tcPr/>
          <w:p>
            <w:pPr>
              <w:pStyle w:val="Compact"/>
            </w:pPr>
            <w:r>
              <w:t xml:space="preserve">7.4%</w:t>
            </w:r>
          </w:p>
        </w:tc>
        <w:tc>
          <w:tcPr/>
          <w:p>
            <w:pPr>
              <w:pStyle w:val="Compact"/>
            </w:pPr>
            <w:r>
              <w:t xml:space="preserve">13</w:t>
            </w:r>
          </w:p>
        </w:tc>
      </w:tr>
      <w:tr>
        <w:tc>
          <w:tcPr/>
          <w:p>
            <w:pPr>
              <w:pStyle w:val="Compact"/>
            </w:pPr>
            <w:r>
              <w:t xml:space="preserve">2021</w:t>
            </w:r>
          </w:p>
        </w:tc>
        <w:tc>
          <w:tcPr/>
          <w:p>
            <w:pPr>
              <w:pStyle w:val="Compact"/>
            </w:pPr>
            <w:r>
              <w:t xml:space="preserve">429</w:t>
            </w:r>
          </w:p>
        </w:tc>
        <w:tc>
          <w:tcPr/>
          <w:p>
            <w:pPr>
              <w:pStyle w:val="Compact"/>
            </w:pPr>
            <w:r>
              <w:t xml:space="preserve">72</w:t>
            </w:r>
          </w:p>
        </w:tc>
        <w:tc>
          <w:tcPr/>
          <w:p>
            <w:pPr>
              <w:pStyle w:val="Compact"/>
            </w:pPr>
            <w:r>
              <w:t xml:space="preserve">357</w:t>
            </w:r>
          </w:p>
        </w:tc>
        <w:tc>
          <w:tcPr/>
          <w:p>
            <w:pPr>
              <w:pStyle w:val="Compact"/>
            </w:pPr>
            <w:r>
              <w:t xml:space="preserve">75</w:t>
            </w:r>
          </w:p>
        </w:tc>
        <w:tc>
          <w:tcPr/>
          <w:p>
            <w:pPr>
              <w:pStyle w:val="Compact"/>
            </w:pPr>
            <w:r>
              <w:t xml:space="preserve">12.1%</w:t>
            </w:r>
          </w:p>
        </w:tc>
        <w:tc>
          <w:tcPr/>
          <w:p>
            <w:pPr>
              <w:pStyle w:val="Compact"/>
            </w:pPr>
            <w:r>
              <w:t xml:space="preserve">13</w:t>
            </w:r>
          </w:p>
        </w:tc>
      </w:tr>
      <w:tr>
        <w:tc>
          <w:tcPr/>
          <w:p>
            <w:pPr>
              <w:pStyle w:val="Compact"/>
            </w:pPr>
            <w:r>
              <w:t xml:space="preserve">2022</w:t>
            </w:r>
          </w:p>
        </w:tc>
        <w:tc>
          <w:tcPr/>
          <w:p>
            <w:pPr>
              <w:pStyle w:val="Compact"/>
            </w:pPr>
            <w:r>
              <w:t xml:space="preserve">524</w:t>
            </w:r>
          </w:p>
        </w:tc>
        <w:tc>
          <w:tcPr/>
          <w:p>
            <w:pPr>
              <w:pStyle w:val="Compact"/>
            </w:pPr>
            <w:r>
              <w:t xml:space="preserve">150</w:t>
            </w:r>
          </w:p>
        </w:tc>
        <w:tc>
          <w:tcPr/>
          <w:p>
            <w:pPr>
              <w:pStyle w:val="Compact"/>
            </w:pPr>
            <w:r>
              <w:t xml:space="preserve">374</w:t>
            </w:r>
          </w:p>
        </w:tc>
        <w:tc>
          <w:tcPr/>
          <w:p>
            <w:pPr>
              <w:pStyle w:val="Compact"/>
            </w:pPr>
            <w:r>
              <w:t xml:space="preserve">n/a</w:t>
            </w:r>
          </w:p>
        </w:tc>
        <w:tc>
          <w:tcPr/>
          <w:p>
            <w:pPr>
              <w:pStyle w:val="Compact"/>
            </w:pPr>
            <w:r>
              <w:t xml:space="preserve">21.7%</w:t>
            </w:r>
          </w:p>
        </w:tc>
        <w:tc>
          <w:tcPr/>
          <w:p>
            <w:pPr>
              <w:pStyle w:val="Compact"/>
            </w:pPr>
            <w:r>
              <w:t xml:space="preserve">14</w:t>
            </w:r>
          </w:p>
        </w:tc>
      </w:tr>
      <w:tr>
        <w:tc>
          <w:tcPr/>
          <w:p>
            <w:pPr>
              <w:pStyle w:val="Compact"/>
            </w:pPr>
            <w:r>
              <w:t xml:space="preserve">2023</w:t>
            </w:r>
          </w:p>
        </w:tc>
        <w:tc>
          <w:tcPr/>
          <w:p>
            <w:pPr>
              <w:pStyle w:val="Compact"/>
            </w:pPr>
            <w:r>
              <w:t xml:space="preserve">522</w:t>
            </w:r>
          </w:p>
        </w:tc>
        <w:tc>
          <w:tcPr/>
          <w:p>
            <w:pPr>
              <w:pStyle w:val="Compact"/>
            </w:pPr>
            <w:r>
              <w:t xml:space="preserve">112</w:t>
            </w:r>
          </w:p>
        </w:tc>
        <w:tc>
          <w:tcPr/>
          <w:p>
            <w:pPr>
              <w:pStyle w:val="Compact"/>
            </w:pPr>
            <w:r>
              <w:t xml:space="preserve">410</w:t>
            </w:r>
          </w:p>
        </w:tc>
        <w:tc>
          <w:tcPr/>
          <w:p>
            <w:pPr>
              <w:pStyle w:val="Compact"/>
            </w:pPr>
            <w:r>
              <w:t xml:space="preserve">n/a</w:t>
            </w:r>
          </w:p>
        </w:tc>
        <w:tc>
          <w:tcPr/>
          <w:p>
            <w:pPr>
              <w:pStyle w:val="Compact"/>
            </w:pPr>
            <w:r>
              <w:t xml:space="preserve">14.9%</w:t>
            </w:r>
          </w:p>
        </w:tc>
        <w:tc>
          <w:tcPr/>
          <w:p>
            <w:pPr>
              <w:pStyle w:val="Compact"/>
            </w:pPr>
            <w:r>
              <w:t xml:space="preserve">13</w:t>
            </w:r>
          </w:p>
        </w:tc>
      </w:tr>
    </w:tbl>
    <w:p>
      <w:pPr>
        <w:pStyle w:val="BodyText"/>
      </w:pPr>
      <w:r>
        <w:t xml:space="preserve">Newly observable episodes by specialty: URPS, 480; urology, 165; other OB/GYN, 205; MIGS, 8.</w:t>
      </w:r>
    </w:p>
    <w:p>
      <w:pPr>
        <w:pStyle w:val="BodyText"/>
      </w:pPr>
      <w:r>
        <w:rPr>
          <w:b/>
          <w:bCs/>
        </w:rPr>
        <w:t xml:space="preserve">Supplementary Table S11.</w:t>
      </w:r>
      <w:r>
        <w:t xml:space="preserve"> </w:t>
      </w:r>
      <w:r>
        <w:t xml:space="preserve">Classification sensitivity for ambiguous and facility billers (reviewer concern). The primary analysis excludes facility NPIs and places remaining non-physician or unclassifiable clinicians in an</w:t>
      </w:r>
      <w:r>
        <w:t xml:space="preserve"> </w:t>
      </w:r>
      <w:r>
        <w:t xml:space="preserve">“Other/uncertain”</w:t>
      </w:r>
      <w:r>
        <w:t xml:space="preserve"> </w:t>
      </w:r>
      <w:r>
        <w:t xml:space="preserve">group. Assigning them to urology (the legacy approach) roughly doubles the apparent non-URPS urology share; excluding them entirely changes the shares little for the well-populated groups. The URPS increase is significant under all three.</w:t>
      </w:r>
    </w:p>
    <w:tbl>
      <w:tblPr>
        <w:tblStyle w:val="Table"/>
        <w:tblW w:type="pct" w:w="5000"/>
        <w:tblLayout w:type="fixed"/>
        <w:tblLook w:firstRow="1" w:lastRow="0" w:firstColumn="0" w:lastColumn="0" w:noHBand="0" w:noVBand="0" w:val="0020"/>
      </w:tblPr>
      <w:tblGrid>
        <w:gridCol w:w="4555"/>
        <w:gridCol w:w="841"/>
        <w:gridCol w:w="841"/>
        <w:gridCol w:w="1682"/>
      </w:tblGrid>
      <w:tr>
        <w:trPr>
          <w:tblHeader w:val="on"/>
        </w:trPr>
        <w:tc>
          <w:tcPr/>
          <w:p>
            <w:pPr>
              <w:pStyle w:val="Compact"/>
            </w:pPr>
            <w:r>
              <w:t xml:space="preserve">Handling of ambiguous billers</w:t>
            </w:r>
          </w:p>
        </w:tc>
        <w:tc>
          <w:tcPr/>
          <w:p>
            <w:pPr>
              <w:pStyle w:val="Compact"/>
            </w:pPr>
            <w:r>
              <w:t xml:space="preserve">Physicians</w:t>
            </w:r>
          </w:p>
        </w:tc>
        <w:tc>
          <w:tcPr/>
          <w:p>
            <w:pPr>
              <w:pStyle w:val="Compact"/>
            </w:pPr>
            <w:r>
              <w:t xml:space="preserve">URPS share</w:t>
            </w:r>
          </w:p>
        </w:tc>
        <w:tc>
          <w:tcPr/>
          <w:p>
            <w:pPr>
              <w:pStyle w:val="Compact"/>
            </w:pPr>
            <w:r>
              <w:t xml:space="preserve">Non-URPS urology share</w:t>
            </w:r>
          </w:p>
        </w:tc>
      </w:tr>
      <w:tr>
        <w:tc>
          <w:tcPr/>
          <w:p>
            <w:pPr>
              <w:pStyle w:val="Compact"/>
            </w:pPr>
            <w:r>
              <w:t xml:space="preserve">Separate</w:t>
            </w:r>
            <w:r>
              <w:t xml:space="preserve"> </w:t>
            </w:r>
            <w:r>
              <w:t xml:space="preserve">‘Other/uncertain’</w:t>
            </w:r>
            <w:r>
              <w:t xml:space="preserve"> </w:t>
            </w:r>
            <w:r>
              <w:t xml:space="preserve">group; facilities excluded (primary)</w:t>
            </w:r>
          </w:p>
        </w:tc>
        <w:tc>
          <w:tcPr/>
          <w:p>
            <w:pPr>
              <w:pStyle w:val="Compact"/>
            </w:pPr>
            <w:r>
              <w:t xml:space="preserve">1,666</w:t>
            </w:r>
          </w:p>
        </w:tc>
        <w:tc>
          <w:tcPr/>
          <w:p>
            <w:pPr>
              <w:pStyle w:val="Compact"/>
            </w:pPr>
            <w:r>
              <w:t xml:space="preserve">63.7%</w:t>
            </w:r>
          </w:p>
        </w:tc>
        <w:tc>
          <w:tcPr/>
          <w:p>
            <w:pPr>
              <w:pStyle w:val="Compact"/>
            </w:pPr>
            <w:r>
              <w:t xml:space="preserve">14.5%</w:t>
            </w:r>
          </w:p>
        </w:tc>
      </w:tr>
      <w:tr>
        <w:tc>
          <w:tcPr/>
          <w:p>
            <w:pPr>
              <w:pStyle w:val="Compact"/>
            </w:pPr>
            <w:r>
              <w:t xml:space="preserve">Excluded from the cohort</w:t>
            </w:r>
          </w:p>
        </w:tc>
        <w:tc>
          <w:tcPr/>
          <w:p>
            <w:pPr>
              <w:pStyle w:val="Compact"/>
            </w:pPr>
            <w:r>
              <w:t xml:space="preserve">1,467</w:t>
            </w:r>
          </w:p>
        </w:tc>
        <w:tc>
          <w:tcPr/>
          <w:p>
            <w:pPr>
              <w:pStyle w:val="Compact"/>
            </w:pPr>
            <w:r>
              <w:t xml:space="preserve">69.3%</w:t>
            </w:r>
          </w:p>
        </w:tc>
        <w:tc>
          <w:tcPr/>
          <w:p>
            <w:pPr>
              <w:pStyle w:val="Compact"/>
            </w:pPr>
            <w:r>
              <w:t xml:space="preserve">15.8%</w:t>
            </w:r>
          </w:p>
        </w:tc>
      </w:tr>
      <w:tr>
        <w:tc>
          <w:tcPr/>
          <w:p>
            <w:pPr>
              <w:pStyle w:val="Compact"/>
            </w:pPr>
            <w:r>
              <w:t xml:space="preserve">Assigned to urology (legacy)</w:t>
            </w:r>
          </w:p>
        </w:tc>
        <w:tc>
          <w:tcPr/>
          <w:p>
            <w:pPr>
              <w:pStyle w:val="Compact"/>
            </w:pPr>
            <w:r>
              <w:t xml:space="preserve">1,789</w:t>
            </w:r>
          </w:p>
        </w:tc>
        <w:tc>
          <w:tcPr/>
          <w:p>
            <w:pPr>
              <w:pStyle w:val="Compact"/>
            </w:pPr>
            <w:r>
              <w:t xml:space="preserve">60.8%</w:t>
            </w:r>
          </w:p>
        </w:tc>
        <w:tc>
          <w:tcPr/>
          <w:p>
            <w:pPr>
              <w:pStyle w:val="Compact"/>
            </w:pPr>
            <w:r>
              <w:t xml:space="preserve">26.1%</w:t>
            </w:r>
          </w:p>
        </w:tc>
      </w:tr>
    </w:tbl>
    <w:p>
      <w:r>
        <w:pict>
          <v:rect style="width:0;height:1.5pt" o:hralign="center" o:hrstd="t" o:hr="t"/>
        </w:pict>
      </w:r>
    </w:p>
    <w:bookmarkEnd w:id="44"/>
    <w:bookmarkStart w:id="57" w:name="supplementary-figures"/>
    <w:p>
      <w:pPr>
        <w:pStyle w:val="Heading2"/>
      </w:pPr>
      <w:r>
        <w:t xml:space="preserve">Supplementary Figures</w:t>
      </w:r>
    </w:p>
    <w:p>
      <w:pPr>
        <w:pStyle w:val="FirstParagraph"/>
      </w:pPr>
      <w:r>
        <w:drawing>
          <wp:inline>
            <wp:extent cx="5334000" cy="3810000"/>
            <wp:effectExtent b="0" l="0" r="0" t="0"/>
            <wp:docPr descr="" title="" id="46" name="Picture"/>
            <a:graphic>
              <a:graphicData uri="http://schemas.openxmlformats.org/drawingml/2006/picture">
                <pic:pic>
                  <pic:nvPicPr>
                    <pic:cNvPr descr="/Users/tylermuffly/sling-volume-patterns/output/figures/figure_2_volume_distribution.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Supplementary Figure S1.</w:t>
      </w:r>
      <w:r>
        <w:t xml:space="preserve"> </w:t>
      </w:r>
      <w:r>
        <w:t xml:space="preserve">Annual sling service volume (CPT 57288) by specialty (violin and box plots; logarithmic scale). The minimum observable volume is 11 because of CMS cell suppression.</w:t>
      </w:r>
    </w:p>
    <w:p>
      <w:pPr>
        <w:pStyle w:val="BodyText"/>
      </w:pPr>
      <w:r>
        <w:drawing>
          <wp:inline>
            <wp:extent cx="5334000" cy="5334000"/>
            <wp:effectExtent b="0" l="0" r="0" t="0"/>
            <wp:docPr descr="" title="" id="49" name="Picture"/>
            <a:graphic>
              <a:graphicData uri="http://schemas.openxmlformats.org/drawingml/2006/picture">
                <pic:pic>
                  <pic:nvPicPr>
                    <pic:cNvPr descr="/Users/tylermuffly/sling-volume-patterns/output/figures/figure_3_lorenz_curve.png"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Supplementary Figure S2.</w:t>
      </w:r>
      <w:r>
        <w:t xml:space="preserve"> </w:t>
      </w:r>
      <w:r>
        <w:t xml:space="preserve">Lorenz curves of procedural concentration by specialty. Greater distance from the diagonal indicates greater concentration.</w:t>
      </w:r>
    </w:p>
    <w:p>
      <w:pPr>
        <w:pStyle w:val="BodyText"/>
      </w:pPr>
      <w:r>
        <w:drawing>
          <wp:inline>
            <wp:extent cx="5334000" cy="4148666"/>
            <wp:effectExtent b="0" l="0" r="0" t="0"/>
            <wp:docPr descr="" title="" id="52" name="Picture"/>
            <a:graphic>
              <a:graphicData uri="http://schemas.openxmlformats.org/drawingml/2006/picture">
                <pic:pic>
                  <pic:nvPicPr>
                    <pic:cNvPr descr="/Users/tylermuffly/sling-volume-patterns/output/figures/figure_4_concentration_trends.png" id="53" name="Picture"/>
                    <pic:cNvPicPr>
                      <a:picLocks noChangeArrowheads="1" noChangeAspect="1"/>
                    </pic:cNvPicPr>
                  </pic:nvPicPr>
                  <pic:blipFill>
                    <a:blip r:embed="rId51"/>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Supplementary Figure S3.</w:t>
      </w:r>
      <w:r>
        <w:t xml:space="preserve"> </w:t>
      </w:r>
      <w:r>
        <w:t xml:space="preserve">Annual within-year concentration by specialty (Gini, HHI, top-20% share, bottom-50% share). Within-year concentration was low and stable. MIGS was excluded because too few surgeons were observed each year for stable estimates.</w:t>
      </w:r>
    </w:p>
    <w:p>
      <w:pPr>
        <w:pStyle w:val="BodyText"/>
      </w:pPr>
      <w:r>
        <w:drawing>
          <wp:inline>
            <wp:extent cx="5334000" cy="2963333"/>
            <wp:effectExtent b="0" l="0" r="0" t="0"/>
            <wp:docPr descr="" title="" id="55" name="Picture"/>
            <a:graphic>
              <a:graphicData uri="http://schemas.openxmlformats.org/drawingml/2006/picture">
                <pic:pic>
                  <pic:nvPicPr>
                    <pic:cNvPr descr="/Users/tylermuffly/sling-volume-patterns/output/figures/figure_5_supply_trends.png" id="56" name="Picture"/>
                    <pic:cNvPicPr>
                      <a:picLocks noChangeArrowheads="1" noChangeAspect="1"/>
                    </pic:cNvPicPr>
                  </pic:nvPicPr>
                  <pic:blipFill>
                    <a:blip r:embed="rId54"/>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Supplementary Figure S4.</w:t>
      </w:r>
      <w:r>
        <w:t xml:space="preserve"> </w:t>
      </w:r>
      <w:r>
        <w:t xml:space="preserve">Observable surgeons and total reported services by year and specialty. The decline in the observable surgeon pool was concentrated in urology and General OB/GYN.</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hyperlink" Id="rId9" Target="https://github.com/mufflyt/sling-volume-patterns" TargetMode="External" /><Relationship Type="http://schemas.openxmlformats.org/officeDocument/2006/relationships/hyperlink" Id="rId31" Target="https://www.abms.org"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mufflyt/sling-volume-patterns" TargetMode="External" /><Relationship Type="http://schemas.openxmlformats.org/officeDocument/2006/relationships/hyperlink" Id="rId31" Target="https://www.ab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Specialty Distribution and Surgeon-Level Concentration of Sling Surgery for Stress Urinary Incontinence in Fee-for-Service Medicare, 2013–2023</dc:title>
  <dc:creator>Tyler Muffly, MD</dc:creator>
  <cp:keywords/>
  <dcterms:created xsi:type="dcterms:W3CDTF">2026-07-23T17:00:25Z</dcterms:created>
  <dcterms:modified xsi:type="dcterms:W3CDTF">2026-07-23T17:00:25Z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