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Individual clinicians were classified by CMS provider type and ABOG and ABU roster linkage.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1,666 clinicians, 141,009 services were observable. OB/GYN-pathway URPS accounted for 55% of services and urology-pathway URPS for 8.7%, for a combined URPS share of 63.7%. Reported services declined 27.7%; after enrollment adjustment, the estimated utilization rate declined 1.9% per year (rate ratio 0.981, 95% CI 0.961-1.002; p = 0.119). OB/GYN-pathway URPS had the highest adjusted annual volume. Within-year concentration remained stable. The fitted OB/GYN-pathway URPS share increased from 48.3% to 62.6% (+1.44 percentage points/year; p &lt; 0.001), whereas the urology-pathway share changed comparatively little.</w:t>
      </w:r>
    </w:p>
    <w:p>
      <w:pPr>
        <w:pStyle w:val="BodyText"/>
      </w:pPr>
      <w:r>
        <w:rPr>
          <w:b/>
          <w:bCs/>
        </w:rPr>
        <w:t xml:space="preserve">Conclusions:</w:t>
      </w:r>
      <w:r>
        <w:t xml:space="preserve"> </w:t>
      </w:r>
      <w:r>
        <w:t xml:space="preserve">In observable fee-for-service Medicare, URPS physicians performed most sling services, and their share increased without greater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1"/>
    <w:bookmarkStart w:id="12"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Organizational NPIs (NPPES entity type 2, flagged in the Public Use File by a rendering-provider entity code of</w:t>
      </w:r>
      <w:r>
        <w:t xml:space="preserve"> </w:t>
      </w:r>
      <w:r>
        <w:t xml:space="preserve">“O”</w:t>
      </w:r>
      <w:r>
        <w:t xml:space="preserve">: ambulatory surgical centers, hospitals, laboratories, and groups; 123 NPIs) were excluded because they identify a billing organization rather than an individual clinician and cannot be given a physician specialty. The remaining 200 individual non-physician or unclassifiable clinicians were placed in a distinct</w:t>
      </w:r>
      <w:r>
        <w:t xml:space="preserve"> </w:t>
      </w:r>
      <w:r>
        <w:t xml:space="preserve">“Other/uncertain”</w:t>
      </w:r>
      <w:r>
        <w:t xml:space="preserve"> </w:t>
      </w:r>
      <w:r>
        <w:t xml:space="preserve">group (8.2% of observable services). The full classification flow, with counts at each step, is shown in Figure 3.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616,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We separated URPS into its two certification pathways (Table 1). OB/GYN-pathway URPS (ABOG-certified) was the largest single group: 616 physicians, 77,501 services (55%), median annual volume 19 (p25–p75, 14–29). Urology-pathway URPS (ABU roster) added 151 physicians and 12,272 services (8.7%; median 16), so the two URPS pathways together performed 63.7% of observable services. Non-URPS urology included 366 physicians and 20,475 services (14.5%; median 15), other non-URPS OB/GYN 336 physicians and 18,316 services (13%; median 15), the Other/uncertain group 200 clinicians (8.2%), and MIGS 10 physicians (0.7%; median 16).</w:t>
      </w:r>
    </w:p>
    <w:p>
      <w:pPr>
        <w:pStyle w:val="BodyText"/>
      </w:pPr>
      <w:r>
        <w:t xml:space="preserve">Because 13 clinicians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45.8% in 2013 to 60.6% in 2023 (+1.42 percentage points/year; 95% CI 1.03 to 1.80;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48.3% in 2013 to 62.6% in 2023 (odds ratio 1.060 (95% CI 1.046-1.074) per year; 1.44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16.5% to 13.9% (+-0.32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0.76 (0.68–0.84)), non-URPS urology (RR 0.71 (0.59–0.85)), other non-URPS OB/GYN (RR 0.63 (0.44–0.90)), and MIGS (RR 0.81 (0.51–1.29)) (Table 3). Annual volume was approximately 11% lower in 2020 (RR 0.88 (0.85–0.91); p &lt; 0.001). The specialty-by-year interaction showed that per-physician volume was essentially flat over time for the well-populated groups (OB/GYN-pathway URPS RR 0.999 (0.990-1.007), p = 0.776; urology-pathway URPS RR 0.988 (0.974-1.002), p = 0.089; non-URPS urology RR 0.986 (0.968-1.004), p = 0.137; other OB/GYN RR 0.996 (0.973-1.020), p = 0.760), increasing only for the 10-physician MIGS group (RR 1.085 (1.031-1.142);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97.4, df = 5,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0.51 (95% CI 0.48-0.53), urology Gini 0.52 (95% CI 0.49-0.55), and other non-URPS OB/GYN Gini 0.56 (95% CI 0.52-0.60) (Table 2). Because overlapping individual confidence intervals are not a test of between-group difference, we bootstrapped the pairwise differences: URPS and urology did not differ (Gini difference -0.016 (95% CI -0.050 to +0.021)), whereas URPS was modestly less concentrated than other OB/GYN (-0.056 (95% CI -0.098 to -0.006), confidence interval excluding zero). The size-adjusted normalized HHI was near zero for every group (URPS 0.002, urology 0.004, other OB/GYN 0.006 on a 0–1 scale). The effective number of providers, expressed as a fraction of the actual provider count, showed a gradient (URPS 305 of 616, 50%;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0.51 toward the mid-0.6 range, so the sensitivity supports only the narrower claim that observed services were not dominated by a handful of surgeons, not a precise estimate of the full-market distribution. URPS had the highest median annual volume and upper quartile (median 19; p75 29). MIGS was excluded from these comparisons because only 10 physicians were identified (1–4 per year); its estimates are exploratory.</w:t>
      </w:r>
    </w:p>
    <w:bookmarkEnd w:id="21"/>
    <w:bookmarkStart w:id="22" w:name="observable-participation-over-time"/>
    <w:p>
      <w:pPr>
        <w:pStyle w:val="Heading3"/>
      </w:pPr>
      <w:r>
        <w:t xml:space="preserve">Observable Participation Over Time</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OB/GYN-pathway URPS was the largest single group (55%) and had the highest adjusted per-physician volume, and the two URPS pathways together performed the majority (63.7%) of observable services. Second, the OB/GYN-pathway URPS share increased over the decade, coinciding with more URPS surgeons becoming observable and fewer non-URPS surgeons remaining observable, while the urology-pathway URPS share was roughly stable.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specialty-distribution-in-context"/>
    <w:p>
      <w:pPr>
        <w:pStyle w:val="Heading3"/>
      </w:pPr>
      <w:r>
        <w:t xml:space="preserve">Specialty Distribution in Context</w:t>
      </w:r>
    </w:p>
    <w:p>
      <w:pPr>
        <w:pStyle w:val="FirstParagraph"/>
      </w:pPr>
      <w:r>
        <w:t xml:space="preserve">The two URPS pathways together performed approximately three-fifths of observable fee-for-service Medicare slings (63.7%; OB/GYN pathway 55%, urology pathway 8.7%), and non-URPS urologists a much smaller share (14.5%). Because the all-pathway URPS group also includes urology-trained subspecialists, the URPS share is not equivalent to a gynecologist share. The apparent non-URPS urology share is sensitive to classification: a naive provider-type approach that assigns ambulatory surgical centers and non-physician billers to urology roughly doubles it (Supplementary Table S11), which likely explains why some earlier analyses reported a larger urology share. Direct comparison with prior studies is limited because they used different datasets, specialty definitions, and care settings. In ACS-NSQIP data from 2006 through 2013, James et al. reported that gynecologists performed 74.2% of sling procedures and urologists 25.8%;</w:t>
      </w:r>
      <w:r>
        <w:rPr>
          <w:vertAlign w:val="superscript"/>
        </w:rPr>
        <w:t xml:space="preserve">9</w:t>
      </w:r>
      <w:r>
        <w:t xml:space="preserve"> </w:t>
      </w:r>
      <w:r>
        <w:t xml:space="preserve">Cantrell et al. found urogynecologists performed 54% of stress-incontinence procedures at academic centers from 2009 through 2014;</w:t>
      </w:r>
      <w:r>
        <w:rPr>
          <w:vertAlign w:val="superscript"/>
        </w:rPr>
        <w:t xml:space="preserve">10</w:t>
      </w:r>
      <w:r>
        <w:t xml:space="preserve"> </w:t>
      </w:r>
      <w:r>
        <w:t xml:space="preserve">and in Medicare data from 2002 through 2007, Rogo-Gupta et al. found urologists performed most sling operations.</w:t>
      </w:r>
      <w:r>
        <w:rPr>
          <w:vertAlign w:val="superscript"/>
        </w:rPr>
        <w:t xml:space="preserve">11</w:t>
      </w:r>
      <w:r>
        <w:t xml:space="preserve"> </w:t>
      </w:r>
      <w:r>
        <w:t xml:space="preserve">Rather than asserting a single historical reversal across these heterogeneous sources, we conclude more cautiously that OB/GYN-pathway URPS was the largest single contemporary fee-for-service Medicare group performing this procedure.</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eba63cdbe7e55f692c5bff6cdf1a4548a22ac38"/>
    <w:p>
      <w:pPr>
        <w:pStyle w:val="Heading3"/>
      </w:pPr>
      <w:r>
        <w:t xml:space="preserve">Temporal Trends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55.0%</w:t>
            </w:r>
          </w:p>
        </w:tc>
        <w:tc>
          <w:tcPr/>
          <w:p>
            <w:pPr>
              <w:pStyle w:val="Compact"/>
            </w:pPr>
            <w:r>
              <w:t xml:space="preserve">19 (14–29)</w:t>
            </w:r>
          </w:p>
        </w:tc>
        <w:tc>
          <w:tcPr/>
          <w:p>
            <w:pPr>
              <w:pStyle w:val="Compact"/>
            </w:pPr>
            <w:r>
              <w:t xml:space="preserve">45.8%</w:t>
            </w:r>
          </w:p>
        </w:tc>
        <w:tc>
          <w:tcPr/>
          <w:p>
            <w:pPr>
              <w:pStyle w:val="Compact"/>
            </w:pPr>
            <w:r>
              <w:t xml:space="preserve">60.6%</w:t>
            </w:r>
          </w:p>
        </w:tc>
        <w:tc>
          <w:tcPr/>
          <w:p>
            <w:pPr>
              <w:pStyle w:val="Compact"/>
            </w:pPr>
            <w:r>
              <w:t xml:space="preserve">+1.42 (1.03 to 1.80)</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8.7%</w:t>
            </w:r>
          </w:p>
        </w:tc>
        <w:tc>
          <w:tcPr/>
          <w:p>
            <w:pPr>
              <w:pStyle w:val="Compact"/>
            </w:pPr>
            <w:r>
              <w:t xml:space="preserve">16 (13–22)</w:t>
            </w:r>
          </w:p>
        </w:tc>
        <w:tc>
          <w:tcPr/>
          <w:p>
            <w:pPr>
              <w:pStyle w:val="Compact"/>
            </w:pPr>
            <w:r>
              <w:t xml:space="preserve">9.3%</w:t>
            </w:r>
          </w:p>
        </w:tc>
        <w:tc>
          <w:tcPr/>
          <w:p>
            <w:pPr>
              <w:pStyle w:val="Compact"/>
            </w:pPr>
            <w:r>
              <w:t xml:space="preserve">7.4%</w:t>
            </w:r>
          </w:p>
        </w:tc>
        <w:tc>
          <w:tcPr/>
          <w:p>
            <w:pPr>
              <w:pStyle w:val="Compact"/>
            </w:pPr>
            <w:r>
              <w:t xml:space="preserve">-0.30 (-0.45 to -0.15)</w:t>
            </w:r>
          </w:p>
        </w:tc>
        <w:tc>
          <w:tcPr/>
          <w:p>
            <w:pPr>
              <w:pStyle w:val="Compact"/>
            </w:pPr>
            <w:r>
              <w:t xml:space="preserve">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0.76 (0.68–0.84)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0.71 (0.59–0.85)</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0.63 (0.44–0.90)</w:t>
            </w:r>
          </w:p>
        </w:tc>
        <w:tc>
          <w:tcPr/>
          <w:p>
            <w:pPr>
              <w:pStyle w:val="Compact"/>
            </w:pPr>
            <w:r>
              <w:t xml:space="preserve">0.011</w:t>
            </w:r>
          </w:p>
        </w:tc>
      </w:tr>
      <w:tr>
        <w:tc>
          <w:tcPr/>
          <w:p>
            <w:pPr>
              <w:pStyle w:val="Compact"/>
            </w:pPr>
            <w:r>
              <w:t xml:space="preserve">MIGS vs URPS OB/GYN (at 2018)</w:t>
            </w:r>
          </w:p>
        </w:tc>
        <w:tc>
          <w:tcPr/>
          <w:p>
            <w:pPr>
              <w:pStyle w:val="Compact"/>
            </w:pPr>
            <w:r>
              <w:t xml:space="preserve">0.81 (0.51–1.29)</w:t>
            </w:r>
          </w:p>
        </w:tc>
        <w:tc>
          <w:tcPr/>
          <w:p>
            <w:pPr>
              <w:pStyle w:val="Compact"/>
            </w:pPr>
            <w:r>
              <w:t xml:space="preserve">0.379</w:t>
            </w:r>
          </w:p>
        </w:tc>
      </w:tr>
      <w:tr>
        <w:tc>
          <w:tcPr/>
          <w:p>
            <w:pPr>
              <w:pStyle w:val="Compact"/>
            </w:pPr>
            <w:r>
              <w:t xml:space="preserve">2020 (COVID) indicator</w:t>
            </w:r>
          </w:p>
        </w:tc>
        <w:tc>
          <w:tcPr/>
          <w:p>
            <w:pPr>
              <w:pStyle w:val="Compact"/>
            </w:pPr>
            <w:r>
              <w:t xml:space="preserve">0.88 (0.85–0.91)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0.776</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0.089</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0.137</w:t>
            </w:r>
          </w:p>
        </w:tc>
      </w:tr>
      <w:tr>
        <w:tc>
          <w:tcPr/>
          <w:p>
            <w:pPr>
              <w:pStyle w:val="Compact"/>
            </w:pPr>
            <w:r>
              <w:t xml:space="preserve">Annual trend, other non-URPS OB/GYN</w:t>
            </w:r>
          </w:p>
        </w:tc>
        <w:tc>
          <w:tcPr/>
          <w:p>
            <w:pPr>
              <w:pStyle w:val="Compact"/>
            </w:pPr>
            <w:r>
              <w:t xml:space="preserve">0.996 (0.973-1.020)</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16.5% → 13.9%</w:t>
            </w:r>
          </w:p>
        </w:tc>
        <w:tc>
          <w:tcPr/>
          <w:p>
            <w:pPr>
              <w:pStyle w:val="Compact"/>
            </w:pPr>
            <w:r>
              <w:t xml:space="preserve">-0.32</w:t>
            </w:r>
          </w:p>
        </w:tc>
        <w:tc>
          <w:tcPr/>
          <w:p>
            <w:pPr>
              <w:pStyle w:val="Compact"/>
            </w:pPr>
            <w:r>
              <w:t xml:space="preserve">0.019</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4"/>
        <w:gridCol w:w="1202"/>
        <w:gridCol w:w="848"/>
        <w:gridCol w:w="990"/>
        <w:gridCol w:w="1272"/>
        <w:gridCol w:w="495"/>
        <w:gridCol w:w="565"/>
        <w:gridCol w:w="636"/>
        <w:gridCol w:w="636"/>
        <w:gridCol w:w="848"/>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779</w:t>
            </w:r>
          </w:p>
        </w:tc>
        <w:tc>
          <w:tcPr/>
          <w:p>
            <w:pPr>
              <w:pStyle w:val="Compact"/>
            </w:pPr>
            <w:r>
              <w:t xml:space="preserve">15872</w:t>
            </w:r>
          </w:p>
        </w:tc>
        <w:tc>
          <w:tcPr/>
          <w:p>
            <w:pPr>
              <w:pStyle w:val="Compact"/>
            </w:pPr>
            <w:r>
              <w:t xml:space="preserve">16 (13–23)</w:t>
            </w:r>
          </w:p>
        </w:tc>
        <w:tc>
          <w:tcPr/>
          <w:p>
            <w:pPr>
              <w:pStyle w:val="Compact"/>
            </w:pPr>
            <w:r>
              <w:t xml:space="preserve">0.275</w:t>
            </w:r>
          </w:p>
        </w:tc>
        <w:tc>
          <w:tcPr/>
          <w:p>
            <w:pPr>
              <w:pStyle w:val="Compact"/>
            </w:pPr>
            <w:r>
              <w:t xml:space="preserve">17.3</w:t>
            </w:r>
          </w:p>
        </w:tc>
        <w:tc>
          <w:tcPr/>
          <w:p>
            <w:pPr>
              <w:pStyle w:val="Compact"/>
            </w:pPr>
            <w:r>
              <w:t xml:space="preserve">24.4%</w:t>
            </w:r>
          </w:p>
        </w:tc>
        <w:tc>
          <w:tcPr/>
          <w:p>
            <w:pPr>
              <w:pStyle w:val="Compact"/>
            </w:pPr>
            <w:r>
              <w:t xml:space="preserve">39.3%</w:t>
            </w:r>
          </w:p>
        </w:tc>
        <w:tc>
          <w:tcPr/>
          <w:p>
            <w:pPr>
              <w:pStyle w:val="Compact"/>
            </w:pPr>
            <w:r>
              <w:t xml:space="preserve">31.5%</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Other/uncertain</w:t>
            </w:r>
          </w:p>
        </w:tc>
        <w:tc>
          <w:tcPr/>
          <w:p>
            <w:pPr>
              <w:pStyle w:val="Compact"/>
            </w:pPr>
            <w:r>
              <w:t xml:space="preserve">38</w:t>
            </w:r>
          </w:p>
        </w:tc>
        <w:tc>
          <w:tcPr/>
          <w:p>
            <w:pPr>
              <w:pStyle w:val="Compact"/>
            </w:pPr>
            <w:r>
              <w:t xml:space="preserve">945</w:t>
            </w:r>
          </w:p>
        </w:tc>
        <w:tc>
          <w:tcPr/>
          <w:p>
            <w:pPr>
              <w:pStyle w:val="Compact"/>
            </w:pPr>
            <w:r>
              <w:t xml:space="preserve">15 (12–35)</w:t>
            </w:r>
          </w:p>
        </w:tc>
        <w:tc>
          <w:tcPr/>
          <w:p>
            <w:pPr>
              <w:pStyle w:val="Compact"/>
            </w:pPr>
            <w:r>
              <w:t xml:space="preserve">0.363</w:t>
            </w:r>
          </w:p>
        </w:tc>
        <w:tc>
          <w:tcPr/>
          <w:p>
            <w:pPr>
              <w:pStyle w:val="Compact"/>
            </w:pPr>
            <w:r>
              <w:t xml:space="preserve">408.8</w:t>
            </w:r>
          </w:p>
        </w:tc>
        <w:tc>
          <w:tcPr/>
          <w:p>
            <w:pPr>
              <w:pStyle w:val="Compact"/>
            </w:pPr>
            <w:r>
              <w:t xml:space="preserve">28.5%</w:t>
            </w:r>
          </w:p>
        </w:tc>
        <w:tc>
          <w:tcPr/>
          <w:p>
            <w:pPr>
              <w:pStyle w:val="Compact"/>
            </w:pPr>
            <w:r>
              <w:t xml:space="preserve">47.4%</w:t>
            </w:r>
          </w:p>
        </w:tc>
        <w:tc>
          <w:tcPr/>
          <w:p>
            <w:pPr>
              <w:pStyle w:val="Compact"/>
            </w:pPr>
            <w:r>
              <w:t xml:space="preserve">25.4%</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656</w:t>
            </w:r>
          </w:p>
        </w:tc>
        <w:tc>
          <w:tcPr/>
          <w:p>
            <w:pPr>
              <w:pStyle w:val="Compact"/>
            </w:pPr>
            <w:r>
              <w:t xml:space="preserve">13725</w:t>
            </w:r>
          </w:p>
        </w:tc>
        <w:tc>
          <w:tcPr/>
          <w:p>
            <w:pPr>
              <w:pStyle w:val="Compact"/>
            </w:pPr>
            <w:r>
              <w:t xml:space="preserve">17 (13–24)</w:t>
            </w:r>
          </w:p>
        </w:tc>
        <w:tc>
          <w:tcPr/>
          <w:p>
            <w:pPr>
              <w:pStyle w:val="Compact"/>
            </w:pPr>
            <w:r>
              <w:t xml:space="preserve">0.269</w:t>
            </w:r>
          </w:p>
        </w:tc>
        <w:tc>
          <w:tcPr/>
          <w:p>
            <w:pPr>
              <w:pStyle w:val="Compact"/>
            </w:pPr>
            <w:r>
              <w:t xml:space="preserve">19.9</w:t>
            </w:r>
          </w:p>
        </w:tc>
        <w:tc>
          <w:tcPr/>
          <w:p>
            <w:pPr>
              <w:pStyle w:val="Compact"/>
            </w:pPr>
            <w:r>
              <w:t xml:space="preserve">23.2%</w:t>
            </w:r>
          </w:p>
        </w:tc>
        <w:tc>
          <w:tcPr/>
          <w:p>
            <w:pPr>
              <w:pStyle w:val="Compact"/>
            </w:pPr>
            <w:r>
              <w:t xml:space="preserve">38.5%</w:t>
            </w:r>
          </w:p>
        </w:tc>
        <w:tc>
          <w:tcPr/>
          <w:p>
            <w:pPr>
              <w:pStyle w:val="Compact"/>
            </w:pPr>
            <w:r>
              <w:t xml:space="preserve">31.6%</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Other/uncertain</w:t>
            </w:r>
          </w:p>
        </w:tc>
        <w:tc>
          <w:tcPr/>
          <w:p>
            <w:pPr>
              <w:pStyle w:val="Compact"/>
            </w:pPr>
            <w:r>
              <w:t xml:space="preserve">31</w:t>
            </w:r>
          </w:p>
        </w:tc>
        <w:tc>
          <w:tcPr/>
          <w:p>
            <w:pPr>
              <w:pStyle w:val="Compact"/>
            </w:pPr>
            <w:r>
              <w:t xml:space="preserve">762</w:t>
            </w:r>
          </w:p>
        </w:tc>
        <w:tc>
          <w:tcPr/>
          <w:p>
            <w:pPr>
              <w:pStyle w:val="Compact"/>
            </w:pPr>
            <w:r>
              <w:t xml:space="preserve">19 (12–32)</w:t>
            </w:r>
          </w:p>
        </w:tc>
        <w:tc>
          <w:tcPr/>
          <w:p>
            <w:pPr>
              <w:pStyle w:val="Compact"/>
            </w:pPr>
            <w:r>
              <w:t xml:space="preserve">0.341</w:t>
            </w:r>
          </w:p>
        </w:tc>
        <w:tc>
          <w:tcPr/>
          <w:p>
            <w:pPr>
              <w:pStyle w:val="Compact"/>
            </w:pPr>
            <w:r>
              <w:t xml:space="preserve">479.1</w:t>
            </w:r>
          </w:p>
        </w:tc>
        <w:tc>
          <w:tcPr/>
          <w:p>
            <w:pPr>
              <w:pStyle w:val="Compact"/>
            </w:pPr>
            <w:r>
              <w:t xml:space="preserve">30.7%</w:t>
            </w:r>
          </w:p>
        </w:tc>
        <w:tc>
          <w:tcPr/>
          <w:p>
            <w:pPr>
              <w:pStyle w:val="Compact"/>
            </w:pPr>
            <w:r>
              <w:t xml:space="preserve">45.9%</w:t>
            </w:r>
          </w:p>
        </w:tc>
        <w:tc>
          <w:tcPr/>
          <w:p>
            <w:pPr>
              <w:pStyle w:val="Compact"/>
            </w:pPr>
            <w:r>
              <w:t xml:space="preserve">24.4%</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627</w:t>
            </w:r>
          </w:p>
        </w:tc>
        <w:tc>
          <w:tcPr/>
          <w:p>
            <w:pPr>
              <w:pStyle w:val="Compact"/>
            </w:pPr>
            <w:r>
              <w:t xml:space="preserve">12846</w:t>
            </w:r>
          </w:p>
        </w:tc>
        <w:tc>
          <w:tcPr/>
          <w:p>
            <w:pPr>
              <w:pStyle w:val="Compact"/>
            </w:pPr>
            <w:r>
              <w:t xml:space="preserve">16 (13–24)</w:t>
            </w:r>
          </w:p>
        </w:tc>
        <w:tc>
          <w:tcPr/>
          <w:p>
            <w:pPr>
              <w:pStyle w:val="Compact"/>
            </w:pPr>
            <w:r>
              <w:t xml:space="preserve">0.269</w:t>
            </w:r>
          </w:p>
        </w:tc>
        <w:tc>
          <w:tcPr/>
          <w:p>
            <w:pPr>
              <w:pStyle w:val="Compact"/>
            </w:pPr>
            <w:r>
              <w:t xml:space="preserve">21.1</w:t>
            </w:r>
          </w:p>
        </w:tc>
        <w:tc>
          <w:tcPr/>
          <w:p>
            <w:pPr>
              <w:pStyle w:val="Compact"/>
            </w:pPr>
            <w:r>
              <w:t xml:space="preserve">23.4%</w:t>
            </w:r>
          </w:p>
        </w:tc>
        <w:tc>
          <w:tcPr/>
          <w:p>
            <w:pPr>
              <w:pStyle w:val="Compact"/>
            </w:pPr>
            <w:r>
              <w:t xml:space="preserve">38.4%</w:t>
            </w:r>
          </w:p>
        </w:tc>
        <w:tc>
          <w:tcPr/>
          <w:p>
            <w:pPr>
              <w:pStyle w:val="Compact"/>
            </w:pPr>
            <w:r>
              <w:t xml:space="preserve">31.6%</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Other/uncertain</w:t>
            </w:r>
          </w:p>
        </w:tc>
        <w:tc>
          <w:tcPr/>
          <w:p>
            <w:pPr>
              <w:pStyle w:val="Compact"/>
            </w:pPr>
            <w:r>
              <w:t xml:space="preserve">41</w:t>
            </w:r>
          </w:p>
        </w:tc>
        <w:tc>
          <w:tcPr/>
          <w:p>
            <w:pPr>
              <w:pStyle w:val="Compact"/>
            </w:pPr>
            <w:r>
              <w:t xml:space="preserve">979</w:t>
            </w:r>
          </w:p>
        </w:tc>
        <w:tc>
          <w:tcPr/>
          <w:p>
            <w:pPr>
              <w:pStyle w:val="Compact"/>
            </w:pPr>
            <w:r>
              <w:t xml:space="preserve">19 (13–31)</w:t>
            </w:r>
          </w:p>
        </w:tc>
        <w:tc>
          <w:tcPr/>
          <w:p>
            <w:pPr>
              <w:pStyle w:val="Compact"/>
            </w:pPr>
            <w:r>
              <w:t xml:space="preserve">0.309</w:t>
            </w:r>
          </w:p>
        </w:tc>
        <w:tc>
          <w:tcPr/>
          <w:p>
            <w:pPr>
              <w:pStyle w:val="Compact"/>
            </w:pPr>
            <w:r>
              <w:t xml:space="preserve">343.6</w:t>
            </w:r>
          </w:p>
        </w:tc>
        <w:tc>
          <w:tcPr/>
          <w:p>
            <w:pPr>
              <w:pStyle w:val="Compact"/>
            </w:pPr>
            <w:r>
              <w:t xml:space="preserve">27.9%</w:t>
            </w:r>
          </w:p>
        </w:tc>
        <w:tc>
          <w:tcPr/>
          <w:p>
            <w:pPr>
              <w:pStyle w:val="Compact"/>
            </w:pPr>
            <w:r>
              <w:t xml:space="preserve">42.7%</w:t>
            </w:r>
          </w:p>
        </w:tc>
        <w:tc>
          <w:tcPr/>
          <w:p>
            <w:pPr>
              <w:pStyle w:val="Compact"/>
            </w:pPr>
            <w:r>
              <w:t xml:space="preserve">27.6%</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665</w:t>
            </w:r>
          </w:p>
        </w:tc>
        <w:tc>
          <w:tcPr/>
          <w:p>
            <w:pPr>
              <w:pStyle w:val="Compact"/>
            </w:pPr>
            <w:r>
              <w:t xml:space="preserve">14322</w:t>
            </w:r>
          </w:p>
        </w:tc>
        <w:tc>
          <w:tcPr/>
          <w:p>
            <w:pPr>
              <w:pStyle w:val="Compact"/>
            </w:pPr>
            <w:r>
              <w:t xml:space="preserve">18 (13–25)</w:t>
            </w:r>
          </w:p>
        </w:tc>
        <w:tc>
          <w:tcPr/>
          <w:p>
            <w:pPr>
              <w:pStyle w:val="Compact"/>
            </w:pPr>
            <w:r>
              <w:t xml:space="preserve">0.270</w:t>
            </w:r>
          </w:p>
        </w:tc>
        <w:tc>
          <w:tcPr/>
          <w:p>
            <w:pPr>
              <w:pStyle w:val="Compact"/>
            </w:pPr>
            <w:r>
              <w:t xml:space="preserve">19.9</w:t>
            </w:r>
          </w:p>
        </w:tc>
        <w:tc>
          <w:tcPr/>
          <w:p>
            <w:pPr>
              <w:pStyle w:val="Compact"/>
            </w:pPr>
            <w:r>
              <w:t xml:space="preserve">23.8%</w:t>
            </w:r>
          </w:p>
        </w:tc>
        <w:tc>
          <w:tcPr/>
          <w:p>
            <w:pPr>
              <w:pStyle w:val="Compact"/>
            </w:pPr>
            <w:r>
              <w:t xml:space="preserve">38.0%</w:t>
            </w:r>
          </w:p>
        </w:tc>
        <w:tc>
          <w:tcPr/>
          <w:p>
            <w:pPr>
              <w:pStyle w:val="Compact"/>
            </w:pPr>
            <w:r>
              <w:t xml:space="preserve">31.5%</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Other/uncertain</w:t>
            </w:r>
          </w:p>
        </w:tc>
        <w:tc>
          <w:tcPr/>
          <w:p>
            <w:pPr>
              <w:pStyle w:val="Compact"/>
            </w:pPr>
            <w:r>
              <w:t xml:space="preserve">49</w:t>
            </w:r>
          </w:p>
        </w:tc>
        <w:tc>
          <w:tcPr/>
          <w:p>
            <w:pPr>
              <w:pStyle w:val="Compact"/>
            </w:pPr>
            <w:r>
              <w:t xml:space="preserve">1072</w:t>
            </w:r>
          </w:p>
        </w:tc>
        <w:tc>
          <w:tcPr/>
          <w:p>
            <w:pPr>
              <w:pStyle w:val="Compact"/>
            </w:pPr>
            <w:r>
              <w:t xml:space="preserve">19 (13–26)</w:t>
            </w:r>
          </w:p>
        </w:tc>
        <w:tc>
          <w:tcPr/>
          <w:p>
            <w:pPr>
              <w:pStyle w:val="Compact"/>
            </w:pPr>
            <w:r>
              <w:t xml:space="preserve">0.269</w:t>
            </w:r>
          </w:p>
        </w:tc>
        <w:tc>
          <w:tcPr/>
          <w:p>
            <w:pPr>
              <w:pStyle w:val="Compact"/>
            </w:pPr>
            <w:r>
              <w:t xml:space="preserve">268.9</w:t>
            </w:r>
          </w:p>
        </w:tc>
        <w:tc>
          <w:tcPr/>
          <w:p>
            <w:pPr>
              <w:pStyle w:val="Compact"/>
            </w:pPr>
            <w:r>
              <w:t xml:space="preserve">22.8%</w:t>
            </w:r>
          </w:p>
        </w:tc>
        <w:tc>
          <w:tcPr/>
          <w:p>
            <w:pPr>
              <w:pStyle w:val="Compact"/>
            </w:pPr>
            <w:r>
              <w:t xml:space="preserve">37.9%</w:t>
            </w:r>
          </w:p>
        </w:tc>
        <w:tc>
          <w:tcPr/>
          <w:p>
            <w:pPr>
              <w:pStyle w:val="Compact"/>
            </w:pPr>
            <w:r>
              <w:t xml:space="preserve">30.4%</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694</w:t>
            </w:r>
          </w:p>
        </w:tc>
        <w:tc>
          <w:tcPr/>
          <w:p>
            <w:pPr>
              <w:pStyle w:val="Compact"/>
            </w:pPr>
            <w:r>
              <w:t xml:space="preserve">15274</w:t>
            </w:r>
          </w:p>
        </w:tc>
        <w:tc>
          <w:tcPr/>
          <w:p>
            <w:pPr>
              <w:pStyle w:val="Compact"/>
            </w:pPr>
            <w:r>
              <w:t xml:space="preserve">18 (13–26)</w:t>
            </w:r>
          </w:p>
        </w:tc>
        <w:tc>
          <w:tcPr/>
          <w:p>
            <w:pPr>
              <w:pStyle w:val="Compact"/>
            </w:pPr>
            <w:r>
              <w:t xml:space="preserve">0.281</w:t>
            </w:r>
          </w:p>
        </w:tc>
        <w:tc>
          <w:tcPr/>
          <w:p>
            <w:pPr>
              <w:pStyle w:val="Compact"/>
            </w:pPr>
            <w:r>
              <w:t xml:space="preserve">19.2</w:t>
            </w:r>
          </w:p>
        </w:tc>
        <w:tc>
          <w:tcPr/>
          <w:p>
            <w:pPr>
              <w:pStyle w:val="Compact"/>
            </w:pPr>
            <w:r>
              <w:t xml:space="preserve">23.8%</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Other/uncertain</w:t>
            </w:r>
          </w:p>
        </w:tc>
        <w:tc>
          <w:tcPr/>
          <w:p>
            <w:pPr>
              <w:pStyle w:val="Compact"/>
            </w:pPr>
            <w:r>
              <w:t xml:space="preserve">55</w:t>
            </w:r>
          </w:p>
        </w:tc>
        <w:tc>
          <w:tcPr/>
          <w:p>
            <w:pPr>
              <w:pStyle w:val="Compact"/>
            </w:pPr>
            <w:r>
              <w:t xml:space="preserve">1189</w:t>
            </w:r>
          </w:p>
        </w:tc>
        <w:tc>
          <w:tcPr/>
          <w:p>
            <w:pPr>
              <w:pStyle w:val="Compact"/>
            </w:pPr>
            <w:r>
              <w:t xml:space="preserve">16 (13–26)</w:t>
            </w:r>
          </w:p>
        </w:tc>
        <w:tc>
          <w:tcPr/>
          <w:p>
            <w:pPr>
              <w:pStyle w:val="Compact"/>
            </w:pPr>
            <w:r>
              <w:t xml:space="preserve">0.286</w:t>
            </w:r>
          </w:p>
        </w:tc>
        <w:tc>
          <w:tcPr/>
          <w:p>
            <w:pPr>
              <w:pStyle w:val="Compact"/>
            </w:pPr>
            <w:r>
              <w:t xml:space="preserve">243.2</w:t>
            </w:r>
          </w:p>
        </w:tc>
        <w:tc>
          <w:tcPr/>
          <w:p>
            <w:pPr>
              <w:pStyle w:val="Compact"/>
            </w:pPr>
            <w:r>
              <w:t xml:space="preserve">25.5%</w:t>
            </w:r>
          </w:p>
        </w:tc>
        <w:tc>
          <w:tcPr/>
          <w:p>
            <w:pPr>
              <w:pStyle w:val="Compact"/>
            </w:pPr>
            <w:r>
              <w:t xml:space="preserve">39.1%</w:t>
            </w:r>
          </w:p>
        </w:tc>
        <w:tc>
          <w:tcPr/>
          <w:p>
            <w:pPr>
              <w:pStyle w:val="Compact"/>
            </w:pPr>
            <w:r>
              <w:t xml:space="preserve">29.4%</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640</w:t>
            </w:r>
          </w:p>
        </w:tc>
        <w:tc>
          <w:tcPr/>
          <w:p>
            <w:pPr>
              <w:pStyle w:val="Compact"/>
            </w:pPr>
            <w:r>
              <w:t xml:space="preserve">14455</w:t>
            </w:r>
          </w:p>
        </w:tc>
        <w:tc>
          <w:tcPr/>
          <w:p>
            <w:pPr>
              <w:pStyle w:val="Compact"/>
            </w:pPr>
            <w:r>
              <w:t xml:space="preserve">19 (14–27)</w:t>
            </w:r>
          </w:p>
        </w:tc>
        <w:tc>
          <w:tcPr/>
          <w:p>
            <w:pPr>
              <w:pStyle w:val="Compact"/>
            </w:pPr>
            <w:r>
              <w:t xml:space="preserve">0.275</w:t>
            </w:r>
          </w:p>
        </w:tc>
        <w:tc>
          <w:tcPr/>
          <w:p>
            <w:pPr>
              <w:pStyle w:val="Compact"/>
            </w:pPr>
            <w:r>
              <w:t xml:space="preserve">20.4</w:t>
            </w:r>
          </w:p>
        </w:tc>
        <w:tc>
          <w:tcPr/>
          <w:p>
            <w:pPr>
              <w:pStyle w:val="Compact"/>
            </w:pPr>
            <w:r>
              <w:t xml:space="preserve">22.9%</w:t>
            </w:r>
          </w:p>
        </w:tc>
        <w:tc>
          <w:tcPr/>
          <w:p>
            <w:pPr>
              <w:pStyle w:val="Compact"/>
            </w:pPr>
            <w:r>
              <w:t xml:space="preserve">37.9%</w:t>
            </w:r>
          </w:p>
        </w:tc>
        <w:tc>
          <w:tcPr/>
          <w:p>
            <w:pPr>
              <w:pStyle w:val="Compact"/>
            </w:pPr>
            <w:r>
              <w:t xml:space="preserve">31.0%</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Other/uncertain</w:t>
            </w:r>
          </w:p>
        </w:tc>
        <w:tc>
          <w:tcPr/>
          <w:p>
            <w:pPr>
              <w:pStyle w:val="Compact"/>
            </w:pPr>
            <w:r>
              <w:t xml:space="preserve">55</w:t>
            </w:r>
          </w:p>
        </w:tc>
        <w:tc>
          <w:tcPr/>
          <w:p>
            <w:pPr>
              <w:pStyle w:val="Compact"/>
            </w:pPr>
            <w:r>
              <w:t xml:space="preserve">1284</w:t>
            </w:r>
          </w:p>
        </w:tc>
        <w:tc>
          <w:tcPr/>
          <w:p>
            <w:pPr>
              <w:pStyle w:val="Compact"/>
            </w:pPr>
            <w:r>
              <w:t xml:space="preserve">19 (14–26)</w:t>
            </w:r>
          </w:p>
        </w:tc>
        <w:tc>
          <w:tcPr/>
          <w:p>
            <w:pPr>
              <w:pStyle w:val="Compact"/>
            </w:pPr>
            <w:r>
              <w:t xml:space="preserve">0.275</w:t>
            </w:r>
          </w:p>
        </w:tc>
        <w:tc>
          <w:tcPr/>
          <w:p>
            <w:pPr>
              <w:pStyle w:val="Compact"/>
            </w:pPr>
            <w:r>
              <w:t xml:space="preserve">234.2</w:t>
            </w:r>
          </w:p>
        </w:tc>
        <w:tc>
          <w:tcPr/>
          <w:p>
            <w:pPr>
              <w:pStyle w:val="Compact"/>
            </w:pPr>
            <w:r>
              <w:t xml:space="preserve">24.0%</w:t>
            </w:r>
          </w:p>
        </w:tc>
        <w:tc>
          <w:tcPr/>
          <w:p>
            <w:pPr>
              <w:pStyle w:val="Compact"/>
            </w:pPr>
            <w:r>
              <w:t xml:space="preserve">39.2%</w:t>
            </w:r>
          </w:p>
        </w:tc>
        <w:tc>
          <w:tcPr/>
          <w:p>
            <w:pPr>
              <w:pStyle w:val="Compact"/>
            </w:pPr>
            <w:r>
              <w:t xml:space="preserve">30.5%</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610</w:t>
            </w:r>
          </w:p>
        </w:tc>
        <w:tc>
          <w:tcPr/>
          <w:p>
            <w:pPr>
              <w:pStyle w:val="Compact"/>
            </w:pPr>
            <w:r>
              <w:t xml:space="preserve">13875</w:t>
            </w:r>
          </w:p>
        </w:tc>
        <w:tc>
          <w:tcPr/>
          <w:p>
            <w:pPr>
              <w:pStyle w:val="Compact"/>
            </w:pPr>
            <w:r>
              <w:t xml:space="preserve">19 (14–27)</w:t>
            </w:r>
          </w:p>
        </w:tc>
        <w:tc>
          <w:tcPr/>
          <w:p>
            <w:pPr>
              <w:pStyle w:val="Compact"/>
            </w:pPr>
            <w:r>
              <w:t xml:space="preserve">0.275</w:t>
            </w:r>
          </w:p>
        </w:tc>
        <w:tc>
          <w:tcPr/>
          <w:p>
            <w:pPr>
              <w:pStyle w:val="Compact"/>
            </w:pPr>
            <w:r>
              <w:t xml:space="preserve">21.4</w:t>
            </w:r>
          </w:p>
        </w:tc>
        <w:tc>
          <w:tcPr/>
          <w:p>
            <w:pPr>
              <w:pStyle w:val="Compact"/>
            </w:pPr>
            <w:r>
              <w:t xml:space="preserve">23.4%</w:t>
            </w:r>
          </w:p>
        </w:tc>
        <w:tc>
          <w:tcPr/>
          <w:p>
            <w:pPr>
              <w:pStyle w:val="Compact"/>
            </w:pPr>
            <w:r>
              <w:t xml:space="preserve">38.0%</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Other/uncertain</w:t>
            </w:r>
          </w:p>
        </w:tc>
        <w:tc>
          <w:tcPr/>
          <w:p>
            <w:pPr>
              <w:pStyle w:val="Compact"/>
            </w:pPr>
            <w:r>
              <w:t xml:space="preserve">52</w:t>
            </w:r>
          </w:p>
        </w:tc>
        <w:tc>
          <w:tcPr/>
          <w:p>
            <w:pPr>
              <w:pStyle w:val="Compact"/>
            </w:pPr>
            <w:r>
              <w:t xml:space="preserve">1155</w:t>
            </w:r>
          </w:p>
        </w:tc>
        <w:tc>
          <w:tcPr/>
          <w:p>
            <w:pPr>
              <w:pStyle w:val="Compact"/>
            </w:pPr>
            <w:r>
              <w:t xml:space="preserve">18 (14–27)</w:t>
            </w:r>
          </w:p>
        </w:tc>
        <w:tc>
          <w:tcPr/>
          <w:p>
            <w:pPr>
              <w:pStyle w:val="Compact"/>
            </w:pPr>
            <w:r>
              <w:t xml:space="preserve">0.271</w:t>
            </w:r>
          </w:p>
        </w:tc>
        <w:tc>
          <w:tcPr/>
          <w:p>
            <w:pPr>
              <w:pStyle w:val="Compact"/>
            </w:pPr>
            <w:r>
              <w:t xml:space="preserve">249.7</w:t>
            </w:r>
          </w:p>
        </w:tc>
        <w:tc>
          <w:tcPr/>
          <w:p>
            <w:pPr>
              <w:pStyle w:val="Compact"/>
            </w:pPr>
            <w:r>
              <w:t xml:space="preserve">25.7%</w:t>
            </w:r>
          </w:p>
        </w:tc>
        <w:tc>
          <w:tcPr/>
          <w:p>
            <w:pPr>
              <w:pStyle w:val="Compact"/>
            </w:pPr>
            <w:r>
              <w:t xml:space="preserve">39.0%</w:t>
            </w:r>
          </w:p>
        </w:tc>
        <w:tc>
          <w:tcPr/>
          <w:p>
            <w:pPr>
              <w:pStyle w:val="Compact"/>
            </w:pPr>
            <w:r>
              <w:t xml:space="preserve">31.2%</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423</w:t>
            </w:r>
          </w:p>
        </w:tc>
        <w:tc>
          <w:tcPr/>
          <w:p>
            <w:pPr>
              <w:pStyle w:val="Compact"/>
            </w:pPr>
            <w:r>
              <w:t xml:space="preserve">8783</w:t>
            </w:r>
          </w:p>
        </w:tc>
        <w:tc>
          <w:tcPr/>
          <w:p>
            <w:pPr>
              <w:pStyle w:val="Compact"/>
            </w:pPr>
            <w:r>
              <w:t xml:space="preserve">17 (13–24)</w:t>
            </w:r>
          </w:p>
        </w:tc>
        <w:tc>
          <w:tcPr/>
          <w:p>
            <w:pPr>
              <w:pStyle w:val="Compact"/>
            </w:pPr>
            <w:r>
              <w:t xml:space="preserve">0.257</w:t>
            </w:r>
          </w:p>
        </w:tc>
        <w:tc>
          <w:tcPr/>
          <w:p>
            <w:pPr>
              <w:pStyle w:val="Compact"/>
            </w:pPr>
            <w:r>
              <w:t xml:space="preserve">30.1</w:t>
            </w:r>
          </w:p>
        </w:tc>
        <w:tc>
          <w:tcPr/>
          <w:p>
            <w:pPr>
              <w:pStyle w:val="Compact"/>
            </w:pPr>
            <w:r>
              <w:t xml:space="preserve">22.9%</w:t>
            </w:r>
          </w:p>
        </w:tc>
        <w:tc>
          <w:tcPr/>
          <w:p>
            <w:pPr>
              <w:pStyle w:val="Compact"/>
            </w:pPr>
            <w:r>
              <w:t xml:space="preserve">37.1%</w:t>
            </w:r>
          </w:p>
        </w:tc>
        <w:tc>
          <w:tcPr/>
          <w:p>
            <w:pPr>
              <w:pStyle w:val="Compact"/>
            </w:pPr>
            <w:r>
              <w:t xml:space="preserve">32.4%</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Other/uncertain</w:t>
            </w:r>
          </w:p>
        </w:tc>
        <w:tc>
          <w:tcPr/>
          <w:p>
            <w:pPr>
              <w:pStyle w:val="Compact"/>
            </w:pPr>
            <w:r>
              <w:t xml:space="preserve">38</w:t>
            </w:r>
          </w:p>
        </w:tc>
        <w:tc>
          <w:tcPr/>
          <w:p>
            <w:pPr>
              <w:pStyle w:val="Compact"/>
            </w:pPr>
            <w:r>
              <w:t xml:space="preserve">770</w:t>
            </w:r>
          </w:p>
        </w:tc>
        <w:tc>
          <w:tcPr/>
          <w:p>
            <w:pPr>
              <w:pStyle w:val="Compact"/>
            </w:pPr>
            <w:r>
              <w:t xml:space="preserve">16 (13–25)</w:t>
            </w:r>
          </w:p>
        </w:tc>
        <w:tc>
          <w:tcPr/>
          <w:p>
            <w:pPr>
              <w:pStyle w:val="Compact"/>
            </w:pPr>
            <w:r>
              <w:t xml:space="preserve">0.234</w:t>
            </w:r>
          </w:p>
        </w:tc>
        <w:tc>
          <w:tcPr/>
          <w:p>
            <w:pPr>
              <w:pStyle w:val="Compact"/>
            </w:pPr>
            <w:r>
              <w:t xml:space="preserve">325.5</w:t>
            </w:r>
          </w:p>
        </w:tc>
        <w:tc>
          <w:tcPr/>
          <w:p>
            <w:pPr>
              <w:pStyle w:val="Compact"/>
            </w:pPr>
            <w:r>
              <w:t xml:space="preserve">21.3%</w:t>
            </w:r>
          </w:p>
        </w:tc>
        <w:tc>
          <w:tcPr/>
          <w:p>
            <w:pPr>
              <w:pStyle w:val="Compact"/>
            </w:pPr>
            <w:r>
              <w:t xml:space="preserve">35.8%</w:t>
            </w:r>
          </w:p>
        </w:tc>
        <w:tc>
          <w:tcPr/>
          <w:p>
            <w:pPr>
              <w:pStyle w:val="Compact"/>
            </w:pPr>
            <w:r>
              <w:t xml:space="preserve">33.5%</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429</w:t>
            </w:r>
          </w:p>
        </w:tc>
        <w:tc>
          <w:tcPr/>
          <w:p>
            <w:pPr>
              <w:pStyle w:val="Compact"/>
            </w:pPr>
            <w:r>
              <w:t xml:space="preserve">9020</w:t>
            </w:r>
          </w:p>
        </w:tc>
        <w:tc>
          <w:tcPr/>
          <w:p>
            <w:pPr>
              <w:pStyle w:val="Compact"/>
            </w:pPr>
            <w:r>
              <w:t xml:space="preserve">17 (13–24)</w:t>
            </w:r>
          </w:p>
        </w:tc>
        <w:tc>
          <w:tcPr/>
          <w:p>
            <w:pPr>
              <w:pStyle w:val="Compact"/>
            </w:pPr>
            <w:r>
              <w:t xml:space="preserve">0.266</w:t>
            </w:r>
          </w:p>
        </w:tc>
        <w:tc>
          <w:tcPr/>
          <w:p>
            <w:pPr>
              <w:pStyle w:val="Compact"/>
            </w:pPr>
            <w:r>
              <w:t xml:space="preserve">30.0</w:t>
            </w:r>
          </w:p>
        </w:tc>
        <w:tc>
          <w:tcPr/>
          <w:p>
            <w:pPr>
              <w:pStyle w:val="Compact"/>
            </w:pPr>
            <w:r>
              <w:t xml:space="preserve">22.8%</w:t>
            </w:r>
          </w:p>
        </w:tc>
        <w:tc>
          <w:tcPr/>
          <w:p>
            <w:pPr>
              <w:pStyle w:val="Compact"/>
            </w:pPr>
            <w:r>
              <w:t xml:space="preserve">37.9%</w:t>
            </w:r>
          </w:p>
        </w:tc>
        <w:tc>
          <w:tcPr/>
          <w:p>
            <w:pPr>
              <w:pStyle w:val="Compact"/>
            </w:pPr>
            <w:r>
              <w:t xml:space="preserve">31.6%</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Other/uncertain</w:t>
            </w:r>
          </w:p>
        </w:tc>
        <w:tc>
          <w:tcPr/>
          <w:p>
            <w:pPr>
              <w:pStyle w:val="Compact"/>
            </w:pPr>
            <w:r>
              <w:t xml:space="preserve">44</w:t>
            </w:r>
          </w:p>
        </w:tc>
        <w:tc>
          <w:tcPr/>
          <w:p>
            <w:pPr>
              <w:pStyle w:val="Compact"/>
            </w:pPr>
            <w:r>
              <w:t xml:space="preserve">969</w:t>
            </w:r>
          </w:p>
        </w:tc>
        <w:tc>
          <w:tcPr/>
          <w:p>
            <w:pPr>
              <w:pStyle w:val="Compact"/>
            </w:pPr>
            <w:r>
              <w:t xml:space="preserve">18 (14–28)</w:t>
            </w:r>
          </w:p>
        </w:tc>
        <w:tc>
          <w:tcPr/>
          <w:p>
            <w:pPr>
              <w:pStyle w:val="Compact"/>
            </w:pPr>
            <w:r>
              <w:t xml:space="preserve">0.237</w:t>
            </w:r>
          </w:p>
        </w:tc>
        <w:tc>
          <w:tcPr/>
          <w:p>
            <w:pPr>
              <w:pStyle w:val="Compact"/>
            </w:pPr>
            <w:r>
              <w:t xml:space="preserve">269.5</w:t>
            </w:r>
          </w:p>
        </w:tc>
        <w:tc>
          <w:tcPr/>
          <w:p>
            <w:pPr>
              <w:pStyle w:val="Compact"/>
            </w:pPr>
            <w:r>
              <w:t xml:space="preserve">20.9%</w:t>
            </w:r>
          </w:p>
        </w:tc>
        <w:tc>
          <w:tcPr/>
          <w:p>
            <w:pPr>
              <w:pStyle w:val="Compact"/>
            </w:pPr>
            <w:r>
              <w:t xml:space="preserve">35.2%</w:t>
            </w:r>
          </w:p>
        </w:tc>
        <w:tc>
          <w:tcPr/>
          <w:p>
            <w:pPr>
              <w:pStyle w:val="Compact"/>
            </w:pPr>
            <w:r>
              <w:t xml:space="preserve">32.9%</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524</w:t>
            </w:r>
          </w:p>
        </w:tc>
        <w:tc>
          <w:tcPr/>
          <w:p>
            <w:pPr>
              <w:pStyle w:val="Compact"/>
            </w:pPr>
            <w:r>
              <w:t xml:space="preserve">11367</w:t>
            </w:r>
          </w:p>
        </w:tc>
        <w:tc>
          <w:tcPr/>
          <w:p>
            <w:pPr>
              <w:pStyle w:val="Compact"/>
            </w:pPr>
            <w:r>
              <w:t xml:space="preserve">17 (14–26)</w:t>
            </w:r>
          </w:p>
        </w:tc>
        <w:tc>
          <w:tcPr/>
          <w:p>
            <w:pPr>
              <w:pStyle w:val="Compact"/>
            </w:pPr>
            <w:r>
              <w:t xml:space="preserve">0.275</w:t>
            </w:r>
          </w:p>
        </w:tc>
        <w:tc>
          <w:tcPr/>
          <w:p>
            <w:pPr>
              <w:pStyle w:val="Compact"/>
            </w:pPr>
            <w:r>
              <w:t xml:space="preserve">25.2</w:t>
            </w:r>
          </w:p>
        </w:tc>
        <w:tc>
          <w:tcPr/>
          <w:p>
            <w:pPr>
              <w:pStyle w:val="Compact"/>
            </w:pPr>
            <w:r>
              <w:t xml:space="preserve">24.0%</w:t>
            </w:r>
          </w:p>
        </w:tc>
        <w:tc>
          <w:tcPr/>
          <w:p>
            <w:pPr>
              <w:pStyle w:val="Compact"/>
            </w:pPr>
            <w:r>
              <w:t xml:space="preserve">38.9%</w:t>
            </w:r>
          </w:p>
        </w:tc>
        <w:tc>
          <w:tcPr/>
          <w:p>
            <w:pPr>
              <w:pStyle w:val="Compact"/>
            </w:pPr>
            <w:r>
              <w:t xml:space="preserve">31.3%</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Other/uncertain</w:t>
            </w:r>
          </w:p>
        </w:tc>
        <w:tc>
          <w:tcPr/>
          <w:p>
            <w:pPr>
              <w:pStyle w:val="Compact"/>
            </w:pPr>
            <w:r>
              <w:t xml:space="preserve">55</w:t>
            </w:r>
          </w:p>
        </w:tc>
        <w:tc>
          <w:tcPr/>
          <w:p>
            <w:pPr>
              <w:pStyle w:val="Compact"/>
            </w:pPr>
            <w:r>
              <w:t xml:space="preserve">1258</w:t>
            </w:r>
          </w:p>
        </w:tc>
        <w:tc>
          <w:tcPr/>
          <w:p>
            <w:pPr>
              <w:pStyle w:val="Compact"/>
            </w:pPr>
            <w:r>
              <w:t xml:space="preserve">17 (14–32)</w:t>
            </w:r>
          </w:p>
        </w:tc>
        <w:tc>
          <w:tcPr/>
          <w:p>
            <w:pPr>
              <w:pStyle w:val="Compact"/>
            </w:pPr>
            <w:r>
              <w:t xml:space="preserve">0.282</w:t>
            </w:r>
          </w:p>
        </w:tc>
        <w:tc>
          <w:tcPr/>
          <w:p>
            <w:pPr>
              <w:pStyle w:val="Compact"/>
            </w:pPr>
            <w:r>
              <w:t xml:space="preserve">235.3</w:t>
            </w:r>
          </w:p>
        </w:tc>
        <w:tc>
          <w:tcPr/>
          <w:p>
            <w:pPr>
              <w:pStyle w:val="Compact"/>
            </w:pPr>
            <w:r>
              <w:t xml:space="preserve">23.9%</w:t>
            </w:r>
          </w:p>
        </w:tc>
        <w:tc>
          <w:tcPr/>
          <w:p>
            <w:pPr>
              <w:pStyle w:val="Compact"/>
            </w:pPr>
            <w:r>
              <w:t xml:space="preserve">38.3%</w:t>
            </w:r>
          </w:p>
        </w:tc>
        <w:tc>
          <w:tcPr/>
          <w:p>
            <w:pPr>
              <w:pStyle w:val="Compact"/>
            </w:pPr>
            <w:r>
              <w:t xml:space="preserve">29.3%</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522</w:t>
            </w:r>
          </w:p>
        </w:tc>
        <w:tc>
          <w:tcPr/>
          <w:p>
            <w:pPr>
              <w:pStyle w:val="Compact"/>
            </w:pPr>
            <w:r>
              <w:t xml:space="preserve">11470</w:t>
            </w:r>
          </w:p>
        </w:tc>
        <w:tc>
          <w:tcPr/>
          <w:p>
            <w:pPr>
              <w:pStyle w:val="Compact"/>
            </w:pPr>
            <w:r>
              <w:t xml:space="preserve">18 (14–26)</w:t>
            </w:r>
          </w:p>
        </w:tc>
        <w:tc>
          <w:tcPr/>
          <w:p>
            <w:pPr>
              <w:pStyle w:val="Compact"/>
            </w:pPr>
            <w:r>
              <w:t xml:space="preserve">0.267</w:t>
            </w:r>
          </w:p>
        </w:tc>
        <w:tc>
          <w:tcPr/>
          <w:p>
            <w:pPr>
              <w:pStyle w:val="Compact"/>
            </w:pPr>
            <w:r>
              <w:t xml:space="preserve">24.6</w:t>
            </w:r>
          </w:p>
        </w:tc>
        <w:tc>
          <w:tcPr/>
          <w:p>
            <w:pPr>
              <w:pStyle w:val="Compact"/>
            </w:pPr>
            <w:r>
              <w:t xml:space="preserve">22.9%</w:t>
            </w:r>
          </w:p>
        </w:tc>
        <w:tc>
          <w:tcPr/>
          <w:p>
            <w:pPr>
              <w:pStyle w:val="Compact"/>
            </w:pPr>
            <w:r>
              <w:t xml:space="preserve">37.8%</w:t>
            </w:r>
          </w:p>
        </w:tc>
        <w:tc>
          <w:tcPr/>
          <w:p>
            <w:pPr>
              <w:pStyle w:val="Compact"/>
            </w:pPr>
            <w:r>
              <w:t xml:space="preserve">31.6%</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Other/uncertain</w:t>
            </w:r>
          </w:p>
        </w:tc>
        <w:tc>
          <w:tcPr/>
          <w:p>
            <w:pPr>
              <w:pStyle w:val="Compact"/>
            </w:pPr>
            <w:r>
              <w:t xml:space="preserve">56</w:t>
            </w:r>
          </w:p>
        </w:tc>
        <w:tc>
          <w:tcPr/>
          <w:p>
            <w:pPr>
              <w:pStyle w:val="Compact"/>
            </w:pPr>
            <w:r>
              <w:t xml:space="preserve">1121</w:t>
            </w:r>
          </w:p>
        </w:tc>
        <w:tc>
          <w:tcPr/>
          <w:p>
            <w:pPr>
              <w:pStyle w:val="Compact"/>
            </w:pPr>
            <w:r>
              <w:t xml:space="preserve">16 (13–25)</w:t>
            </w:r>
          </w:p>
        </w:tc>
        <w:tc>
          <w:tcPr/>
          <w:p>
            <w:pPr>
              <w:pStyle w:val="Compact"/>
            </w:pPr>
            <w:r>
              <w:t xml:space="preserve">0.242</w:t>
            </w:r>
          </w:p>
        </w:tc>
        <w:tc>
          <w:tcPr/>
          <w:p>
            <w:pPr>
              <w:pStyle w:val="Compact"/>
            </w:pPr>
            <w:r>
              <w:t xml:space="preserve">218.0</w:t>
            </w:r>
          </w:p>
        </w:tc>
        <w:tc>
          <w:tcPr/>
          <w:p>
            <w:pPr>
              <w:pStyle w:val="Compact"/>
            </w:pPr>
            <w:r>
              <w:t xml:space="preserve">21.6%</w:t>
            </w:r>
          </w:p>
        </w:tc>
        <w:tc>
          <w:tcPr/>
          <w:p>
            <w:pPr>
              <w:pStyle w:val="Compact"/>
            </w:pPr>
            <w:r>
              <w:t xml:space="preserve">36.6%</w:t>
            </w:r>
          </w:p>
        </w:tc>
        <w:tc>
          <w:tcPr/>
          <w:p>
            <w:pPr>
              <w:pStyle w:val="Compact"/>
            </w:pPr>
            <w:r>
              <w:t xml:space="preserve">32.3%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20"/>
        <w:gridCol w:w="1373"/>
        <w:gridCol w:w="888"/>
        <w:gridCol w:w="888"/>
        <w:gridCol w:w="1131"/>
        <w:gridCol w:w="888"/>
        <w:gridCol w:w="727"/>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15872.000</w:t>
            </w:r>
          </w:p>
        </w:tc>
        <w:tc>
          <w:tcPr/>
          <w:p>
            <w:pPr>
              <w:pStyle w:val="Compact"/>
            </w:pPr>
            <w:r>
              <w:t xml:space="preserve">11470.000</w:t>
            </w:r>
          </w:p>
        </w:tc>
        <w:tc>
          <w:tcPr/>
          <w:p>
            <w:pPr>
              <w:pStyle w:val="Compact"/>
            </w:pPr>
            <w:r>
              <w:t xml:space="preserve">-503.609</w:t>
            </w:r>
          </w:p>
        </w:tc>
        <w:tc>
          <w:tcPr/>
          <w:p>
            <w:pPr>
              <w:pStyle w:val="Compact"/>
            </w:pPr>
            <w:r>
              <w:t xml:space="preserve">0.491</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Other/uncertain</w:t>
            </w:r>
          </w:p>
        </w:tc>
        <w:tc>
          <w:tcPr/>
          <w:p>
            <w:pPr>
              <w:pStyle w:val="Compact"/>
            </w:pPr>
            <w:r>
              <w:t xml:space="preserve">945.000</w:t>
            </w:r>
          </w:p>
        </w:tc>
        <w:tc>
          <w:tcPr/>
          <w:p>
            <w:pPr>
              <w:pStyle w:val="Compact"/>
            </w:pPr>
            <w:r>
              <w:t xml:space="preserve">1121.000</w:t>
            </w:r>
          </w:p>
        </w:tc>
        <w:tc>
          <w:tcPr/>
          <w:p>
            <w:pPr>
              <w:pStyle w:val="Compact"/>
            </w:pPr>
            <w:r>
              <w:t xml:space="preserve">19.964</w:t>
            </w:r>
          </w:p>
        </w:tc>
        <w:tc>
          <w:tcPr/>
          <w:p>
            <w:pPr>
              <w:pStyle w:val="Compact"/>
            </w:pPr>
            <w:r>
              <w:t xml:space="preserve">0.138</w:t>
            </w:r>
          </w:p>
        </w:tc>
        <w:tc>
          <w:tcPr/>
          <w:p>
            <w:pPr>
              <w:pStyle w:val="Compact"/>
            </w:pPr>
            <w:r>
              <w:t xml:space="preserve">0.260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779.000</w:t>
            </w:r>
          </w:p>
        </w:tc>
        <w:tc>
          <w:tcPr/>
          <w:p>
            <w:pPr>
              <w:pStyle w:val="Compact"/>
            </w:pPr>
            <w:r>
              <w:t xml:space="preserve">522.000</w:t>
            </w:r>
          </w:p>
        </w:tc>
        <w:tc>
          <w:tcPr/>
          <w:p>
            <w:pPr>
              <w:pStyle w:val="Compact"/>
            </w:pPr>
            <w:r>
              <w:t xml:space="preserve">-27.045</w:t>
            </w:r>
          </w:p>
        </w:tc>
        <w:tc>
          <w:tcPr/>
          <w:p>
            <w:pPr>
              <w:pStyle w:val="Compact"/>
            </w:pPr>
            <w:r>
              <w:t xml:space="preserve">0.654</w:t>
            </w:r>
          </w:p>
        </w:tc>
        <w:tc>
          <w:tcPr/>
          <w:p>
            <w:pPr>
              <w:pStyle w:val="Compact"/>
            </w:pPr>
            <w:r>
              <w:t xml:space="preserve">0.003</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Other/uncertain</w:t>
            </w:r>
          </w:p>
        </w:tc>
        <w:tc>
          <w:tcPr/>
          <w:p>
            <w:pPr>
              <w:pStyle w:val="Compact"/>
            </w:pPr>
            <w:r>
              <w:t xml:space="preserve">38.000</w:t>
            </w:r>
          </w:p>
        </w:tc>
        <w:tc>
          <w:tcPr/>
          <w:p>
            <w:pPr>
              <w:pStyle w:val="Compact"/>
            </w:pPr>
            <w:r>
              <w:t xml:space="preserve">56.000</w:t>
            </w:r>
          </w:p>
        </w:tc>
        <w:tc>
          <w:tcPr/>
          <w:p>
            <w:pPr>
              <w:pStyle w:val="Compact"/>
            </w:pPr>
            <w:r>
              <w:t xml:space="preserve">1.545</w:t>
            </w:r>
          </w:p>
        </w:tc>
        <w:tc>
          <w:tcPr/>
          <w:p>
            <w:pPr>
              <w:pStyle w:val="Compact"/>
            </w:pPr>
            <w:r>
              <w:t xml:space="preserve">0.344</w:t>
            </w:r>
          </w:p>
        </w:tc>
        <w:tc>
          <w:tcPr/>
          <w:p>
            <w:pPr>
              <w:pStyle w:val="Compact"/>
            </w:pPr>
            <w:r>
              <w:t xml:space="preserve">0.060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0.109</w:t>
            </w:r>
          </w:p>
        </w:tc>
        <w:tc>
          <w:tcPr/>
          <w:p>
            <w:pPr>
              <w:pStyle w:val="Compact"/>
            </w:pPr>
            <w:r>
              <w:t xml:space="preserve">0.122</w:t>
            </w:r>
          </w:p>
        </w:tc>
        <w:tc>
          <w:tcPr/>
          <w:p>
            <w:pPr>
              <w:pStyle w:val="Compact"/>
            </w:pPr>
            <w:r>
              <w:t xml:space="preserve">0.290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Other/uncertain</w:t>
            </w:r>
          </w:p>
        </w:tc>
        <w:tc>
          <w:tcPr/>
          <w:p>
            <w:pPr>
              <w:pStyle w:val="Compact"/>
            </w:pPr>
            <w:r>
              <w:t xml:space="preserve">15.000</w:t>
            </w:r>
          </w:p>
        </w:tc>
        <w:tc>
          <w:tcPr/>
          <w:p>
            <w:pPr>
              <w:pStyle w:val="Compact"/>
            </w:pPr>
            <w:r>
              <w:t xml:space="preserve">16.000</w:t>
            </w:r>
          </w:p>
        </w:tc>
        <w:tc>
          <w:tcPr/>
          <w:p>
            <w:pPr>
              <w:pStyle w:val="Compact"/>
            </w:pPr>
            <w:r>
              <w:t xml:space="preserve">-0.064</w:t>
            </w:r>
          </w:p>
        </w:tc>
        <w:tc>
          <w:tcPr/>
          <w:p>
            <w:pPr>
              <w:pStyle w:val="Compact"/>
            </w:pPr>
            <w:r>
              <w:t xml:space="preserve">0.019</w:t>
            </w:r>
          </w:p>
        </w:tc>
        <w:tc>
          <w:tcPr/>
          <w:p>
            <w:pPr>
              <w:pStyle w:val="Compact"/>
            </w:pPr>
            <w:r>
              <w:t xml:space="preserve">0.680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0.275</w:t>
            </w:r>
          </w:p>
        </w:tc>
        <w:tc>
          <w:tcPr/>
          <w:p>
            <w:pPr>
              <w:pStyle w:val="Compact"/>
            </w:pPr>
            <w:r>
              <w:t xml:space="preserve">0.267</w:t>
            </w:r>
          </w:p>
        </w:tc>
        <w:tc>
          <w:tcPr/>
          <w:p>
            <w:pPr>
              <w:pStyle w:val="Compact"/>
            </w:pPr>
            <w:r>
              <w:t xml:space="preserve">0.000</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Other/uncertain</w:t>
            </w:r>
          </w:p>
        </w:tc>
        <w:tc>
          <w:tcPr/>
          <w:p>
            <w:pPr>
              <w:pStyle w:val="Compact"/>
            </w:pPr>
            <w:r>
              <w:t xml:space="preserve">0.363</w:t>
            </w:r>
          </w:p>
        </w:tc>
        <w:tc>
          <w:tcPr/>
          <w:p>
            <w:pPr>
              <w:pStyle w:val="Compact"/>
            </w:pPr>
            <w:r>
              <w:t xml:space="preserve">0.242</w:t>
            </w:r>
          </w:p>
        </w:tc>
        <w:tc>
          <w:tcPr/>
          <w:p>
            <w:pPr>
              <w:pStyle w:val="Compact"/>
            </w:pPr>
            <w:r>
              <w:t xml:space="preserve">-0.010</w:t>
            </w:r>
          </w:p>
        </w:tc>
        <w:tc>
          <w:tcPr/>
          <w:p>
            <w:pPr>
              <w:pStyle w:val="Compact"/>
            </w:pPr>
            <w:r>
              <w:t xml:space="preserve">0.700</w:t>
            </w:r>
          </w:p>
        </w:tc>
        <w:tc>
          <w:tcPr/>
          <w:p>
            <w:pPr>
              <w:pStyle w:val="Compact"/>
            </w:pPr>
            <w:r>
              <w:t xml:space="preserve">0.001</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17.307</w:t>
            </w:r>
          </w:p>
        </w:tc>
        <w:tc>
          <w:tcPr/>
          <w:p>
            <w:pPr>
              <w:pStyle w:val="Compact"/>
            </w:pPr>
            <w:r>
              <w:t xml:space="preserve">24.632</w:t>
            </w:r>
          </w:p>
        </w:tc>
        <w:tc>
          <w:tcPr/>
          <w:p>
            <w:pPr>
              <w:pStyle w:val="Compact"/>
            </w:pPr>
            <w:r>
              <w:t xml:space="preserve">0.973</w:t>
            </w:r>
          </w:p>
        </w:tc>
        <w:tc>
          <w:tcPr/>
          <w:p>
            <w:pPr>
              <w:pStyle w:val="Compact"/>
            </w:pPr>
            <w:r>
              <w:t xml:space="preserve">0.564</w:t>
            </w:r>
          </w:p>
        </w:tc>
        <w:tc>
          <w:tcPr/>
          <w:p>
            <w:pPr>
              <w:pStyle w:val="Compact"/>
            </w:pPr>
            <w:r>
              <w:t xml:space="preserve">0.008</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Other/uncertain</w:t>
            </w:r>
          </w:p>
        </w:tc>
        <w:tc>
          <w:tcPr/>
          <w:p>
            <w:pPr>
              <w:pStyle w:val="Compact"/>
            </w:pPr>
            <w:r>
              <w:t xml:space="preserve">408.846</w:t>
            </w:r>
          </w:p>
        </w:tc>
        <w:tc>
          <w:tcPr/>
          <w:p>
            <w:pPr>
              <w:pStyle w:val="Compact"/>
            </w:pPr>
            <w:r>
              <w:t xml:space="preserve">217.954</w:t>
            </w:r>
          </w:p>
        </w:tc>
        <w:tc>
          <w:tcPr/>
          <w:p>
            <w:pPr>
              <w:pStyle w:val="Compact"/>
            </w:pPr>
            <w:r>
              <w:t xml:space="preserve">-18.475</w:t>
            </w:r>
          </w:p>
        </w:tc>
        <w:tc>
          <w:tcPr/>
          <w:p>
            <w:pPr>
              <w:pStyle w:val="Compact"/>
            </w:pPr>
            <w:r>
              <w:t xml:space="preserve">0.542</w:t>
            </w:r>
          </w:p>
        </w:tc>
        <w:tc>
          <w:tcPr/>
          <w:p>
            <w:pPr>
              <w:pStyle w:val="Compact"/>
            </w:pPr>
            <w:r>
              <w:t xml:space="preserve">0.010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24.427</w:t>
            </w:r>
          </w:p>
        </w:tc>
        <w:tc>
          <w:tcPr/>
          <w:p>
            <w:pPr>
              <w:pStyle w:val="Compact"/>
            </w:pPr>
            <w:r>
              <w:t xml:space="preserve">22.903</w:t>
            </w:r>
          </w:p>
        </w:tc>
        <w:tc>
          <w:tcPr/>
          <w:p>
            <w:pPr>
              <w:pStyle w:val="Compact"/>
            </w:pPr>
            <w:r>
              <w:t xml:space="preserve">-0.080</w:t>
            </w:r>
          </w:p>
        </w:tc>
        <w:tc>
          <w:tcPr/>
          <w:p>
            <w:pPr>
              <w:pStyle w:val="Compact"/>
            </w:pPr>
            <w:r>
              <w:t xml:space="preserve">0.247</w:t>
            </w:r>
          </w:p>
        </w:tc>
        <w:tc>
          <w:tcPr/>
          <w:p>
            <w:pPr>
              <w:pStyle w:val="Compact"/>
            </w:pPr>
            <w:r>
              <w:t xml:space="preserve">0.120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Other/uncertain</w:t>
            </w:r>
          </w:p>
        </w:tc>
        <w:tc>
          <w:tcPr/>
          <w:p>
            <w:pPr>
              <w:pStyle w:val="Compact"/>
            </w:pPr>
            <w:r>
              <w:t xml:space="preserve">28.466</w:t>
            </w:r>
          </w:p>
        </w:tc>
        <w:tc>
          <w:tcPr/>
          <w:p>
            <w:pPr>
              <w:pStyle w:val="Compact"/>
            </w:pPr>
            <w:r>
              <w:t xml:space="preserve">21.588</w:t>
            </w:r>
          </w:p>
        </w:tc>
        <w:tc>
          <w:tcPr/>
          <w:p>
            <w:pPr>
              <w:pStyle w:val="Compact"/>
            </w:pPr>
            <w:r>
              <w:t xml:space="preserve">-0.773</w:t>
            </w:r>
          </w:p>
        </w:tc>
        <w:tc>
          <w:tcPr/>
          <w:p>
            <w:pPr>
              <w:pStyle w:val="Compact"/>
            </w:pPr>
            <w:r>
              <w:t xml:space="preserve">0.643</w:t>
            </w:r>
          </w:p>
        </w:tc>
        <w:tc>
          <w:tcPr/>
          <w:p>
            <w:pPr>
              <w:pStyle w:val="Compact"/>
            </w:pPr>
            <w:r>
              <w:t xml:space="preserve">0.003</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39.308</w:t>
            </w:r>
          </w:p>
        </w:tc>
        <w:tc>
          <w:tcPr/>
          <w:p>
            <w:pPr>
              <w:pStyle w:val="Compact"/>
            </w:pPr>
            <w:r>
              <w:t xml:space="preserve">37.751</w:t>
            </w:r>
          </w:p>
        </w:tc>
        <w:tc>
          <w:tcPr/>
          <w:p>
            <w:pPr>
              <w:pStyle w:val="Compact"/>
            </w:pPr>
            <w:r>
              <w:t xml:space="preserve">-0.092</w:t>
            </w:r>
          </w:p>
        </w:tc>
        <w:tc>
          <w:tcPr/>
          <w:p>
            <w:pPr>
              <w:pStyle w:val="Compact"/>
            </w:pPr>
            <w:r>
              <w:t xml:space="preserve">0.246</w:t>
            </w:r>
          </w:p>
        </w:tc>
        <w:tc>
          <w:tcPr/>
          <w:p>
            <w:pPr>
              <w:pStyle w:val="Compact"/>
            </w:pPr>
            <w:r>
              <w:t xml:space="preserve">0.120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Other/uncertain</w:t>
            </w:r>
          </w:p>
        </w:tc>
        <w:tc>
          <w:tcPr/>
          <w:p>
            <w:pPr>
              <w:pStyle w:val="Compact"/>
            </w:pPr>
            <w:r>
              <w:t xml:space="preserve">47.407</w:t>
            </w:r>
          </w:p>
        </w:tc>
        <w:tc>
          <w:tcPr/>
          <w:p>
            <w:pPr>
              <w:pStyle w:val="Compact"/>
            </w:pPr>
            <w:r>
              <w:t xml:space="preserve">36.574</w:t>
            </w:r>
          </w:p>
        </w:tc>
        <w:tc>
          <w:tcPr/>
          <w:p>
            <w:pPr>
              <w:pStyle w:val="Compact"/>
            </w:pPr>
            <w:r>
              <w:t xml:space="preserve">-1.012</w:t>
            </w:r>
          </w:p>
        </w:tc>
        <w:tc>
          <w:tcPr/>
          <w:p>
            <w:pPr>
              <w:pStyle w:val="Compact"/>
            </w:pPr>
            <w:r>
              <w:t xml:space="preserve">0.710</w:t>
            </w:r>
          </w:p>
        </w:tc>
        <w:tc>
          <w:tcPr/>
          <w:p>
            <w:pPr>
              <w:pStyle w:val="Compact"/>
            </w:pPr>
            <w:r>
              <w:t xml:space="preserve">0.001</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31.496</w:t>
            </w:r>
          </w:p>
        </w:tc>
        <w:tc>
          <w:tcPr/>
          <w:p>
            <w:pPr>
              <w:pStyle w:val="Compact"/>
            </w:pPr>
            <w:r>
              <w:t xml:space="preserve">31.569</w:t>
            </w:r>
          </w:p>
        </w:tc>
        <w:tc>
          <w:tcPr/>
          <w:p>
            <w:pPr>
              <w:pStyle w:val="Compact"/>
            </w:pPr>
            <w:r>
              <w:t xml:space="preserve">0.015</w:t>
            </w:r>
          </w:p>
        </w:tc>
        <w:tc>
          <w:tcPr/>
          <w:p>
            <w:pPr>
              <w:pStyle w:val="Compact"/>
            </w:pPr>
            <w:r>
              <w:t xml:space="preserve">0.013</w:t>
            </w:r>
          </w:p>
        </w:tc>
        <w:tc>
          <w:tcPr/>
          <w:p>
            <w:pPr>
              <w:pStyle w:val="Compact"/>
            </w:pPr>
            <w:r>
              <w:t xml:space="preserve">0.740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Other/uncertain</w:t>
            </w:r>
          </w:p>
        </w:tc>
        <w:tc>
          <w:tcPr/>
          <w:p>
            <w:pPr>
              <w:pStyle w:val="Compact"/>
            </w:pPr>
            <w:r>
              <w:t xml:space="preserve">25.397</w:t>
            </w:r>
          </w:p>
        </w:tc>
        <w:tc>
          <w:tcPr/>
          <w:p>
            <w:pPr>
              <w:pStyle w:val="Compact"/>
            </w:pPr>
            <w:r>
              <w:t xml:space="preserve">32.293</w:t>
            </w:r>
          </w:p>
        </w:tc>
        <w:tc>
          <w:tcPr/>
          <w:p>
            <w:pPr>
              <w:pStyle w:val="Compact"/>
            </w:pPr>
            <w:r>
              <w:t xml:space="preserve">0.710</w:t>
            </w:r>
          </w:p>
        </w:tc>
        <w:tc>
          <w:tcPr/>
          <w:p>
            <w:pPr>
              <w:pStyle w:val="Compact"/>
            </w:pPr>
            <w:r>
              <w:t xml:space="preserve">0.644</w:t>
            </w:r>
          </w:p>
        </w:tc>
        <w:tc>
          <w:tcPr/>
          <w:p>
            <w:pPr>
              <w:pStyle w:val="Compact"/>
            </w:pPr>
            <w:r>
              <w:t xml:space="preserve">0.003</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844"/>
        <w:gridCol w:w="1735"/>
        <w:gridCol w:w="1735"/>
        <w:gridCol w:w="1627"/>
        <w:gridCol w:w="976"/>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16.3</w:t>
            </w:r>
          </w:p>
        </w:tc>
        <w:tc>
          <w:tcPr/>
          <w:p>
            <w:pPr>
              <w:pStyle w:val="Compact"/>
            </w:pPr>
            <w:r>
              <w:t xml:space="preserve">13.1</w:t>
            </w:r>
          </w:p>
        </w:tc>
        <w:tc>
          <w:tcPr/>
          <w:p>
            <w:pPr>
              <w:pStyle w:val="Compact"/>
            </w:pPr>
            <w:r>
              <w:t xml:space="preserve">-0.397</w:t>
            </w:r>
          </w:p>
        </w:tc>
        <w:tc>
          <w:tcPr/>
          <w:p>
            <w:pPr>
              <w:pStyle w:val="Compact"/>
            </w:pPr>
            <w:r>
              <w:t xml:space="preserve">0.008</w:t>
            </w:r>
          </w:p>
        </w:tc>
      </w:tr>
      <w:tr>
        <w:tc>
          <w:tcPr/>
          <w:p>
            <w:pPr>
              <w:pStyle w:val="Compact"/>
            </w:pPr>
            <w:r>
              <w:t xml:space="preserve">MIGS</w:t>
            </w:r>
          </w:p>
        </w:tc>
        <w:tc>
          <w:tcPr/>
          <w:p>
            <w:pPr>
              <w:pStyle w:val="Compact"/>
            </w:pPr>
            <w:r>
              <w:t xml:space="preserve">0.2</w:t>
            </w:r>
          </w:p>
        </w:tc>
        <w:tc>
          <w:tcPr/>
          <w:p>
            <w:pPr>
              <w:pStyle w:val="Compact"/>
            </w:pPr>
            <w:r>
              <w:t xml:space="preserve">0.9</w:t>
            </w:r>
          </w:p>
        </w:tc>
        <w:tc>
          <w:tcPr/>
          <w:p>
            <w:pPr>
              <w:pStyle w:val="Compact"/>
            </w:pPr>
            <w:r>
              <w:t xml:space="preserve">0.077</w:t>
            </w:r>
          </w:p>
        </w:tc>
        <w:tc>
          <w:tcPr/>
          <w:p>
            <w:pPr>
              <w:pStyle w:val="Compact"/>
            </w:pPr>
            <w:r>
              <w:t xml:space="preserve">0.004</w:t>
            </w:r>
          </w:p>
        </w:tc>
      </w:tr>
      <w:tr>
        <w:tc>
          <w:tcPr/>
          <w:p>
            <w:pPr>
              <w:pStyle w:val="Compact"/>
            </w:pPr>
            <w:r>
              <w:t xml:space="preserve">Other/uncertain</w:t>
            </w:r>
          </w:p>
        </w:tc>
        <w:tc>
          <w:tcPr/>
          <w:p>
            <w:pPr>
              <w:pStyle w:val="Compact"/>
            </w:pPr>
            <w:r>
              <w:t xml:space="preserve">6.0</w:t>
            </w:r>
          </w:p>
        </w:tc>
        <w:tc>
          <w:tcPr/>
          <w:p>
            <w:pPr>
              <w:pStyle w:val="Compact"/>
            </w:pPr>
            <w:r>
              <w:t xml:space="preserve">9.8</w:t>
            </w:r>
          </w:p>
        </w:tc>
        <w:tc>
          <w:tcPr/>
          <w:p>
            <w:pPr>
              <w:pStyle w:val="Compact"/>
            </w:pPr>
            <w:r>
              <w:t xml:space="preserve">0.488</w:t>
            </w:r>
          </w:p>
        </w:tc>
        <w:tc>
          <w:tcPr/>
          <w:p>
            <w:pPr>
              <w:pStyle w:val="Compact"/>
            </w:pPr>
            <w:r>
              <w:t xml:space="preserve">&lt;0.001</w:t>
            </w:r>
          </w:p>
        </w:tc>
      </w:tr>
      <w:tr>
        <w:tc>
          <w:tcPr/>
          <w:p>
            <w:pPr>
              <w:pStyle w:val="Compact"/>
            </w:pPr>
            <w:r>
              <w:t xml:space="preserve">URPS (OB/GYN)</w:t>
            </w:r>
          </w:p>
        </w:tc>
        <w:tc>
          <w:tcPr/>
          <w:p>
            <w:pPr>
              <w:pStyle w:val="Compact"/>
            </w:pPr>
            <w:r>
              <w:t xml:space="preserve">45.8</w:t>
            </w:r>
          </w:p>
        </w:tc>
        <w:tc>
          <w:tcPr/>
          <w:p>
            <w:pPr>
              <w:pStyle w:val="Compact"/>
            </w:pPr>
            <w:r>
              <w:t xml:space="preserve">60.6</w:t>
            </w:r>
          </w:p>
        </w:tc>
        <w:tc>
          <w:tcPr/>
          <w:p>
            <w:pPr>
              <w:pStyle w:val="Compact"/>
            </w:pPr>
            <w:r>
              <w:t xml:space="preserve">1.416</w:t>
            </w:r>
          </w:p>
        </w:tc>
        <w:tc>
          <w:tcPr/>
          <w:p>
            <w:pPr>
              <w:pStyle w:val="Compact"/>
            </w:pPr>
            <w:r>
              <w:t xml:space="preserve">&lt;0.001</w:t>
            </w:r>
          </w:p>
        </w:tc>
      </w:tr>
      <w:tr>
        <w:tc>
          <w:tcPr/>
          <w:p>
            <w:pPr>
              <w:pStyle w:val="Compact"/>
            </w:pPr>
            <w:r>
              <w:t xml:space="preserve">URPS (urology)</w:t>
            </w:r>
          </w:p>
        </w:tc>
        <w:tc>
          <w:tcPr/>
          <w:p>
            <w:pPr>
              <w:pStyle w:val="Compact"/>
            </w:pPr>
            <w:r>
              <w:t xml:space="preserve">9.3</w:t>
            </w:r>
          </w:p>
        </w:tc>
        <w:tc>
          <w:tcPr/>
          <w:p>
            <w:pPr>
              <w:pStyle w:val="Compact"/>
            </w:pPr>
            <w:r>
              <w:t xml:space="preserve">7.4</w:t>
            </w:r>
          </w:p>
        </w:tc>
        <w:tc>
          <w:tcPr/>
          <w:p>
            <w:pPr>
              <w:pStyle w:val="Compact"/>
            </w:pPr>
            <w:r>
              <w:t xml:space="preserve">-0.299</w:t>
            </w:r>
          </w:p>
        </w:tc>
        <w:tc>
          <w:tcPr/>
          <w:p>
            <w:pPr>
              <w:pStyle w:val="Compact"/>
            </w:pPr>
            <w:r>
              <w:t xml:space="preserve">0.001</w:t>
            </w:r>
          </w:p>
        </w:tc>
      </w:tr>
      <w:tr>
        <w:tc>
          <w:tcPr/>
          <w:p>
            <w:pPr>
              <w:pStyle w:val="Compact"/>
            </w:pPr>
            <w:r>
              <w:t xml:space="preserve">Urology</w:t>
            </w:r>
          </w:p>
        </w:tc>
        <w:tc>
          <w:tcPr/>
          <w:p>
            <w:pPr>
              <w:pStyle w:val="Compact"/>
            </w:pPr>
            <w:r>
              <w:t xml:space="preserve">22.4</w:t>
            </w:r>
          </w:p>
        </w:tc>
        <w:tc>
          <w:tcPr/>
          <w:p>
            <w:pPr>
              <w:pStyle w:val="Compact"/>
            </w:pPr>
            <w:r>
              <w:t xml:space="preserve">8.3</w:t>
            </w:r>
          </w:p>
        </w:tc>
        <w:tc>
          <w:tcPr/>
          <w:p>
            <w:pPr>
              <w:pStyle w:val="Compact"/>
            </w:pPr>
            <w:r>
              <w:t xml:space="preserve">-1.284</w:t>
            </w:r>
          </w:p>
        </w:tc>
        <w:tc>
          <w:tcPr/>
          <w:p>
            <w:pPr>
              <w:pStyle w:val="Compact"/>
            </w:pPr>
            <w:r>
              <w:t xml:space="preserve">&lt;0.001</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21.79 (20.23-23.48)</w:t>
            </w:r>
          </w:p>
        </w:tc>
        <w:tc>
          <w:tcPr/>
          <w:p>
            <w:pPr>
              <w:pStyle w:val="Compact"/>
            </w:pPr>
            <w:r>
              <w:t xml:space="preserve">n/a</w:t>
            </w:r>
          </w:p>
        </w:tc>
      </w:tr>
      <w:tr>
        <w:tc>
          <w:tcPr/>
          <w:p>
            <w:pPr>
              <w:pStyle w:val="Compact"/>
            </w:pPr>
            <w:r>
              <w:t xml:space="preserve">Specialty: General OB/GYN</w:t>
            </w:r>
          </w:p>
        </w:tc>
        <w:tc>
          <w:tcPr/>
          <w:p>
            <w:pPr>
              <w:pStyle w:val="Compact"/>
            </w:pPr>
            <w:r>
              <w:t xml:space="preserve">0.64 (0.46-0.90)</w:t>
            </w:r>
          </w:p>
        </w:tc>
        <w:tc>
          <w:tcPr/>
          <w:p>
            <w:pPr>
              <w:pStyle w:val="Compact"/>
            </w:pPr>
            <w:r>
              <w:t xml:space="preserve">0.010</w:t>
            </w:r>
          </w:p>
        </w:tc>
      </w:tr>
      <w:tr>
        <w:tc>
          <w:tcPr/>
          <w:p>
            <w:pPr>
              <w:pStyle w:val="Compact"/>
            </w:pPr>
            <w:r>
              <w:t xml:space="preserve">Specialty: MIGS</w:t>
            </w:r>
          </w:p>
        </w:tc>
        <w:tc>
          <w:tcPr/>
          <w:p>
            <w:pPr>
              <w:pStyle w:val="Compact"/>
            </w:pPr>
            <w:r>
              <w:t xml:space="preserve">0.88 (0.58-1.34)</w:t>
            </w:r>
          </w:p>
        </w:tc>
        <w:tc>
          <w:tcPr/>
          <w:p>
            <w:pPr>
              <w:pStyle w:val="Compact"/>
            </w:pPr>
            <w:r>
              <w:t xml:space="preserve">0.540</w:t>
            </w:r>
          </w:p>
        </w:tc>
      </w:tr>
      <w:tr>
        <w:tc>
          <w:tcPr/>
          <w:p>
            <w:pPr>
              <w:pStyle w:val="Compact"/>
            </w:pPr>
            <w:r>
              <w:t xml:space="preserve">Specialty: Other/uncertain</w:t>
            </w:r>
          </w:p>
        </w:tc>
        <w:tc>
          <w:tcPr/>
          <w:p>
            <w:pPr>
              <w:pStyle w:val="Compact"/>
            </w:pPr>
            <w:r>
              <w:t xml:space="preserve">0.89 (0.80-0.98)</w:t>
            </w:r>
          </w:p>
        </w:tc>
        <w:tc>
          <w:tcPr/>
          <w:p>
            <w:pPr>
              <w:pStyle w:val="Compact"/>
            </w:pPr>
            <w:r>
              <w:t xml:space="preserve">0.020</w:t>
            </w:r>
          </w:p>
        </w:tc>
      </w:tr>
      <w:tr>
        <w:tc>
          <w:tcPr/>
          <w:p>
            <w:pPr>
              <w:pStyle w:val="Compact"/>
            </w:pPr>
            <w:r>
              <w:t xml:space="preserve">Specialty: Urology</w:t>
            </w:r>
          </w:p>
        </w:tc>
        <w:tc>
          <w:tcPr/>
          <w:p>
            <w:pPr>
              <w:pStyle w:val="Compact"/>
            </w:pPr>
            <w:r>
              <w:t xml:space="preserve">0.69 (0.57-0.83)</w:t>
            </w:r>
          </w:p>
        </w:tc>
        <w:tc>
          <w:tcPr/>
          <w:p>
            <w:pPr>
              <w:pStyle w:val="Compact"/>
            </w:pPr>
            <w:r>
              <w:t xml:space="preserve">n/a</w:t>
            </w:r>
          </w:p>
        </w:tc>
      </w:tr>
      <w:tr>
        <w:tc>
          <w:tcPr/>
          <w:p>
            <w:pPr>
              <w:pStyle w:val="Compact"/>
            </w:pPr>
            <w:r>
              <w:t xml:space="preserve">Specialty: URPS (urology)</w:t>
            </w:r>
          </w:p>
        </w:tc>
        <w:tc>
          <w:tcPr/>
          <w:p>
            <w:pPr>
              <w:pStyle w:val="Compact"/>
            </w:pPr>
            <w:r>
              <w:t xml:space="preserve">0.75 (0.68-0.83)</w:t>
            </w:r>
          </w:p>
        </w:tc>
        <w:tc>
          <w:tcPr/>
          <w:p>
            <w:pPr>
              <w:pStyle w:val="Compact"/>
            </w:pPr>
            <w:r>
              <w:t xml:space="preserve">n/a</w:t>
            </w:r>
          </w:p>
        </w:tc>
      </w:tr>
      <w:tr>
        <w:tc>
          <w:tcPr/>
          <w:p>
            <w:pPr>
              <w:pStyle w:val="Compact"/>
            </w:pPr>
            <w:r>
              <w:t xml:space="preserve">year_c</w:t>
            </w:r>
          </w:p>
        </w:tc>
        <w:tc>
          <w:tcPr/>
          <w:p>
            <w:pPr>
              <w:pStyle w:val="Compact"/>
            </w:pPr>
            <w:r>
              <w:t xml:space="preserve">1.00 (0.99-1.01)</w:t>
            </w:r>
          </w:p>
        </w:tc>
        <w:tc>
          <w:tcPr/>
          <w:p>
            <w:pPr>
              <w:pStyle w:val="Compact"/>
            </w:pPr>
            <w:r>
              <w:t xml:space="preserve">0.850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0.900</w:t>
            </w:r>
          </w:p>
        </w:tc>
      </w:tr>
      <w:tr>
        <w:tc>
          <w:tcPr/>
          <w:p>
            <w:pPr>
              <w:pStyle w:val="Compact"/>
            </w:pPr>
            <w:r>
              <w:t xml:space="preserve">Specialty: MIGS:year_c</w:t>
            </w:r>
          </w:p>
        </w:tc>
        <w:tc>
          <w:tcPr/>
          <w:p>
            <w:pPr>
              <w:pStyle w:val="Compact"/>
            </w:pPr>
            <w:r>
              <w:t xml:space="preserve">1.08 (1.02-1.14)</w:t>
            </w:r>
          </w:p>
        </w:tc>
        <w:tc>
          <w:tcPr/>
          <w:p>
            <w:pPr>
              <w:pStyle w:val="Compact"/>
            </w:pPr>
            <w:r>
              <w:t xml:space="preserve">0.006</w:t>
            </w:r>
          </w:p>
        </w:tc>
      </w:tr>
      <w:tr>
        <w:tc>
          <w:tcPr/>
          <w:p>
            <w:pPr>
              <w:pStyle w:val="Compact"/>
            </w:pPr>
            <w:r>
              <w:t xml:space="preserve">Specialty: Other/uncertain:year_c</w:t>
            </w:r>
          </w:p>
        </w:tc>
        <w:tc>
          <w:tcPr/>
          <w:p>
            <w:pPr>
              <w:pStyle w:val="Compact"/>
            </w:pPr>
            <w:r>
              <w:t xml:space="preserve">0.99 (0.95-1.03)</w:t>
            </w:r>
          </w:p>
        </w:tc>
        <w:tc>
          <w:tcPr/>
          <w:p>
            <w:pPr>
              <w:pStyle w:val="Compact"/>
            </w:pPr>
            <w:r>
              <w:t xml:space="preserve">0.550</w:t>
            </w:r>
          </w:p>
        </w:tc>
      </w:tr>
      <w:tr>
        <w:tc>
          <w:tcPr/>
          <w:p>
            <w:pPr>
              <w:pStyle w:val="Compact"/>
            </w:pPr>
            <w:r>
              <w:t xml:space="preserve">Specialty: Urology:year_c</w:t>
            </w:r>
          </w:p>
        </w:tc>
        <w:tc>
          <w:tcPr/>
          <w:p>
            <w:pPr>
              <w:pStyle w:val="Compact"/>
            </w:pPr>
            <w:r>
              <w:t xml:space="preserve">0.99 (0.97-1.01)</w:t>
            </w:r>
          </w:p>
        </w:tc>
        <w:tc>
          <w:tcPr/>
          <w:p>
            <w:pPr>
              <w:pStyle w:val="Compact"/>
            </w:pPr>
            <w:r>
              <w:t xml:space="preserve">0.230</w:t>
            </w:r>
          </w:p>
        </w:tc>
      </w:tr>
      <w:tr>
        <w:tc>
          <w:tcPr/>
          <w:p>
            <w:pPr>
              <w:pStyle w:val="Compact"/>
            </w:pPr>
            <w:r>
              <w:t xml:space="preserve">Specialty: URPS (urology):year_c</w:t>
            </w:r>
          </w:p>
        </w:tc>
        <w:tc>
          <w:tcPr/>
          <w:p>
            <w:pPr>
              <w:pStyle w:val="Compact"/>
            </w:pPr>
            <w:r>
              <w:t xml:space="preserve">0.99 (0.97-1.01)</w:t>
            </w:r>
          </w:p>
        </w:tc>
        <w:tc>
          <w:tcPr/>
          <w:p>
            <w:pPr>
              <w:pStyle w:val="Compact"/>
            </w:pPr>
            <w:r>
              <w:t xml:space="preserve">0.210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960"/>
        <w:gridCol w:w="898"/>
        <w:gridCol w:w="326"/>
        <w:gridCol w:w="734"/>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97.35</w:t>
            </w:r>
          </w:p>
        </w:tc>
        <w:tc>
          <w:tcPr/>
          <w:p>
            <w:pPr>
              <w:pStyle w:val="Compact"/>
            </w:pPr>
            <w:r>
              <w:t xml:space="preserve">5</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Other/uncertain vs General OB/GYN</w:t>
            </w:r>
          </w:p>
        </w:tc>
        <w:tc>
          <w:tcPr/>
          <w:p>
            <w:pPr>
              <w:pStyle w:val="Compact"/>
            </w:pPr>
            <w:r>
              <w:t xml:space="preserve">n/a</w:t>
            </w:r>
          </w:p>
        </w:tc>
        <w:tc>
          <w:tcPr/>
          <w:p>
            <w:pPr>
              <w:pStyle w:val="Compact"/>
            </w:pPr>
            <w:r>
              <w:t xml:space="preserve">NA</w:t>
            </w:r>
          </w:p>
        </w:tc>
        <w:tc>
          <w:tcPr/>
          <w:p>
            <w:pPr>
              <w:pStyle w:val="Compact"/>
            </w:pPr>
            <w:r>
              <w:t xml:space="preserve">0.002</w:t>
            </w:r>
          </w:p>
        </w:tc>
      </w:tr>
      <w:tr>
        <w:tc>
          <w:tcPr/>
          <w:p>
            <w:pPr>
              <w:pStyle w:val="Compact"/>
            </w:pPr>
            <w:r>
              <w:t xml:space="preserve">Wilcoxon (per-physician, bonferroni): Other/uncertain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Other/uncertain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Other/uncertain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Urology</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Other/uncertain</w:t>
            </w:r>
          </w:p>
        </w:tc>
        <w:tc>
          <w:tcPr/>
          <w:p>
            <w:pPr>
              <w:pStyle w:val="Compact"/>
            </w:pPr>
            <w:r>
              <w:t xml:space="preserve">n/a</w:t>
            </w:r>
          </w:p>
        </w:tc>
        <w:tc>
          <w:tcPr/>
          <w:p>
            <w:pPr>
              <w:pStyle w:val="Compact"/>
            </w:pPr>
            <w:r>
              <w:t xml:space="preserve">NA</w:t>
            </w:r>
          </w:p>
        </w:tc>
        <w:tc>
          <w:tcPr/>
          <w:p>
            <w:pPr>
              <w:pStyle w:val="Compact"/>
            </w:pPr>
            <w:r>
              <w:t xml:space="preserve">0.76</w:t>
            </w:r>
          </w:p>
        </w:tc>
      </w:tr>
      <w:tr>
        <w:tc>
          <w:tcPr/>
          <w:p>
            <w:pPr>
              <w:pStyle w:val="Compact"/>
            </w:pPr>
            <w:r>
              <w:t xml:space="preserve">Wilcoxon (per-physician, bonferroni): URPS (urology) vs Urology</w:t>
            </w:r>
          </w:p>
        </w:tc>
        <w:tc>
          <w:tcPr/>
          <w:p>
            <w:pPr>
              <w:pStyle w:val="Compact"/>
            </w:pPr>
            <w:r>
              <w:t xml:space="preserve">n/a</w:t>
            </w:r>
          </w:p>
        </w:tc>
        <w:tc>
          <w:tcPr/>
          <w:p>
            <w:pPr>
              <w:pStyle w:val="Compact"/>
            </w:pPr>
            <w:r>
              <w:t xml:space="preserve">NA</w:t>
            </w:r>
          </w:p>
        </w:tc>
        <w:tc>
          <w:tcPr/>
          <w:p>
            <w:pPr>
              <w:pStyle w:val="Compact"/>
            </w:pPr>
            <w:r>
              <w:t xml:space="preserve">0.86</w:t>
            </w:r>
          </w:p>
        </w:tc>
      </w:tr>
      <w:tr>
        <w:tc>
          <w:tcPr/>
          <w:p>
            <w:pPr>
              <w:pStyle w:val="Compact"/>
            </w:pPr>
            <w:r>
              <w:t xml:space="preserve">Wilcoxon (per-physician, bonferroni): URPS (urology) vs URPS (OB/GYN)</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17"/>
        <w:gridCol w:w="1373"/>
        <w:gridCol w:w="1050"/>
        <w:gridCol w:w="969"/>
        <w:gridCol w:w="808"/>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336</w:t>
            </w:r>
          </w:p>
        </w:tc>
        <w:tc>
          <w:tcPr/>
          <w:p>
            <w:pPr>
              <w:pStyle w:val="Compact"/>
            </w:pPr>
            <w:r>
              <w:t xml:space="preserve">18316</w:t>
            </w:r>
          </w:p>
        </w:tc>
        <w:tc>
          <w:tcPr/>
          <w:p>
            <w:pPr>
              <w:pStyle w:val="Compact"/>
            </w:pPr>
            <w:r>
              <w:t xml:space="preserve">13.0%</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Time-varying (per physician-year)</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Time-varying (per physician-year)</w:t>
            </w:r>
          </w:p>
        </w:tc>
        <w:tc>
          <w:tcPr/>
          <w:p>
            <w:pPr>
              <w:pStyle w:val="Compact"/>
            </w:pPr>
            <w:r>
              <w:t xml:space="preserve">URPS</w:t>
            </w:r>
          </w:p>
        </w:tc>
        <w:tc>
          <w:tcPr/>
          <w:p>
            <w:pPr>
              <w:pStyle w:val="Compact"/>
            </w:pPr>
            <w:r>
              <w:t xml:space="preserve">767</w:t>
            </w:r>
          </w:p>
        </w:tc>
        <w:tc>
          <w:tcPr/>
          <w:p>
            <w:pPr>
              <w:pStyle w:val="Compact"/>
            </w:pPr>
            <w:r>
              <w:t xml:space="preserve">89773</w:t>
            </w:r>
          </w:p>
        </w:tc>
        <w:tc>
          <w:tcPr/>
          <w:p>
            <w:pPr>
              <w:pStyle w:val="Compact"/>
            </w:pPr>
            <w:r>
              <w:t xml:space="preserve">63.7%</w:t>
            </w:r>
          </w:p>
        </w:tc>
      </w:tr>
      <w:tr>
        <w:tc>
          <w:tcPr/>
          <w:p>
            <w:pPr>
              <w:pStyle w:val="Compact"/>
            </w:pPr>
            <w:r>
              <w:t xml:space="preserve">Time-varying (per physician-year)</w:t>
            </w:r>
          </w:p>
        </w:tc>
        <w:tc>
          <w:tcPr/>
          <w:p>
            <w:pPr>
              <w:pStyle w:val="Compact"/>
            </w:pPr>
            <w:r>
              <w:t xml:space="preserve">Urology</w:t>
            </w:r>
          </w:p>
        </w:tc>
        <w:tc>
          <w:tcPr/>
          <w:p>
            <w:pPr>
              <w:pStyle w:val="Compact"/>
            </w:pPr>
            <w:r>
              <w:t xml:space="preserve">366</w:t>
            </w:r>
          </w:p>
        </w:tc>
        <w:tc>
          <w:tcPr/>
          <w:p>
            <w:pPr>
              <w:pStyle w:val="Compact"/>
            </w:pPr>
            <w:r>
              <w:t xml:space="preserve">20475</w:t>
            </w:r>
          </w:p>
        </w:tc>
        <w:tc>
          <w:tcPr/>
          <w:p>
            <w:pPr>
              <w:pStyle w:val="Compact"/>
            </w:pPr>
            <w:r>
              <w:t xml:space="preserve">14.5%</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Modal (single most-frequent specialty)</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766</w:t>
            </w:r>
          </w:p>
        </w:tc>
        <w:tc>
          <w:tcPr/>
          <w:p>
            <w:pPr>
              <w:pStyle w:val="Compact"/>
            </w:pPr>
            <w:r>
              <w:t xml:space="preserve">90107</w:t>
            </w:r>
          </w:p>
        </w:tc>
        <w:tc>
          <w:tcPr/>
          <w:p>
            <w:pPr>
              <w:pStyle w:val="Compact"/>
            </w:pPr>
            <w:r>
              <w:t xml:space="preserve">63.9%</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358</w:t>
            </w:r>
          </w:p>
        </w:tc>
        <w:tc>
          <w:tcPr/>
          <w:p>
            <w:pPr>
              <w:pStyle w:val="Compact"/>
            </w:pPr>
            <w:r>
              <w:t xml:space="preserve">20170</w:t>
            </w:r>
          </w:p>
        </w:tc>
        <w:tc>
          <w:tcPr/>
          <w:p>
            <w:pPr>
              <w:pStyle w:val="Compact"/>
            </w:pPr>
            <w:r>
              <w:t xml:space="preserve">14.3%</w:t>
            </w:r>
          </w:p>
        </w:tc>
      </w:tr>
      <w:tr>
        <w:tc>
          <w:tcPr/>
          <w:p>
            <w:pPr>
              <w:pStyle w:val="Compact"/>
            </w:pPr>
            <w:r>
              <w:t xml:space="preserve">Ever URPS/MIGS</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Ever URPS/MIGS</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Ever URPS/MIGS</w:t>
            </w:r>
          </w:p>
        </w:tc>
        <w:tc>
          <w:tcPr/>
          <w:p>
            <w:pPr>
              <w:pStyle w:val="Compact"/>
            </w:pPr>
            <w:r>
              <w:t xml:space="preserve">URPS</w:t>
            </w:r>
          </w:p>
        </w:tc>
        <w:tc>
          <w:tcPr/>
          <w:p>
            <w:pPr>
              <w:pStyle w:val="Compact"/>
            </w:pPr>
            <w:r>
              <w:t xml:space="preserve">767</w:t>
            </w:r>
          </w:p>
        </w:tc>
        <w:tc>
          <w:tcPr/>
          <w:p>
            <w:pPr>
              <w:pStyle w:val="Compact"/>
            </w:pPr>
            <w:r>
              <w:t xml:space="preserve">90686</w:t>
            </w:r>
          </w:p>
        </w:tc>
        <w:tc>
          <w:tcPr/>
          <w:p>
            <w:pPr>
              <w:pStyle w:val="Compact"/>
            </w:pPr>
            <w:r>
              <w:t xml:space="preserve">64.3%</w:t>
            </w:r>
          </w:p>
        </w:tc>
      </w:tr>
      <w:tr>
        <w:tc>
          <w:tcPr/>
          <w:p>
            <w:pPr>
              <w:pStyle w:val="Compact"/>
            </w:pPr>
            <w:r>
              <w:t xml:space="preserve">Ever URPS/MIGS</w:t>
            </w:r>
          </w:p>
        </w:tc>
        <w:tc>
          <w:tcPr/>
          <w:p>
            <w:pPr>
              <w:pStyle w:val="Compact"/>
            </w:pPr>
            <w:r>
              <w:t xml:space="preserve">Urology</w:t>
            </w:r>
          </w:p>
        </w:tc>
        <w:tc>
          <w:tcPr/>
          <w:p>
            <w:pPr>
              <w:pStyle w:val="Compact"/>
            </w:pPr>
            <w:r>
              <w:t xml:space="preserve">357</w:t>
            </w:r>
          </w:p>
        </w:tc>
        <w:tc>
          <w:tcPr/>
          <w:p>
            <w:pPr>
              <w:pStyle w:val="Compact"/>
            </w:pPr>
            <w:r>
              <w:t xml:space="preserve">19591</w:t>
            </w:r>
          </w:p>
        </w:tc>
        <w:tc>
          <w:tcPr/>
          <w:p>
            <w:pPr>
              <w:pStyle w:val="Compact"/>
            </w:pPr>
            <w:r>
              <w:t xml:space="preserve">13.9%</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533</w:t>
            </w:r>
          </w:p>
        </w:tc>
        <w:tc>
          <w:tcPr/>
          <w:p>
            <w:pPr>
              <w:pStyle w:val="Compact"/>
            </w:pPr>
            <w:r>
              <w:t xml:space="preserve">27453</w:t>
            </w:r>
          </w:p>
        </w:tc>
        <w:tc>
          <w:tcPr/>
          <w:p>
            <w:pPr>
              <w:pStyle w:val="Compact"/>
            </w:pPr>
            <w:r>
              <w:t xml:space="preserve">19.5%</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0.1%</w:t>
            </w:r>
          </w:p>
        </w:tc>
      </w:tr>
      <w:tr>
        <w:tc>
          <w:tcPr/>
          <w:p>
            <w:pPr>
              <w:pStyle w:val="Compact"/>
            </w:pPr>
            <w:r>
              <w:t xml:space="preserve">Time-varying cert-gated (ABOG sub1startdate)</w:t>
            </w:r>
          </w:p>
        </w:tc>
        <w:tc>
          <w:tcPr/>
          <w:p>
            <w:pPr>
              <w:pStyle w:val="Compact"/>
            </w:pPr>
            <w:r>
              <w:t xml:space="preserve">Other/uncertain</w:t>
            </w:r>
          </w:p>
        </w:tc>
        <w:tc>
          <w:tcPr/>
          <w:p>
            <w:pPr>
              <w:pStyle w:val="Compact"/>
            </w:pPr>
            <w:r>
              <w:t xml:space="preserve">200</w:t>
            </w:r>
          </w:p>
        </w:tc>
        <w:tc>
          <w:tcPr/>
          <w:p>
            <w:pPr>
              <w:pStyle w:val="Compact"/>
            </w:pPr>
            <w:r>
              <w:t xml:space="preserve">11492</w:t>
            </w:r>
          </w:p>
        </w:tc>
        <w:tc>
          <w:tcPr/>
          <w:p>
            <w:pPr>
              <w:pStyle w:val="Compact"/>
            </w:pPr>
            <w:r>
              <w:t xml:space="preserve">8.1%</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716</w:t>
            </w:r>
          </w:p>
        </w:tc>
        <w:tc>
          <w:tcPr/>
          <w:p>
            <w:pPr>
              <w:pStyle w:val="Compact"/>
            </w:pPr>
            <w:r>
              <w:t xml:space="preserve">83348</w:t>
            </w:r>
          </w:p>
        </w:tc>
        <w:tc>
          <w:tcPr/>
          <w:p>
            <w:pPr>
              <w:pStyle w:val="Compact"/>
            </w:pPr>
            <w:r>
              <w:t xml:space="preserve">59.1%</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353</w:t>
            </w:r>
          </w:p>
        </w:tc>
        <w:tc>
          <w:tcPr/>
          <w:p>
            <w:pPr>
              <w:pStyle w:val="Compact"/>
            </w:pPr>
            <w:r>
              <w:t xml:space="preserve">18515</w:t>
            </w:r>
          </w:p>
        </w:tc>
        <w:tc>
          <w:tcPr/>
          <w:p>
            <w:pPr>
              <w:pStyle w:val="Compact"/>
            </w:pPr>
            <w:r>
              <w:t xml:space="preserve">13.1%</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07"/>
        <w:gridCol w:w="1568"/>
        <w:gridCol w:w="627"/>
        <w:gridCol w:w="1489"/>
        <w:gridCol w:w="627"/>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1.116</w:t>
            </w:r>
          </w:p>
        </w:tc>
        <w:tc>
          <w:tcPr/>
          <w:p>
            <w:pPr>
              <w:pStyle w:val="Compact"/>
            </w:pPr>
            <w:r>
              <w:t xml:space="preserve">&lt;0.001</w:t>
            </w:r>
          </w:p>
        </w:tc>
        <w:tc>
          <w:tcPr/>
          <w:p>
            <w:pPr>
              <w:pStyle w:val="Compact"/>
            </w:pPr>
            <w:r>
              <w:t xml:space="preserve">0.796</w:t>
            </w:r>
          </w:p>
        </w:tc>
        <w:tc>
          <w:tcPr/>
          <w:p>
            <w:pPr>
              <w:pStyle w:val="Compact"/>
            </w:pPr>
            <w:r>
              <w:t xml:space="preserve">&lt;0.001</w:t>
            </w:r>
          </w:p>
        </w:tc>
      </w:tr>
      <w:tr>
        <w:tc>
          <w:tcPr/>
          <w:p>
            <w:pPr>
              <w:pStyle w:val="Compact"/>
            </w:pPr>
            <w:r>
              <w:t xml:space="preserve">Modal (single most-frequent specialty)</w:t>
            </w:r>
          </w:p>
        </w:tc>
        <w:tc>
          <w:tcPr/>
          <w:p>
            <w:pPr>
              <w:pStyle w:val="Compact"/>
            </w:pPr>
            <w:r>
              <w:t xml:space="preserve">1.200</w:t>
            </w:r>
          </w:p>
        </w:tc>
        <w:tc>
          <w:tcPr/>
          <w:p>
            <w:pPr>
              <w:pStyle w:val="Compact"/>
            </w:pPr>
            <w:r>
              <w:t xml:space="preserve">&lt;0.001</w:t>
            </w:r>
          </w:p>
        </w:tc>
        <w:tc>
          <w:tcPr/>
          <w:p>
            <w:pPr>
              <w:pStyle w:val="Compact"/>
            </w:pPr>
            <w:r>
              <w:t xml:space="preserve">0.906</w:t>
            </w:r>
          </w:p>
        </w:tc>
        <w:tc>
          <w:tcPr/>
          <w:p>
            <w:pPr>
              <w:pStyle w:val="Compact"/>
            </w:pPr>
            <w:r>
              <w:t xml:space="preserve">&lt;0.001</w:t>
            </w:r>
          </w:p>
        </w:tc>
      </w:tr>
      <w:tr>
        <w:tc>
          <w:tcPr/>
          <w:p>
            <w:pPr>
              <w:pStyle w:val="Compact"/>
            </w:pPr>
            <w:r>
              <w:t xml:space="preserve">Ever URPS/MIGS</w:t>
            </w:r>
          </w:p>
        </w:tc>
        <w:tc>
          <w:tcPr/>
          <w:p>
            <w:pPr>
              <w:pStyle w:val="Compact"/>
            </w:pPr>
            <w:r>
              <w:t xml:space="preserve">1.174</w:t>
            </w:r>
          </w:p>
        </w:tc>
        <w:tc>
          <w:tcPr/>
          <w:p>
            <w:pPr>
              <w:pStyle w:val="Compact"/>
            </w:pPr>
            <w:r>
              <w:t xml:space="preserve">&lt;0.001</w:t>
            </w:r>
          </w:p>
        </w:tc>
        <w:tc>
          <w:tcPr/>
          <w:p>
            <w:pPr>
              <w:pStyle w:val="Compact"/>
            </w:pPr>
            <w:r>
              <w:t xml:space="preserve">0.881</w:t>
            </w:r>
          </w:p>
        </w:tc>
        <w:tc>
          <w:tcPr/>
          <w:p>
            <w:pPr>
              <w:pStyle w:val="Compact"/>
            </w:pPr>
            <w:r>
              <w:t xml:space="preserve">&lt;0.001</w:t>
            </w:r>
          </w:p>
        </w:tc>
      </w:tr>
      <w:tr>
        <w:tc>
          <w:tcPr/>
          <w:p>
            <w:pPr>
              <w:pStyle w:val="Compact"/>
            </w:pPr>
            <w:r>
              <w:t xml:space="preserve">Time-varying cert-gated (ABOG sub1startdate)</w:t>
            </w:r>
          </w:p>
        </w:tc>
        <w:tc>
          <w:tcPr/>
          <w:p>
            <w:pPr>
              <w:pStyle w:val="Compact"/>
            </w:pPr>
            <w:r>
              <w:t xml:space="preserve">1.762</w:t>
            </w:r>
          </w:p>
        </w:tc>
        <w:tc>
          <w:tcPr/>
          <w:p>
            <w:pPr>
              <w:pStyle w:val="Compact"/>
            </w:pPr>
            <w:r>
              <w:t xml:space="preserve">&lt;0.001</w:t>
            </w:r>
          </w:p>
        </w:tc>
        <w:tc>
          <w:tcPr/>
          <w:p>
            <w:pPr>
              <w:pStyle w:val="Compact"/>
            </w:pPr>
            <w:r>
              <w:t xml:space="preserve">0.792</w:t>
            </w:r>
          </w:p>
        </w:tc>
        <w:tc>
          <w:tcPr/>
          <w:p>
            <w:pPr>
              <w:pStyle w:val="Compact"/>
            </w:pPr>
            <w:r>
              <w:t xml:space="preserve">&lt;0.001</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138</w:t>
            </w:r>
          </w:p>
        </w:tc>
        <w:tc>
          <w:tcPr/>
          <w:p>
            <w:pPr>
              <w:pStyle w:val="Compact"/>
            </w:pPr>
            <w:r>
              <w:t xml:space="preserve">50</w:t>
            </w:r>
          </w:p>
        </w:tc>
        <w:tc>
          <w:tcPr/>
          <w:p>
            <w:pPr>
              <w:pStyle w:val="Compact"/>
            </w:pPr>
            <w:r>
              <w:t xml:space="preserve">36.2%</w:t>
            </w:r>
          </w:p>
        </w:tc>
        <w:tc>
          <w:tcPr/>
          <w:p>
            <w:pPr>
              <w:pStyle w:val="Compact"/>
            </w:pPr>
            <w:r>
              <w:t xml:space="preserve">Yes</w:t>
            </w:r>
          </w:p>
        </w:tc>
      </w:tr>
      <w:tr>
        <w:tc>
          <w:tcPr/>
          <w:p>
            <w:pPr>
              <w:pStyle w:val="Compact"/>
            </w:pPr>
            <w:r>
              <w:t xml:space="preserve">TX</w:t>
            </w:r>
          </w:p>
        </w:tc>
        <w:tc>
          <w:tcPr/>
          <w:p>
            <w:pPr>
              <w:pStyle w:val="Compact"/>
            </w:pPr>
            <w:r>
              <w:t xml:space="preserve">133</w:t>
            </w:r>
          </w:p>
        </w:tc>
        <w:tc>
          <w:tcPr/>
          <w:p>
            <w:pPr>
              <w:pStyle w:val="Compact"/>
            </w:pPr>
            <w:r>
              <w:t xml:space="preserve">47</w:t>
            </w:r>
          </w:p>
        </w:tc>
        <w:tc>
          <w:tcPr/>
          <w:p>
            <w:pPr>
              <w:pStyle w:val="Compact"/>
            </w:pPr>
            <w:r>
              <w:t xml:space="preserve">35.3%</w:t>
            </w:r>
          </w:p>
        </w:tc>
        <w:tc>
          <w:tcPr/>
          <w:p>
            <w:pPr>
              <w:pStyle w:val="Compact"/>
            </w:pPr>
            <w:r>
              <w:t xml:space="preserve">Yes</w:t>
            </w:r>
          </w:p>
        </w:tc>
      </w:tr>
      <w:tr>
        <w:tc>
          <w:tcPr/>
          <w:p>
            <w:pPr>
              <w:pStyle w:val="Compact"/>
            </w:pPr>
            <w:r>
              <w:t xml:space="preserve">FL</w:t>
            </w:r>
          </w:p>
        </w:tc>
        <w:tc>
          <w:tcPr/>
          <w:p>
            <w:pPr>
              <w:pStyle w:val="Compact"/>
            </w:pPr>
            <w:r>
              <w:t xml:space="preserve">127</w:t>
            </w:r>
          </w:p>
        </w:tc>
        <w:tc>
          <w:tcPr/>
          <w:p>
            <w:pPr>
              <w:pStyle w:val="Compact"/>
            </w:pPr>
            <w:r>
              <w:t xml:space="preserve">49</w:t>
            </w:r>
          </w:p>
        </w:tc>
        <w:tc>
          <w:tcPr/>
          <w:p>
            <w:pPr>
              <w:pStyle w:val="Compact"/>
            </w:pPr>
            <w:r>
              <w:t xml:space="preserve">38.6%</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62</w:t>
            </w:r>
          </w:p>
        </w:tc>
        <w:tc>
          <w:tcPr/>
          <w:p>
            <w:pPr>
              <w:pStyle w:val="Compact"/>
            </w:pPr>
            <w:r>
              <w:t xml:space="preserve">39</w:t>
            </w:r>
          </w:p>
        </w:tc>
        <w:tc>
          <w:tcPr/>
          <w:p>
            <w:pPr>
              <w:pStyle w:val="Compact"/>
            </w:pPr>
            <w:r>
              <w:t xml:space="preserve">62.9%</w:t>
            </w:r>
          </w:p>
        </w:tc>
        <w:tc>
          <w:tcPr/>
          <w:p>
            <w:pPr>
              <w:pStyle w:val="Compact"/>
            </w:pPr>
            <w:r>
              <w:t xml:space="preserve">Yes</w:t>
            </w:r>
          </w:p>
        </w:tc>
      </w:tr>
      <w:tr>
        <w:tc>
          <w:tcPr/>
          <w:p>
            <w:pPr>
              <w:pStyle w:val="Compact"/>
            </w:pPr>
            <w:r>
              <w:t xml:space="preserve">OH</w:t>
            </w:r>
          </w:p>
        </w:tc>
        <w:tc>
          <w:tcPr/>
          <w:p>
            <w:pPr>
              <w:pStyle w:val="Compact"/>
            </w:pPr>
            <w:r>
              <w:t xml:space="preserve">59</w:t>
            </w:r>
          </w:p>
        </w:tc>
        <w:tc>
          <w:tcPr/>
          <w:p>
            <w:pPr>
              <w:pStyle w:val="Compact"/>
            </w:pPr>
            <w:r>
              <w:t xml:space="preserve">44</w:t>
            </w:r>
          </w:p>
        </w:tc>
        <w:tc>
          <w:tcPr/>
          <w:p>
            <w:pPr>
              <w:pStyle w:val="Compact"/>
            </w:pPr>
            <w:r>
              <w:t xml:space="preserve">74.6%</w:t>
            </w:r>
          </w:p>
        </w:tc>
        <w:tc>
          <w:tcPr/>
          <w:p>
            <w:pPr>
              <w:pStyle w:val="Compact"/>
            </w:pPr>
            <w:r>
              <w:t xml:space="preserve">Yes</w:t>
            </w:r>
          </w:p>
        </w:tc>
      </w:tr>
      <w:tr>
        <w:tc>
          <w:tcPr/>
          <w:p>
            <w:pPr>
              <w:pStyle w:val="Compact"/>
            </w:pPr>
            <w:r>
              <w:t xml:space="preserve">PA</w:t>
            </w:r>
          </w:p>
        </w:tc>
        <w:tc>
          <w:tcPr/>
          <w:p>
            <w:pPr>
              <w:pStyle w:val="Compact"/>
            </w:pPr>
            <w:r>
              <w:t xml:space="preserve">57</w:t>
            </w:r>
          </w:p>
        </w:tc>
        <w:tc>
          <w:tcPr/>
          <w:p>
            <w:pPr>
              <w:pStyle w:val="Compact"/>
            </w:pPr>
            <w:r>
              <w:t xml:space="preserve">33</w:t>
            </w:r>
          </w:p>
        </w:tc>
        <w:tc>
          <w:tcPr/>
          <w:p>
            <w:pPr>
              <w:pStyle w:val="Compact"/>
            </w:pPr>
            <w:r>
              <w:t xml:space="preserve">57.9%</w:t>
            </w:r>
          </w:p>
        </w:tc>
        <w:tc>
          <w:tcPr/>
          <w:p>
            <w:pPr>
              <w:pStyle w:val="Compact"/>
            </w:pPr>
            <w:r>
              <w:t xml:space="preserve">Yes</w:t>
            </w:r>
          </w:p>
        </w:tc>
      </w:tr>
      <w:tr>
        <w:tc>
          <w:tcPr/>
          <w:p>
            <w:pPr>
              <w:pStyle w:val="Compact"/>
            </w:pPr>
            <w:r>
              <w:t xml:space="preserve">AZ</w:t>
            </w:r>
          </w:p>
        </w:tc>
        <w:tc>
          <w:tcPr/>
          <w:p>
            <w:pPr>
              <w:pStyle w:val="Compact"/>
            </w:pPr>
            <w:r>
              <w:t xml:space="preserve">55</w:t>
            </w:r>
          </w:p>
        </w:tc>
        <w:tc>
          <w:tcPr/>
          <w:p>
            <w:pPr>
              <w:pStyle w:val="Compact"/>
            </w:pPr>
            <w:r>
              <w:t xml:space="preserve">19</w:t>
            </w:r>
          </w:p>
        </w:tc>
        <w:tc>
          <w:tcPr/>
          <w:p>
            <w:pPr>
              <w:pStyle w:val="Compact"/>
            </w:pPr>
            <w:r>
              <w:t xml:space="preserve">34.5%</w:t>
            </w:r>
          </w:p>
        </w:tc>
        <w:tc>
          <w:tcPr/>
          <w:p>
            <w:pPr>
              <w:pStyle w:val="Compact"/>
            </w:pPr>
            <w:r>
              <w:t xml:space="preserve">Yes</w:t>
            </w:r>
          </w:p>
        </w:tc>
      </w:tr>
      <w:tr>
        <w:tc>
          <w:tcPr/>
          <w:p>
            <w:pPr>
              <w:pStyle w:val="Compact"/>
            </w:pPr>
            <w:r>
              <w:t xml:space="preserve">MI</w:t>
            </w:r>
          </w:p>
        </w:tc>
        <w:tc>
          <w:tcPr/>
          <w:p>
            <w:pPr>
              <w:pStyle w:val="Compact"/>
            </w:pPr>
            <w:r>
              <w:t xml:space="preserve">52</w:t>
            </w:r>
          </w:p>
        </w:tc>
        <w:tc>
          <w:tcPr/>
          <w:p>
            <w:pPr>
              <w:pStyle w:val="Compact"/>
            </w:pPr>
            <w:r>
              <w:t xml:space="preserve">22</w:t>
            </w:r>
          </w:p>
        </w:tc>
        <w:tc>
          <w:tcPr/>
          <w:p>
            <w:pPr>
              <w:pStyle w:val="Compact"/>
            </w:pPr>
            <w:r>
              <w:t xml:space="preserve">42.3%</w:t>
            </w:r>
          </w:p>
        </w:tc>
        <w:tc>
          <w:tcPr/>
          <w:p>
            <w:pPr>
              <w:pStyle w:val="Compact"/>
            </w:pPr>
            <w:r>
              <w:t xml:space="preserve">Yes</w:t>
            </w:r>
          </w:p>
        </w:tc>
      </w:tr>
      <w:tr>
        <w:tc>
          <w:tcPr/>
          <w:p>
            <w:pPr>
              <w:pStyle w:val="Compact"/>
            </w:pPr>
            <w:r>
              <w:t xml:space="preserve">NC</w:t>
            </w:r>
          </w:p>
        </w:tc>
        <w:tc>
          <w:tcPr/>
          <w:p>
            <w:pPr>
              <w:pStyle w:val="Compact"/>
            </w:pPr>
            <w:r>
              <w:t xml:space="preserve">52</w:t>
            </w:r>
          </w:p>
        </w:tc>
        <w:tc>
          <w:tcPr/>
          <w:p>
            <w:pPr>
              <w:pStyle w:val="Compact"/>
            </w:pPr>
            <w:r>
              <w:t xml:space="preserve">35</w:t>
            </w:r>
          </w:p>
        </w:tc>
        <w:tc>
          <w:tcPr/>
          <w:p>
            <w:pPr>
              <w:pStyle w:val="Compact"/>
            </w:pPr>
            <w:r>
              <w:t xml:space="preserve">67.3%</w:t>
            </w:r>
          </w:p>
        </w:tc>
        <w:tc>
          <w:tcPr/>
          <w:p>
            <w:pPr>
              <w:pStyle w:val="Compact"/>
            </w:pPr>
            <w:r>
              <w:t xml:space="preserve">Yes</w:t>
            </w:r>
          </w:p>
        </w:tc>
      </w:tr>
      <w:tr>
        <w:tc>
          <w:tcPr/>
          <w:p>
            <w:pPr>
              <w:pStyle w:val="Compact"/>
            </w:pPr>
            <w:r>
              <w:t xml:space="preserve">NJ</w:t>
            </w:r>
          </w:p>
        </w:tc>
        <w:tc>
          <w:tcPr/>
          <w:p>
            <w:pPr>
              <w:pStyle w:val="Compact"/>
            </w:pPr>
            <w:r>
              <w:t xml:space="preserve">52</w:t>
            </w:r>
          </w:p>
        </w:tc>
        <w:tc>
          <w:tcPr/>
          <w:p>
            <w:pPr>
              <w:pStyle w:val="Compact"/>
            </w:pPr>
            <w:r>
              <w:t xml:space="preserve">28</w:t>
            </w:r>
          </w:p>
        </w:tc>
        <w:tc>
          <w:tcPr/>
          <w:p>
            <w:pPr>
              <w:pStyle w:val="Compact"/>
            </w:pPr>
            <w:r>
              <w:t xml:space="preserve">53.8%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TN</w:t>
            </w:r>
          </w:p>
        </w:tc>
        <w:tc>
          <w:tcPr/>
          <w:p>
            <w:pPr>
              <w:pStyle w:val="Compact"/>
            </w:pPr>
            <w:r>
              <w:t xml:space="preserve">48</w:t>
            </w:r>
          </w:p>
        </w:tc>
        <w:tc>
          <w:tcPr/>
          <w:p>
            <w:pPr>
              <w:pStyle w:val="Compact"/>
            </w:pPr>
            <w:r>
              <w:t xml:space="preserve">20</w:t>
            </w:r>
          </w:p>
        </w:tc>
        <w:tc>
          <w:tcPr/>
          <w:p>
            <w:pPr>
              <w:pStyle w:val="Compact"/>
            </w:pPr>
            <w:r>
              <w:t xml:space="preserve">41.7%</w:t>
            </w:r>
          </w:p>
        </w:tc>
        <w:tc>
          <w:tcPr/>
          <w:p>
            <w:pPr>
              <w:pStyle w:val="Compact"/>
            </w:pPr>
            <w:r>
              <w:t xml:space="preserve">Yes</w:t>
            </w:r>
          </w:p>
        </w:tc>
      </w:tr>
      <w:tr>
        <w:tc>
          <w:tcPr/>
          <w:p>
            <w:pPr>
              <w:pStyle w:val="Compact"/>
            </w:pPr>
            <w:r>
              <w:t xml:space="preserve">WA</w:t>
            </w:r>
          </w:p>
        </w:tc>
        <w:tc>
          <w:tcPr/>
          <w:p>
            <w:pPr>
              <w:pStyle w:val="Compact"/>
            </w:pPr>
            <w:r>
              <w:t xml:space="preserve">44</w:t>
            </w:r>
          </w:p>
        </w:tc>
        <w:tc>
          <w:tcPr/>
          <w:p>
            <w:pPr>
              <w:pStyle w:val="Compact"/>
            </w:pPr>
            <w:r>
              <w:t xml:space="preserve">19</w:t>
            </w:r>
          </w:p>
        </w:tc>
        <w:tc>
          <w:tcPr/>
          <w:p>
            <w:pPr>
              <w:pStyle w:val="Compact"/>
            </w:pPr>
            <w:r>
              <w:t xml:space="preserve">43.2%</w:t>
            </w:r>
          </w:p>
        </w:tc>
        <w:tc>
          <w:tcPr/>
          <w:p>
            <w:pPr>
              <w:pStyle w:val="Compact"/>
            </w:pPr>
            <w:r>
              <w:t xml:space="preserve">Yes</w:t>
            </w:r>
          </w:p>
        </w:tc>
      </w:tr>
      <w:tr>
        <w:tc>
          <w:tcPr/>
          <w:p>
            <w:pPr>
              <w:pStyle w:val="Compact"/>
            </w:pPr>
            <w:r>
              <w:t xml:space="preserve">GA</w:t>
            </w:r>
          </w:p>
        </w:tc>
        <w:tc>
          <w:tcPr/>
          <w:p>
            <w:pPr>
              <w:pStyle w:val="Compact"/>
            </w:pPr>
            <w:r>
              <w:t xml:space="preserve">39</w:t>
            </w:r>
          </w:p>
        </w:tc>
        <w:tc>
          <w:tcPr/>
          <w:p>
            <w:pPr>
              <w:pStyle w:val="Compact"/>
            </w:pPr>
            <w:r>
              <w:t xml:space="preserve">17</w:t>
            </w:r>
          </w:p>
        </w:tc>
        <w:tc>
          <w:tcPr/>
          <w:p>
            <w:pPr>
              <w:pStyle w:val="Compact"/>
            </w:pPr>
            <w:r>
              <w:t xml:space="preserve">43.6%</w:t>
            </w:r>
          </w:p>
        </w:tc>
        <w:tc>
          <w:tcPr/>
          <w:p>
            <w:pPr>
              <w:pStyle w:val="Compact"/>
            </w:pPr>
            <w:r>
              <w:t xml:space="preserve">Yes</w:t>
            </w:r>
          </w:p>
        </w:tc>
      </w:tr>
      <w:tr>
        <w:tc>
          <w:tcPr/>
          <w:p>
            <w:pPr>
              <w:pStyle w:val="Compact"/>
            </w:pPr>
            <w:r>
              <w:t xml:space="preserve">MO</w:t>
            </w:r>
          </w:p>
        </w:tc>
        <w:tc>
          <w:tcPr/>
          <w:p>
            <w:pPr>
              <w:pStyle w:val="Compact"/>
            </w:pPr>
            <w:r>
              <w:t xml:space="preserve">39</w:t>
            </w:r>
          </w:p>
        </w:tc>
        <w:tc>
          <w:tcPr/>
          <w:p>
            <w:pPr>
              <w:pStyle w:val="Compact"/>
            </w:pPr>
            <w:r>
              <w:t xml:space="preserve">16</w:t>
            </w:r>
          </w:p>
        </w:tc>
        <w:tc>
          <w:tcPr/>
          <w:p>
            <w:pPr>
              <w:pStyle w:val="Compact"/>
            </w:pPr>
            <w:r>
              <w:t xml:space="preserve">41.0%</w:t>
            </w:r>
          </w:p>
        </w:tc>
        <w:tc>
          <w:tcPr/>
          <w:p>
            <w:pPr>
              <w:pStyle w:val="Compact"/>
            </w:pPr>
            <w:r>
              <w:t xml:space="preserve">Yes</w:t>
            </w:r>
          </w:p>
        </w:tc>
      </w:tr>
      <w:tr>
        <w:tc>
          <w:tcPr/>
          <w:p>
            <w:pPr>
              <w:pStyle w:val="Compact"/>
            </w:pPr>
            <w:r>
              <w:t xml:space="preserve">VA</w:t>
            </w:r>
          </w:p>
        </w:tc>
        <w:tc>
          <w:tcPr/>
          <w:p>
            <w:pPr>
              <w:pStyle w:val="Compact"/>
            </w:pPr>
            <w:r>
              <w:t xml:space="preserve">39</w:t>
            </w:r>
          </w:p>
        </w:tc>
        <w:tc>
          <w:tcPr/>
          <w:p>
            <w:pPr>
              <w:pStyle w:val="Compact"/>
            </w:pPr>
            <w:r>
              <w:t xml:space="preserve">27</w:t>
            </w:r>
          </w:p>
        </w:tc>
        <w:tc>
          <w:tcPr/>
          <w:p>
            <w:pPr>
              <w:pStyle w:val="Compact"/>
            </w:pPr>
            <w:r>
              <w:t xml:space="preserve">69.2%</w:t>
            </w:r>
          </w:p>
        </w:tc>
        <w:tc>
          <w:tcPr/>
          <w:p>
            <w:pPr>
              <w:pStyle w:val="Compact"/>
            </w:pPr>
            <w:r>
              <w:t xml:space="preserve">Yes</w:t>
            </w:r>
          </w:p>
        </w:tc>
      </w:tr>
      <w:tr>
        <w:tc>
          <w:tcPr/>
          <w:p>
            <w:pPr>
              <w:pStyle w:val="Compact"/>
            </w:pPr>
            <w:r>
              <w:t xml:space="preserve">IN</w:t>
            </w:r>
          </w:p>
        </w:tc>
        <w:tc>
          <w:tcPr/>
          <w:p>
            <w:pPr>
              <w:pStyle w:val="Compact"/>
            </w:pPr>
            <w:r>
              <w:t xml:space="preserve">37</w:t>
            </w:r>
          </w:p>
        </w:tc>
        <w:tc>
          <w:tcPr/>
          <w:p>
            <w:pPr>
              <w:pStyle w:val="Compact"/>
            </w:pPr>
            <w:r>
              <w:t xml:space="preserve">13</w:t>
            </w:r>
          </w:p>
        </w:tc>
        <w:tc>
          <w:tcPr/>
          <w:p>
            <w:pPr>
              <w:pStyle w:val="Compact"/>
            </w:pPr>
            <w:r>
              <w:t xml:space="preserve">35.1%</w:t>
            </w:r>
          </w:p>
        </w:tc>
        <w:tc>
          <w:tcPr/>
          <w:p>
            <w:pPr>
              <w:pStyle w:val="Compact"/>
            </w:pPr>
            <w:r>
              <w:t xml:space="preserve">Yes</w:t>
            </w:r>
          </w:p>
        </w:tc>
      </w:tr>
      <w:tr>
        <w:tc>
          <w:tcPr/>
          <w:p>
            <w:pPr>
              <w:pStyle w:val="Compact"/>
            </w:pPr>
            <w:r>
              <w:t xml:space="preserve">AL</w:t>
            </w:r>
          </w:p>
        </w:tc>
        <w:tc>
          <w:tcPr/>
          <w:p>
            <w:pPr>
              <w:pStyle w:val="Compact"/>
            </w:pPr>
            <w:r>
              <w:t xml:space="preserve">35</w:t>
            </w:r>
          </w:p>
        </w:tc>
        <w:tc>
          <w:tcPr/>
          <w:p>
            <w:pPr>
              <w:pStyle w:val="Compact"/>
            </w:pPr>
            <w:r>
              <w:t xml:space="preserve">12</w:t>
            </w:r>
          </w:p>
        </w:tc>
        <w:tc>
          <w:tcPr/>
          <w:p>
            <w:pPr>
              <w:pStyle w:val="Compact"/>
            </w:pPr>
            <w:r>
              <w:t xml:space="preserve">34.3%</w:t>
            </w:r>
          </w:p>
        </w:tc>
        <w:tc>
          <w:tcPr/>
          <w:p>
            <w:pPr>
              <w:pStyle w:val="Compact"/>
            </w:pPr>
            <w:r>
              <w:t xml:space="preserve">Yes</w:t>
            </w:r>
          </w:p>
        </w:tc>
      </w:tr>
      <w:tr>
        <w:tc>
          <w:tcPr/>
          <w:p>
            <w:pPr>
              <w:pStyle w:val="Compact"/>
            </w:pPr>
            <w:r>
              <w:t xml:space="preserve">SC</w:t>
            </w:r>
          </w:p>
        </w:tc>
        <w:tc>
          <w:tcPr/>
          <w:p>
            <w:pPr>
              <w:pStyle w:val="Compact"/>
            </w:pPr>
            <w:r>
              <w:t xml:space="preserve">31</w:t>
            </w:r>
          </w:p>
        </w:tc>
        <w:tc>
          <w:tcPr/>
          <w:p>
            <w:pPr>
              <w:pStyle w:val="Compact"/>
            </w:pPr>
            <w:r>
              <w:t xml:space="preserve">11</w:t>
            </w:r>
          </w:p>
        </w:tc>
        <w:tc>
          <w:tcPr/>
          <w:p>
            <w:pPr>
              <w:pStyle w:val="Compact"/>
            </w:pPr>
            <w:r>
              <w:t xml:space="preserve">35.5%</w:t>
            </w:r>
          </w:p>
        </w:tc>
        <w:tc>
          <w:tcPr/>
          <w:p>
            <w:pPr>
              <w:pStyle w:val="Compact"/>
            </w:pPr>
            <w:r>
              <w:t xml:space="preserve">Yes</w:t>
            </w:r>
          </w:p>
        </w:tc>
      </w:tr>
      <w:tr>
        <w:tc>
          <w:tcPr/>
          <w:p>
            <w:pPr>
              <w:pStyle w:val="Compact"/>
            </w:pPr>
            <w:r>
              <w:t xml:space="preserve">MD</w:t>
            </w:r>
          </w:p>
        </w:tc>
        <w:tc>
          <w:tcPr/>
          <w:p>
            <w:pPr>
              <w:pStyle w:val="Compact"/>
            </w:pPr>
            <w:r>
              <w:t xml:space="preserve">29</w:t>
            </w:r>
          </w:p>
        </w:tc>
        <w:tc>
          <w:tcPr/>
          <w:p>
            <w:pPr>
              <w:pStyle w:val="Compact"/>
            </w:pPr>
            <w:r>
              <w:t xml:space="preserve">14</w:t>
            </w:r>
          </w:p>
        </w:tc>
        <w:tc>
          <w:tcPr/>
          <w:p>
            <w:pPr>
              <w:pStyle w:val="Compact"/>
            </w:pPr>
            <w:r>
              <w:t xml:space="preserve">48.3%</w:t>
            </w:r>
          </w:p>
        </w:tc>
        <w:tc>
          <w:tcPr/>
          <w:p>
            <w:pPr>
              <w:pStyle w:val="Compact"/>
            </w:pPr>
            <w:r>
              <w:t xml:space="preserve">Yes</w:t>
            </w:r>
          </w:p>
        </w:tc>
      </w:tr>
      <w:tr>
        <w:tc>
          <w:tcPr/>
          <w:p>
            <w:pPr>
              <w:pStyle w:val="Compact"/>
            </w:pPr>
            <w:r>
              <w:t xml:space="preserve">KY</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OK</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LA</w:t>
            </w:r>
          </w:p>
        </w:tc>
        <w:tc>
          <w:tcPr/>
          <w:p>
            <w:pPr>
              <w:pStyle w:val="Compact"/>
            </w:pPr>
            <w:r>
              <w:t xml:space="preserve">26</w:t>
            </w:r>
          </w:p>
        </w:tc>
        <w:tc>
          <w:tcPr/>
          <w:p>
            <w:pPr>
              <w:pStyle w:val="Compact"/>
            </w:pPr>
            <w:r>
              <w:t xml:space="preserve">6</w:t>
            </w:r>
          </w:p>
        </w:tc>
        <w:tc>
          <w:tcPr/>
          <w:p>
            <w:pPr>
              <w:pStyle w:val="Compact"/>
            </w:pPr>
            <w:r>
              <w:t xml:space="preserve">23.1%</w:t>
            </w:r>
          </w:p>
        </w:tc>
        <w:tc>
          <w:tcPr/>
          <w:p>
            <w:pPr>
              <w:pStyle w:val="Compact"/>
            </w:pPr>
            <w:r>
              <w:t xml:space="preserve">Yes</w:t>
            </w:r>
          </w:p>
        </w:tc>
      </w:tr>
      <w:tr>
        <w:tc>
          <w:tcPr/>
          <w:p>
            <w:pPr>
              <w:pStyle w:val="Compact"/>
            </w:pPr>
            <w:r>
              <w:t xml:space="preserve">NE</w:t>
            </w:r>
          </w:p>
        </w:tc>
        <w:tc>
          <w:tcPr/>
          <w:p>
            <w:pPr>
              <w:pStyle w:val="Compact"/>
            </w:pPr>
            <w:r>
              <w:t xml:space="preserve">25</w:t>
            </w:r>
          </w:p>
        </w:tc>
        <w:tc>
          <w:tcPr/>
          <w:p>
            <w:pPr>
              <w:pStyle w:val="Compact"/>
            </w:pPr>
            <w:r>
              <w:t xml:space="preserve">4</w:t>
            </w:r>
          </w:p>
        </w:tc>
        <w:tc>
          <w:tcPr/>
          <w:p>
            <w:pPr>
              <w:pStyle w:val="Compact"/>
            </w:pPr>
            <w:r>
              <w:t xml:space="preserve">16.0%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CO</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AR</w:t>
            </w:r>
          </w:p>
        </w:tc>
        <w:tc>
          <w:tcPr/>
          <w:p>
            <w:pPr>
              <w:pStyle w:val="Compact"/>
            </w:pPr>
            <w:r>
              <w:t xml:space="preserve">19</w:t>
            </w:r>
          </w:p>
        </w:tc>
        <w:tc>
          <w:tcPr/>
          <w:p>
            <w:pPr>
              <w:pStyle w:val="Compact"/>
            </w:pPr>
            <w:r>
              <w:t xml:space="preserve">3</w:t>
            </w:r>
          </w:p>
        </w:tc>
        <w:tc>
          <w:tcPr/>
          <w:p>
            <w:pPr>
              <w:pStyle w:val="Compact"/>
            </w:pPr>
            <w:r>
              <w:t xml:space="preserve">15.8%</w:t>
            </w:r>
          </w:p>
        </w:tc>
        <w:tc>
          <w:tcPr/>
          <w:p>
            <w:pPr>
              <w:pStyle w:val="Compact"/>
            </w:pPr>
            <w:r>
              <w:t xml:space="preserve">Yes</w:t>
            </w:r>
          </w:p>
        </w:tc>
      </w:tr>
      <w:tr>
        <w:tc>
          <w:tcPr/>
          <w:p>
            <w:pPr>
              <w:pStyle w:val="Compact"/>
            </w:pPr>
            <w:r>
              <w:t xml:space="preserve">KS</w:t>
            </w:r>
          </w:p>
        </w:tc>
        <w:tc>
          <w:tcPr/>
          <w:p>
            <w:pPr>
              <w:pStyle w:val="Compact"/>
            </w:pPr>
            <w:r>
              <w:t xml:space="preserve">18</w:t>
            </w:r>
          </w:p>
        </w:tc>
        <w:tc>
          <w:tcPr/>
          <w:p>
            <w:pPr>
              <w:pStyle w:val="Compact"/>
            </w:pPr>
            <w:r>
              <w:t xml:space="preserve">4</w:t>
            </w:r>
          </w:p>
        </w:tc>
        <w:tc>
          <w:tcPr/>
          <w:p>
            <w:pPr>
              <w:pStyle w:val="Compact"/>
            </w:pPr>
            <w:r>
              <w:t xml:space="preserve">22.2%</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IA</w:t>
            </w:r>
          </w:p>
        </w:tc>
        <w:tc>
          <w:tcPr/>
          <w:p>
            <w:pPr>
              <w:pStyle w:val="Compact"/>
            </w:pPr>
            <w:r>
              <w:t xml:space="preserve">15</w:t>
            </w:r>
          </w:p>
        </w:tc>
        <w:tc>
          <w:tcPr/>
          <w:p>
            <w:pPr>
              <w:pStyle w:val="Compact"/>
            </w:pPr>
            <w:r>
              <w:t xml:space="preserve">7</w:t>
            </w:r>
          </w:p>
        </w:tc>
        <w:tc>
          <w:tcPr/>
          <w:p>
            <w:pPr>
              <w:pStyle w:val="Compact"/>
            </w:pPr>
            <w:r>
              <w:t xml:space="preserve">46.7%</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11</w:t>
            </w:r>
          </w:p>
        </w:tc>
        <w:tc>
          <w:tcPr/>
          <w:p>
            <w:pPr>
              <w:pStyle w:val="Compact"/>
            </w:pPr>
            <w:r>
              <w:t xml:space="preserve">3</w:t>
            </w:r>
          </w:p>
        </w:tc>
        <w:tc>
          <w:tcPr/>
          <w:p>
            <w:pPr>
              <w:pStyle w:val="Compact"/>
            </w:pPr>
            <w:r>
              <w:t xml:space="preserve">27.3%</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DE</w:t>
            </w:r>
          </w:p>
        </w:tc>
        <w:tc>
          <w:tcPr/>
          <w:p>
            <w:pPr>
              <w:pStyle w:val="Compact"/>
            </w:pPr>
            <w:r>
              <w:t xml:space="preserve">6</w:t>
            </w:r>
          </w:p>
        </w:tc>
        <w:tc>
          <w:tcPr/>
          <w:p>
            <w:pPr>
              <w:pStyle w:val="Compact"/>
            </w:pPr>
            <w:r>
              <w:t xml:space="preserve">4</w:t>
            </w:r>
          </w:p>
        </w:tc>
        <w:tc>
          <w:tcPr/>
          <w:p>
            <w:pPr>
              <w:pStyle w:val="Compact"/>
            </w:pPr>
            <w:r>
              <w:t xml:space="preserve">66.7%</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ID</w:t>
            </w:r>
          </w:p>
        </w:tc>
        <w:tc>
          <w:tcPr/>
          <w:p>
            <w:pPr>
              <w:pStyle w:val="Compact"/>
            </w:pPr>
            <w:r>
              <w:t xml:space="preserve">5</w:t>
            </w:r>
          </w:p>
        </w:tc>
        <w:tc>
          <w:tcPr/>
          <w:p>
            <w:pPr>
              <w:pStyle w:val="Compact"/>
            </w:pPr>
            <w:r>
              <w:t xml:space="preserve">3</w:t>
            </w:r>
          </w:p>
        </w:tc>
        <w:tc>
          <w:tcPr/>
          <w:p>
            <w:pPr>
              <w:pStyle w:val="Compact"/>
            </w:pPr>
            <w:r>
              <w:t xml:space="preserve">60.0%</w:t>
            </w:r>
          </w:p>
        </w:tc>
        <w:tc>
          <w:tcPr/>
          <w:p>
            <w:pPr>
              <w:pStyle w:val="Compact"/>
            </w:pPr>
            <w:r>
              <w:t xml:space="preserve">Yes</w:t>
            </w:r>
          </w:p>
        </w:tc>
      </w:tr>
      <w:tr>
        <w:tc>
          <w:tcPr/>
          <w:p>
            <w:pPr>
              <w:pStyle w:val="Compact"/>
            </w:pPr>
            <w:r>
              <w:t xml:space="preserve">ND</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AK</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2026-07-23T03:53:08Z</dcterms:created>
  <dcterms:modified xsi:type="dcterms:W3CDTF">2026-07-23T03:53:08Z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