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The market-share trend was reported under multiple classification schemes that bracket the truth: fixed-membership (each physician’s eventual subspecialty applied to all years; a lower bound) and time-varying certification-gated (URPS/MIGS only from the ABOG subspecialty certification year; an upper bound, since certification lags practice onset), with modal and ever-URPS/MIGS as additional sensitivity analyses.</w:t>
      </w:r>
    </w:p>
    <w:p>
      <w:pPr>
        <w:pStyle w:val="BodyText"/>
      </w:pPr>
      <w:r>
        <w:rPr>
          <w:b/>
          <w:bCs/>
        </w:rPr>
        <w:t xml:space="preserve">Results:</w:t>
      </w:r>
      <w:r>
        <w:t xml:space="preserve"> </w:t>
      </w:r>
      <w:r>
        <w:t xml:space="preserve">A total of 1,745 unique physicians billed CPT 57288 (131,637 procedures; 6,202 physician-years) after excluding the truncated 2017 file. URPS physicians represented the largest group — 753 physicians, 80,033 procedures (60.8%), median 19 procedures/year (p25–p75, 14–27) — followed by non-URPS urology (665 physicians; 26.1%; median 16), General OB/GYN (330; 12.5%; median 15), and MIGS (10; 0.7%; median 16). Observed annual procedures declined (16,399 in 2013 to 12,223 in 2023; −469/year, p = 0.03), reaching a low in 2020 (9,228) with partial recovery. In a Poisson GEE clustered by NPI, adjusted annual volume was significantly lower than URPS for every group — urology (rate ratio 0.82, 95% CI 0.70–0.95), General OB/GYN (0.67, 0.50–0.90), and MIGS (0.56, 0.40–0.76) — with a ~11% decline in 2020 (RR 0.89, 0.85–0.92, p &lt; 0.001) and no overall per-physician time trend (RR 1.00, p = 0.52). Among the three well-populated groups, pooled multi-year concentration was modest and lowest for URPS (Gini 0.51, HHI 27; top 20% performed 53.4%); within-year concentration was low and stable (annual Gini ≈ 0.27; no trend, p = 0.82). MIGS (n = 10) is reported descriptively. Modeled by specialty, URPS share rose (+0.90 pp/year, p &lt; 0.001) while urology (−0.55, p = 0.004) and General OB/GYN (−0.42, p = 0.006) declined; the combined URPS increase was significant under every classification scheme, bracketed by fixed-membership classification (lower bound: gynecologic share 60.8% → 70.1%, +0.84 pp/year) and time-varying certification-gated classification (upper bound, as certification lags practice onset: URPS share 46.3% → 74.2%, +2.28 pp/year). Newly observable entrant surgeons (absent the prior two observable years) performed 7–23% of annual volume at low median volume (~13); URPS contributed the most entrants (440 over the period) while urology showed substantial churn (373 entrants despite a declining share).</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3,4</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5</w:t>
      </w:r>
      <w:r>
        <w:t xml:space="preserve"> </w:t>
      </w:r>
      <w:r>
        <w:t xml:space="preserve">and is certifiable through both obstetrics-gynecology (ABOG) and urology (ABU) training pathways. Second, the US Food and Drug Administration’s reclassification of urogynecologic surgical mesh as a Class III device in 2016 and subsequent market withdrawal orders may have shifted the procedural landscape.</w:t>
      </w:r>
      <w:r>
        <w:rPr>
          <w:vertAlign w:val="superscript"/>
        </w:rPr>
        <w:t xml:space="preserve">6</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7</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and because 45% of URPS physicians in this cohort were certified after 2013, we bounded the market-share trend with two classification schemes.</w:t>
      </w:r>
      <w:r>
        <w:t xml:space="preserve"> </w:t>
      </w:r>
      <w:r>
        <w:rPr>
          <w:b/>
          <w:bCs/>
        </w:rPr>
        <w:t xml:space="preserve">Fixed-membership</w:t>
      </w:r>
      <w:r>
        <w:t xml:space="preserve"> </w:t>
      </w:r>
      <w:r>
        <w:t xml:space="preserve">classification assigns each physician’s eventual subspecialty to all study years; because it treats not-yet-certified physicians as already URPS, it is a lower bound on the rate of increase.</w:t>
      </w:r>
      <w:r>
        <w:t xml:space="preserve"> </w:t>
      </w:r>
      <w:r>
        <w:rPr>
          <w:b/>
          <w:bCs/>
        </w:rPr>
        <w:t xml:space="preserve">Time-varying, certification-gated</w:t>
      </w:r>
      <w:r>
        <w:t xml:space="preserve"> </w:t>
      </w:r>
      <w:r>
        <w:t xml:space="preserve">classification counts a physician as URPS or MIGS only from their ABOG subspecialty certification year onward (from</w:t>
      </w:r>
      <w:r>
        <w:t xml:space="preserve"> </w:t>
      </w:r>
      <w:r>
        <w:rPr>
          <w:rStyle w:val="VerbatimChar"/>
        </w:rPr>
        <w:t xml:space="preserve">sub1startdate</w:t>
      </w:r>
      <w:r>
        <w:t xml:space="preserve">, which ranges 2013–2024 and is distinct from the initial OB/GYN board date), and classifies earlier years by that year’s CMS provider type; because board certification lags the start of subspecialty practice — the 2013 examination certified physicians already practicing urogynecology, and later diplomates practiced before boarding — it misattributes pre-certification practice years and is an upper bound. Modal and ever-URPS/MIGS schemes were additional sensitivity analyses. Urology-pathway URPS were held fixed in all schemes as no urology-subspecialty certification date was available. The whole-period cross-sectional distribution, concentration, and volume analyses (Tables 1–3) assign each physician their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 the Gini coefficient (inequality across the whole surgeon-volume distribution) and the Herfindahl–Hirschman Index (HHI, sum of squared per-surgeon shares on a 0–10,000 scale, driven especially by the largest-volume surgeons) —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w:t>
      </w:r>
    </w:p>
    <w:p>
      <w:pPr>
        <w:pStyle w:val="BodyText"/>
      </w:pPr>
      <w:r>
        <w:t xml:space="preserve">We modeled each specialty’s annual market share separately by ordinary least-squares regression of its annual percentage share on calendar year (URPS, urology, and General OB/GYN; MIGS descriptively given n = 10), in addition to the combined gynecologic share.</w:t>
      </w:r>
    </w:p>
    <w:p>
      <w:pPr>
        <w:pStyle w:val="BodyText"/>
      </w:pPr>
      <w:r>
        <w:t xml:space="preserve">To characterize workforce turnover, we classified each observable surgeon in each year, using a two-year washout, as an</w:t>
      </w:r>
      <w:r>
        <w:t xml:space="preserve"> </w:t>
      </w:r>
      <w:r>
        <w:rPr>
          <w:b/>
          <w:bCs/>
        </w:rPr>
        <w:t xml:space="preserve">entrant</w:t>
      </w:r>
      <w:r>
        <w:t xml:space="preserve"> </w:t>
      </w:r>
      <w:r>
        <w:t xml:space="preserve">(observable that year but absent in both of the two prior observable years),</w:t>
      </w:r>
      <w:r>
        <w:t xml:space="preserve"> </w:t>
      </w:r>
      <w:r>
        <w:rPr>
          <w:b/>
          <w:bCs/>
        </w:rPr>
        <w:t xml:space="preserve">continuing</w:t>
      </w:r>
      <w:r>
        <w:t xml:space="preserve"> </w:t>
      </w:r>
      <w:r>
        <w:t xml:space="preserve">(observable and not an entrant), or apparently</w:t>
      </w:r>
      <w:r>
        <w:t xml:space="preserve"> </w:t>
      </w:r>
      <w:r>
        <w:rPr>
          <w:b/>
          <w:bCs/>
        </w:rPr>
        <w:t xml:space="preserve">exiting</w:t>
      </w:r>
      <w:r>
        <w:t xml:space="preserve"> </w:t>
      </w:r>
      <w:r>
        <w:t xml:space="preserve">(observable that year but absent in both of the two subsequent observable years), and computed the entrant share of annual volume, median entrant volume, and entrants by specialty. Because CMS suppression removes providers below 11 beneficiaries, we describe these as</w:t>
      </w:r>
      <w:r>
        <w:t xml:space="preserve"> </w:t>
      </w:r>
      <w:r>
        <w:rPr>
          <w:i/>
          <w:iCs/>
        </w:rPr>
        <w:t xml:space="preserve">newly observable</w:t>
      </w:r>
      <w:r>
        <w:t xml:space="preserve"> </w:t>
      </w:r>
      <w:r>
        <w:t xml:space="preserve">surgeons rather than definitively new sling surgeons.</w:t>
      </w:r>
    </w:p>
    <w:p>
      <w:pPr>
        <w:pStyle w:val="BodyText"/>
      </w:pPr>
      <w:r>
        <w:t xml:space="preserve">As a restrained secondary geographic analysis, we tabulated observable surgeons and the URPS share by provider practice state and identified states with no observable URPS surgeon performing at least 11 Medicare slings in any year. Population-based rates (surgeons and procedures per female Medicare beneficiary) were not computed, as fee-for-service denominators with Medicare Advantage adjustment were outside the scope of this analysis.</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1" w:name="results"/>
    <w:p>
      <w:pPr>
        <w:pStyle w:val="Heading2"/>
      </w:pPr>
      <w:r>
        <w:t xml:space="preserve">Results</w:t>
      </w:r>
    </w:p>
    <w:bookmarkStart w:id="16" w:name="cohort-and-annual-volume"/>
    <w:p>
      <w:pPr>
        <w:pStyle w:val="Heading3"/>
      </w:pPr>
      <w:r>
        <w:t xml:space="preserve">Cohort and Annual Volume</w:t>
      </w:r>
    </w:p>
    <w:p>
      <w:pPr>
        <w:pStyle w:val="FirstParagraph"/>
      </w:pPr>
      <w:r>
        <w:t xml:space="preserve">Across the full 11-year window, 1,761 unique physicians billed CPT 57288, accounting for 139,855 observed services in 6,572 physician-year observations. Excluding the truncated 2017 file, the analytic cohort comprised 1,745 unique physicians, 131,637 procedures, and 6,202 physician-year observations. Most physicians were observed only intermittently: 567 (32%) appeared in a single year, 753 (43%) in 2–5 years, 375 (21%) in 6–10 years, and only 66 (4%) in all 11 years — consistent with a workforce in which a minority sustain a durable Medicare sling practice.</w:t>
      </w:r>
    </w:p>
    <w:p>
      <w:pPr>
        <w:pStyle w:val="BodyText"/>
      </w:pPr>
      <w:r>
        <w:t xml:space="preserve">Observed annual procedures declined over the period, from 16,399 in 2013 to 12,223 in 2023 (linear trend −469 procedures/year; p = 0.03), and the number of observable surgeons fell from 812 to 562. Volume reached its low in 2020 (9,228 procedures), consistent with pandemic-related deferral of elective surgery, and partially recovered thereafter (12,053 in 2022; 12,223 in 2023) without returning to pre-2020 levels. A single pooled total would obscure this decline: Medicare sling volume fell over the decade even as its specialty composition shifted.</w:t>
      </w:r>
    </w:p>
    <w:bookmarkEnd w:id="16"/>
    <w:bookmarkStart w:id="17" w:name="specialty-distribution-and-trends"/>
    <w:p>
      <w:pPr>
        <w:pStyle w:val="Heading3"/>
      </w:pPr>
      <w:r>
        <w:t xml:space="preserve">Specialty Distribution and Trends</w:t>
      </w:r>
    </w:p>
    <w:p>
      <w:pPr>
        <w:pStyle w:val="FirstParagraph"/>
      </w:pPr>
      <w:r>
        <w:t xml:space="preserve">URPS physicians constituted the largest group — 753 physicians, 3,498 physician-years, 80,033 procedures (60.8%), median 19 procedures/year (p25–p75, 14–27) — followed by non-URPS urology (665 physicians; 1,810 physician-years; 34,351 procedures; 26.1%; median 16, 13–22), General OB/GYN (330; 858; 16,391; 12.5%; median 15, 12–22), and MIGS (10; 36; 862; 0.7%; median 16, 12–24) (Table 1). Per-specialty physician counts sum to slightly more than the unique total because 13 physicians changed specialty group across years. Folding urology-pathway urogynecologists into URPS moved 150 physicians (11,503 procedures) from urology relative to an ABOG-only classification.</w:t>
      </w:r>
    </w:p>
    <w:p>
      <w:pPr>
        <w:pStyle w:val="BodyText"/>
      </w:pPr>
      <w:r>
        <w:t xml:space="preserve">Modeled separately, each specialty’s annual market share moved significantly and in divergent directions (Table 1): URPS rose from 53.4% (2013) to 63.8% (2023) (+0.90 percentage points/year; 95% CI 0.49 to 1.31; p &lt; 0.001), whereas urology fell from 30.7% to 23.1% (−0.55; 95% CI −0.87 to −0.23; p = 0.004) and General OB/GYN from 15.7% to 12.3% (−0.42; 95% CI −0.68 to −0.16; p = 0.006). MIGS rose descriptively from 0.2% to 0.8% (+0.07/year; n = 10, interpreted with caution). Because total observed volume fell, these are shifts in specialty ownership rather than differential growth. The combined-URPS increase was significant under all classification schemes and bounded by fixed membership (lower bound; gynecologic share 60.8% → 70.1%, +0.84 pp/year) and time-varying certification-gating (upper bound; URPS share 46.3% → 74.2%, +2.28 pp/year, as certification lags practice onset — Table 4).</w:t>
      </w:r>
    </w:p>
    <w:p>
      <w:pPr>
        <w:pStyle w:val="BodyText"/>
      </w:pPr>
      <w:r>
        <w:t xml:space="preserve">In the Poisson GEE clustered by NPI, adjusted annual volume relative to URPS was significantly lower for every other group — urology rate ratio 0.82 (95% CI 0.70–0.95), General OB/GYN 0.67 (0.50–0.90), and MIGS 0.56 (0.40–0.76) — with a ~11% decline in 2020 (RR 0.89, 0.85–0.92; p &lt; 0.001) and no overall per-physician time trend (year RR 1.00, 0.99–1.00; p = 0.52) (Table 3). The one-value-per-physician secondary analysis agreed (Kruskal-Wallis H = 66.1, df = 3, p &lt; 0.001; URPS exceeded urology and General OB/GYN, pairwise p &lt; 0.001).</w:t>
      </w:r>
    </w:p>
    <w:bookmarkEnd w:id="17"/>
    <w:bookmarkStart w:id="18" w:name="surgeon-volume-and-concentration"/>
    <w:p>
      <w:pPr>
        <w:pStyle w:val="Heading3"/>
      </w:pPr>
      <w:r>
        <w:t xml:space="preserve">Surgeon Volume and Concentration</w:t>
      </w:r>
    </w:p>
    <w:p>
      <w:pPr>
        <w:pStyle w:val="FirstParagraph"/>
      </w:pPr>
      <w:r>
        <w:t xml:space="preserve">Pooled multi-year concentration among the three well-populated groups was lowest for URPS (Gini 0.51, HHI 27; top 10% performed 34.3%, top 20% 53.4%), intermediate for urology (Gini 0.52, HHI 35; top 20% 57.5%), and highest for General OB/GYN (Gini 0.55, HHI 89; top 20% 60.8%) (Table 2). Gini and HHI ranked the groups identically, but for all three the HHI was very low in absolute terms (27–89 of 10,000): sling volume is distributed unevenly across many surgeons rather than dominated by a few, and no surgeon approaches a concentrating share. Median annual volume and its upper tail were highest for URPS (median 19, p75 27). Computed separately for each year, within-year concentration was modest and stable (pooled annual Gini 0.26–0.28; no temporal trend, slope ≈ 0.000/year, p = 0.82; annual top-20% ~38%), and no individual group’s annual Gini trended (p &gt; 0.15). Thus sling care did not become concentrated among a shrinking set of high-volume surgeons even as the surgeon pool contracted. MIGS is deliberately excluded from these concentration comparisons: with only 10 physicians (1–4 observable per year), its nominal values (Gini 0.60, HHI 2,919) are numerically extreme but not a clinically stable statement about specialty-wide concentration.</w:t>
      </w:r>
    </w:p>
    <w:bookmarkEnd w:id="18"/>
    <w:bookmarkStart w:id="19" w:name="workforce-entry-and-exit"/>
    <w:p>
      <w:pPr>
        <w:pStyle w:val="Heading3"/>
      </w:pPr>
      <w:r>
        <w:t xml:space="preserve">Workforce Entry and Exit</w:t>
      </w:r>
    </w:p>
    <w:p>
      <w:pPr>
        <w:pStyle w:val="FirstParagraph"/>
      </w:pPr>
      <w:r>
        <w:t xml:space="preserve">Applying a two-year washout (Table 5), newly observable entrant surgeons numbered 48–184 per year and performed 7.4%–22.5% of that year’s volume, at a low median entrant volume (~13 slings/year) — consistent with providers appearing just above the CMS suppression threshold. Entry collapsed in 2020 (48 entrants; 7.4% of volume) and rebounded in 2022 (168; 22.5%). Continuing surgeons (381–543 per year) performed the large majority of annual volume, and apparent exits ranged from 66 to 230 per year. Across the period URPS contributed the most entrants (440), followed by urology (373), General OB/GYN (189), and MIGS (8). Decomposing the specialty-share changes: the rising URPS share was driven by the largest inflow of newly observable URPS surgeons together with a stable continuing-URPS base (URPS surgeon count 385 → 338; per-physician volume flat), whereas urology’s decline reflected net attrition despite substantial churn — many entrants offset by more exits — and General OB/GYN lost both surgeons and share. Because total volume fell, the gynecologic gain is a redistribution of a shrinking pool toward URPS, not new procedure growth. Given CMS suppression, all counts describe</w:t>
      </w:r>
      <w:r>
        <w:t xml:space="preserve"> </w:t>
      </w:r>
      <w:r>
        <w:rPr>
          <w:i/>
          <w:iCs/>
        </w:rPr>
        <w:t xml:space="preserve">newly observable</w:t>
      </w:r>
      <w:r>
        <w:t xml:space="preserve"> </w:t>
      </w:r>
      <w:r>
        <w:t xml:space="preserve">rather than definitively new sling surgeons.</w:t>
      </w:r>
    </w:p>
    <w:bookmarkEnd w:id="19"/>
    <w:bookmarkStart w:id="20" w:name="geographic-distribution-secondary"/>
    <w:p>
      <w:pPr>
        <w:pStyle w:val="Heading3"/>
      </w:pPr>
      <w:r>
        <w:t xml:space="preserve">Geographic Distribution (Secondary)</w:t>
      </w:r>
    </w:p>
    <w:p>
      <w:pPr>
        <w:pStyle w:val="FirstParagraph"/>
      </w:pPr>
      <w:r>
        <w:t xml:space="preserve">Provider practice location spanned 52 states and territories. The URPS share of observable sling surgeons varied widely by state, from 100% (Hawaii) and 82%–85% (Minnesota, District of Columbia, Connecticut) to 15% (Nebraska). Four states or territories had no observable URPS surgeon performing at least 11 Medicare slings in any study year (North Dakota, Alaska, Puerto Rico, Wyoming); given CMS suppression, this indicates the absence of</w:t>
      </w:r>
      <w:r>
        <w:t xml:space="preserve"> </w:t>
      </w:r>
      <w:r>
        <w:rPr>
          <w:i/>
          <w:iCs/>
        </w:rPr>
        <w:t xml:space="preserve">observable</w:t>
      </w:r>
      <w:r>
        <w:t xml:space="preserve"> </w:t>
      </w:r>
      <w:r>
        <w:t xml:space="preserve">high-volume URPS surgeons, not necessarily the absence of any URPS physician. Population-based rates and formal geographic inequality measures were not computed and are proposed as a separate access-focused analysis.</w:t>
      </w:r>
    </w:p>
    <w:bookmarkEnd w:id="20"/>
    <w:bookmarkEnd w:id="21"/>
    <w:bookmarkStart w:id="27"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from 60.8% to 70.1%.</w:t>
      </w:r>
    </w:p>
    <w:bookmarkStart w:id="22" w:name="X5a9d6874d63483c97c55807399276ca37c3cb58"/>
    <w:p>
      <w:pPr>
        <w:pStyle w:val="Heading3"/>
      </w:pPr>
      <w:r>
        <w:t xml:space="preserve">Subspecialty Dominance and Both Training Pathways</w:t>
      </w:r>
    </w:p>
    <w:p>
      <w:pPr>
        <w:pStyle w:val="FirstParagraph"/>
      </w:pPr>
      <w:r>
        <w:t xml:space="preserve">A key methodological contribution is the identification of urogynecologists through</w:t>
      </w:r>
      <w:r>
        <w:t xml:space="preserve"> </w:t>
      </w:r>
      <w:r>
        <w:rPr>
          <w:b/>
          <w:bCs/>
        </w:rPr>
        <w:t xml:space="preserve">both</w:t>
      </w:r>
      <w:r>
        <w:t xml:space="preserve"> </w:t>
      </w:r>
      <w:r>
        <w:t xml:space="preserve">certifying pathways — ABOG (OB/GYN) and ABU (urology). Cross-referencing the ABU roster reassigned 150 urology-typed providers (8.2% of all slings) to URPS, sharpening the finding that midurethral sling surgery in Medicare is predominantly performed by fellowship-trained urogynecologists. The finding is robust: the pooled URPS Gini changed negligibly (0.51 → 0.52) under the reclassification.</w:t>
      </w:r>
    </w:p>
    <w:bookmarkEnd w:id="22"/>
    <w:bookmarkStart w:id="23" w:name="procedural-concentration"/>
    <w:p>
      <w:pPr>
        <w:pStyle w:val="Heading3"/>
      </w:pPr>
      <w:r>
        <w:t xml:space="preserve">Procedural Concentration</w:t>
      </w:r>
    </w:p>
    <w:p>
      <w:pPr>
        <w:pStyle w:val="FirstParagraph"/>
      </w:pPr>
      <w:r>
        <w:t xml:space="preserve">Reporting the Gini coefficient and HHI together makes the concentration finding difficult to attribute to a single metric: the two answer related but distinct questions and agree here. The low absolute HHI for the three main groups (27–89) shows that, although volume is unequally distributed (Gini 0.51–0.55), no individual surgeon approaches a dominant share — this is inequality across many surgeons, not domination by a few. Reporting each physician as the production unit follows workforce-concentration analyses in other surgical specialties; it is explicitly a surgeon-level, not a market-competition, measure.</w:t>
      </w:r>
    </w:p>
    <w:bookmarkEnd w:id="23"/>
    <w:bookmarkStart w:id="24" w:name="X78fd0565d65e06e5712212d4c8fe5b6dd524af5"/>
    <w:p>
      <w:pPr>
        <w:pStyle w:val="Heading3"/>
      </w:pPr>
      <w:r>
        <w:t xml:space="preserve">Temporal Trends and Workforce Implications</w:t>
      </w:r>
    </w:p>
    <w:p>
      <w:pPr>
        <w:pStyle w:val="FirstParagraph"/>
      </w:pPr>
      <w:r>
        <w:t xml:space="preserve">The repeated-measures model clarifies the mechanism behind the rising gynecologic share. Individual physician volume did not change over time (year RR 1.00), but the number of non-URPS surgeons fell sharply while URPS numbers held steady. The market-share shift is therefore a workforce-composition change — non-URPS attrition — rather than a change in how much any individual operates. The significant 2020 decline (RR 0.89) is consistent with pandemic-related deferral of elective surgery and was robust to excluding 2020.</w:t>
      </w:r>
    </w:p>
    <w:bookmarkEnd w:id="24"/>
    <w:bookmarkStart w:id="25"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the market-share trend is bounded rather than point-identified. Board certification lags the start of subspecialty practice — physicians complete fellowship and practice urogynecology before sitting for boards, and the 2013 inaugural examination certified an established practicing cohort — so the certification-gated scheme (upper bound) misattributes pre-certification practice years to General OB/GYN or urology, while fixed membership (lower bound) retroactively counts physicians as URPS before they subspecialized. The true trend lies between; a point estimate would require fellowship-completion dates, which are not available. Additionally, ~8% of URPS providers could not be matched to a certification year and urology-pathway URPS were held fixed (no urology-subspecialty date), both of which shrink the upper-bound estimate. Fifth, the exclusion of 2017 removes one year of the time series (the underlying file being truncated); re-running with a complete 2017 file would restore all 11 years. Sixth, Tot_Srvcs may include bilateral or modifier-inflated services.</w:t>
      </w:r>
    </w:p>
    <w:bookmarkEnd w:id="25"/>
    <w:bookmarkStart w:id="26"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6"/>
    <w:bookmarkEnd w:id="27"/>
    <w:bookmarkStart w:id="28"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28"/>
    <w:bookmarkStart w:id="29" w:name="references"/>
    <w:p>
      <w:pPr>
        <w:pStyle w:val="Heading2"/>
      </w:pPr>
      <w:r>
        <w:t xml:space="preserve">References</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Albo ME, Dmochowski RR, et al. Surgical treatment of female stress urinary incontinence: AUA/SUFU guideline. J Urol. 2017;198(4):875-883.</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US Food and Drug Administration. FDA takes action to protect women’s health, orders manufacturers of surgical mesh intended for transvaginal repair of pelvic organ prolapse to stop selling all devices. April 16, 2019. Available at: https://www.fda.gov.</w:t>
      </w:r>
    </w:p>
    <w:p>
      <w:pPr>
        <w:numPr>
          <w:ilvl w:val="0"/>
          <w:numId w:val="1001"/>
        </w:numPr>
      </w:pPr>
      <w:r>
        <w:t xml:space="preserve">Stitzenberg KB, Sigurdson ER, Egleston BL, Starkey RB, Meropol NJ. Centralization of cancer surgery: implications for patient access to optimal care. J Clin Oncol. 2009;27(28):4671-4678.</w:t>
      </w:r>
    </w:p>
    <w:p>
      <w:r>
        <w:pict>
          <v:rect style="width:0;height:1.5pt" o:hralign="center" o:hrstd="t" o:hr="t"/>
        </w:pict>
      </w:r>
    </w:p>
    <w:bookmarkEnd w:id="29"/>
    <w:bookmarkStart w:id="30" w:name="tables"/>
    <w:p>
      <w:pPr>
        <w:pStyle w:val="Heading2"/>
      </w:pPr>
      <w:r>
        <w:t xml:space="preserve">Tables</w:t>
      </w:r>
    </w:p>
    <w:p>
      <w:pPr>
        <w:pStyle w:val="FirstParagraph"/>
      </w:pPr>
      <w:r>
        <w:rPr>
          <w:b/>
          <w:bCs/>
        </w:rPr>
        <w:t xml:space="preserve">Table 1.</w:t>
      </w:r>
      <w:r>
        <w:t xml:space="preserve"> </w:t>
      </w:r>
      <w:r>
        <w:t xml:space="preserve">Specialty distribution and market-share trends of CPT 57288 providers, Medicare PUF 2013–2023 (2017 excluded; combined URPS). Δ share = annual percentage-point change in market share (OLS on calendar year). Physician counts sum to more than the unique total (1,745) because 13 physicians changed specialty group across years.</w:t>
      </w:r>
    </w:p>
    <w:tbl>
      <w:tblPr>
        <w:tblStyle w:val="Table"/>
        <w:tblW w:type="pct" w:w="5000"/>
        <w:tblLayout w:type="fixed"/>
        <w:tblLook w:firstRow="1" w:lastRow="0" w:firstColumn="0" w:lastColumn="0" w:noHBand="0" w:noVBand="0" w:val="0020"/>
      </w:tblPr>
      <w:tblGrid>
        <w:gridCol w:w="645"/>
        <w:gridCol w:w="1056"/>
        <w:gridCol w:w="997"/>
        <w:gridCol w:w="645"/>
        <w:gridCol w:w="586"/>
        <w:gridCol w:w="1290"/>
        <w:gridCol w:w="645"/>
        <w:gridCol w:w="645"/>
        <w:gridCol w:w="1232"/>
        <w:gridCol w:w="176"/>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Δ share/yr (95% CI)</w:t>
            </w:r>
          </w:p>
        </w:tc>
        <w:tc>
          <w:tcPr/>
          <w:p>
            <w:pPr>
              <w:pStyle w:val="Compact"/>
            </w:pPr>
            <w:r>
              <w:t xml:space="preserve">p</w:t>
            </w:r>
          </w:p>
        </w:tc>
      </w:tr>
      <w:tr>
        <w:tc>
          <w:tcPr/>
          <w:p>
            <w:pPr>
              <w:pStyle w:val="Compact"/>
            </w:pPr>
            <w:r>
              <w:t xml:space="preserve">URPS</w:t>
            </w:r>
          </w:p>
        </w:tc>
        <w:tc>
          <w:tcPr/>
          <w:p>
            <w:pPr>
              <w:pStyle w:val="Compact"/>
            </w:pPr>
            <w:r>
              <w:t xml:space="preserve">753</w:t>
            </w:r>
          </w:p>
        </w:tc>
        <w:tc>
          <w:tcPr/>
          <w:p>
            <w:pPr>
              <w:pStyle w:val="Compact"/>
            </w:pPr>
            <w:r>
              <w:t xml:space="preserve">3,498</w:t>
            </w:r>
          </w:p>
        </w:tc>
        <w:tc>
          <w:tcPr/>
          <w:p>
            <w:pPr>
              <w:pStyle w:val="Compact"/>
            </w:pPr>
            <w:r>
              <w:t xml:space="preserve">80,033</w:t>
            </w:r>
          </w:p>
        </w:tc>
        <w:tc>
          <w:tcPr/>
          <w:p>
            <w:pPr>
              <w:pStyle w:val="Compact"/>
            </w:pPr>
            <w:r>
              <w:t xml:space="preserve">60.8%</w:t>
            </w:r>
          </w:p>
        </w:tc>
        <w:tc>
          <w:tcPr/>
          <w:p>
            <w:pPr>
              <w:pStyle w:val="Compact"/>
            </w:pPr>
            <w:r>
              <w:t xml:space="preserve">19 (14–27)</w:t>
            </w:r>
          </w:p>
        </w:tc>
        <w:tc>
          <w:tcPr/>
          <w:p>
            <w:pPr>
              <w:pStyle w:val="Compact"/>
            </w:pPr>
            <w:r>
              <w:t xml:space="preserve">53.4%</w:t>
            </w:r>
          </w:p>
        </w:tc>
        <w:tc>
          <w:tcPr/>
          <w:p>
            <w:pPr>
              <w:pStyle w:val="Compact"/>
            </w:pPr>
            <w:r>
              <w:t xml:space="preserve">63.8%</w:t>
            </w:r>
          </w:p>
        </w:tc>
        <w:tc>
          <w:tcPr/>
          <w:p>
            <w:pPr>
              <w:pStyle w:val="Compact"/>
            </w:pPr>
            <w:r>
              <w:t xml:space="preserve">+0.90 (0.49 to 1.31)</w:t>
            </w:r>
          </w:p>
        </w:tc>
        <w:tc>
          <w:tcPr/>
          <w:p>
            <w:pPr>
              <w:pStyle w:val="Compact"/>
            </w:pPr>
            <w:r>
              <w:t xml:space="preserve">&lt;0.001</w:t>
            </w:r>
          </w:p>
        </w:tc>
      </w:tr>
      <w:tr>
        <w:tc>
          <w:tcPr/>
          <w:p>
            <w:pPr>
              <w:pStyle w:val="Compact"/>
            </w:pPr>
            <w:r>
              <w:t xml:space="preserve">Urology (non-URPS)</w:t>
            </w:r>
          </w:p>
        </w:tc>
        <w:tc>
          <w:tcPr/>
          <w:p>
            <w:pPr>
              <w:pStyle w:val="Compact"/>
            </w:pPr>
            <w:r>
              <w:t xml:space="preserve">665</w:t>
            </w:r>
          </w:p>
        </w:tc>
        <w:tc>
          <w:tcPr/>
          <w:p>
            <w:pPr>
              <w:pStyle w:val="Compact"/>
            </w:pPr>
            <w:r>
              <w:t xml:space="preserve">1,810</w:t>
            </w:r>
          </w:p>
        </w:tc>
        <w:tc>
          <w:tcPr/>
          <w:p>
            <w:pPr>
              <w:pStyle w:val="Compact"/>
            </w:pPr>
            <w:r>
              <w:t xml:space="preserve">34,351</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(−0.87 to −0.23)</w:t>
            </w:r>
          </w:p>
        </w:tc>
        <w:tc>
          <w:tcPr/>
          <w:p>
            <w:pPr>
              <w:pStyle w:val="Compact"/>
            </w:pPr>
            <w:r>
              <w:t xml:space="preserve">0.004</w:t>
            </w:r>
          </w:p>
        </w:tc>
      </w:tr>
      <w:tr>
        <w:tc>
          <w:tcPr/>
          <w:p>
            <w:pPr>
              <w:pStyle w:val="Compact"/>
            </w:pPr>
            <w:r>
              <w:t xml:space="preserve">General OB/GYN</w:t>
            </w:r>
          </w:p>
        </w:tc>
        <w:tc>
          <w:tcPr/>
          <w:p>
            <w:pPr>
              <w:pStyle w:val="Compact"/>
            </w:pPr>
            <w:r>
              <w:t xml:space="preserve">330</w:t>
            </w:r>
          </w:p>
        </w:tc>
        <w:tc>
          <w:tcPr/>
          <w:p>
            <w:pPr>
              <w:pStyle w:val="Compact"/>
            </w:pPr>
            <w:r>
              <w:t xml:space="preserve">858</w:t>
            </w:r>
          </w:p>
        </w:tc>
        <w:tc>
          <w:tcPr/>
          <w:p>
            <w:pPr>
              <w:pStyle w:val="Compact"/>
            </w:pPr>
            <w:r>
              <w:t xml:space="preserve">16,391</w:t>
            </w:r>
          </w:p>
        </w:tc>
        <w:tc>
          <w:tcPr/>
          <w:p>
            <w:pPr>
              <w:pStyle w:val="Compact"/>
            </w:pPr>
            <w:r>
              <w:t xml:space="preserve">12.5%</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−0.42 (−0.68 to −0.16)</w:t>
            </w:r>
          </w:p>
        </w:tc>
        <w:tc>
          <w:tcPr/>
          <w:p>
            <w:pPr>
              <w:pStyle w:val="Compact"/>
            </w:pPr>
            <w:r>
              <w:t xml:space="preserve">0.006</w:t>
            </w:r>
          </w:p>
        </w:tc>
      </w:tr>
      <w:tr>
        <w:tc>
          <w:tcPr/>
          <w:p>
            <w:pPr>
              <w:pStyle w:val="Compact"/>
            </w:pPr>
            <w:r>
              <w:t xml:space="preserve">MIGS</w:t>
            </w:r>
          </w:p>
        </w:tc>
        <w:tc>
          <w:tcPr/>
          <w:p>
            <w:pPr>
              <w:pStyle w:val="Compact"/>
            </w:pPr>
            <w:r>
              <w:t xml:space="preserve">10</w:t>
            </w:r>
          </w:p>
        </w:tc>
        <w:tc>
          <w:tcPr/>
          <w:p>
            <w:pPr>
              <w:pStyle w:val="Compact"/>
            </w:pPr>
            <w:r>
              <w:t xml:space="preserve">36</w:t>
            </w:r>
          </w:p>
        </w:tc>
        <w:tc>
          <w:tcPr/>
          <w:p>
            <w:pPr>
              <w:pStyle w:val="Compact"/>
            </w:pPr>
            <w:r>
              <w:t xml:space="preserve">862</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(0.02 to 0.12)*</w:t>
            </w:r>
          </w:p>
        </w:tc>
        <w:tc>
          <w:tcPr/>
          <w:p>
            <w:pPr>
              <w:pStyle w:val="Compact"/>
            </w:pPr>
            <w:r>
              <w:t xml:space="preserve">0.008</w:t>
            </w:r>
          </w:p>
        </w:tc>
      </w:tr>
      <w:tr>
        <w:tc>
          <w:tcPr/>
          <w:p>
            <w:pPr>
              <w:pStyle w:val="Compact"/>
            </w:pPr>
            <w:r>
              <w:rPr>
                <w:b/>
                <w:bCs/>
              </w:rPr>
              <w:t xml:space="preserve">Total</w:t>
            </w:r>
          </w:p>
        </w:tc>
        <w:tc>
          <w:tcPr/>
          <w:p>
            <w:pPr>
              <w:pStyle w:val="Compact"/>
            </w:pPr>
            <w:r>
              <w:rPr>
                <w:b/>
                <w:bCs/>
              </w:rPr>
              <w:t xml:space="preserve">1,745</w:t>
            </w:r>
          </w:p>
        </w:tc>
        <w:tc>
          <w:tcPr/>
          <w:p>
            <w:pPr>
              <w:pStyle w:val="Compact"/>
            </w:pPr>
            <w:r>
              <w:rPr>
                <w:b/>
                <w:bCs/>
              </w:rPr>
              <w:t xml:space="preserve">6,202</w:t>
            </w:r>
          </w:p>
        </w:tc>
        <w:tc>
          <w:tcPr/>
          <w:p>
            <w:pPr>
              <w:pStyle w:val="Compact"/>
            </w:pPr>
            <w:r>
              <w:rPr>
                <w:b/>
                <w:bCs/>
              </w:rPr>
              <w:t xml:space="preserve">131,637</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*MIGS (n = 10) reported descriptively; too few physicians for a stable specialty-wide inference.</w:t>
      </w:r>
    </w:p>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Market-share trends under classification schemes that bracket the true trend. Fixed-membership is a lower bound (treats not-yet-certified physicians as already URPS); time-varying certification-gated is an upper bound (board certification lags practice onset). All schemes are significant and positive.</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Lower bound —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Lower bound — combined-URPS share (fixed)</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Sensitivity — URPS share (modal)</w:t>
            </w:r>
          </w:p>
        </w:tc>
        <w:tc>
          <w:tcPr/>
          <w:p>
            <w:pPr>
              <w:pStyle w:val="Compact"/>
            </w:pPr>
            <w:r>
              <w:t xml:space="preserve">—</w:t>
            </w:r>
          </w:p>
        </w:tc>
        <w:tc>
          <w:tcPr/>
          <w:p>
            <w:pPr>
              <w:pStyle w:val="Compact"/>
            </w:pPr>
            <w:r>
              <w:t xml:space="preserve">0.98</w:t>
            </w:r>
          </w:p>
        </w:tc>
        <w:tc>
          <w:tcPr/>
          <w:p>
            <w:pPr>
              <w:pStyle w:val="Compact"/>
            </w:pPr>
            <w:r>
              <w:t xml:space="preserve">&lt; 0.001</w:t>
            </w:r>
          </w:p>
        </w:tc>
      </w:tr>
      <w:tr>
        <w:tc>
          <w:tcPr/>
          <w:p>
            <w:pPr>
              <w:pStyle w:val="Compact"/>
            </w:pPr>
            <w:r>
              <w:t xml:space="preserve">Sensitivity — URPS share (ever-URPS/MIGS)</w:t>
            </w:r>
          </w:p>
        </w:tc>
        <w:tc>
          <w:tcPr/>
          <w:p>
            <w:pPr>
              <w:pStyle w:val="Compact"/>
            </w:pPr>
            <w:r>
              <w:t xml:space="preserve">—</w:t>
            </w:r>
          </w:p>
        </w:tc>
        <w:tc>
          <w:tcPr/>
          <w:p>
            <w:pPr>
              <w:pStyle w:val="Compact"/>
            </w:pPr>
            <w:r>
              <w:t xml:space="preserve">0.96</w:t>
            </w:r>
          </w:p>
        </w:tc>
        <w:tc>
          <w:tcPr/>
          <w:p>
            <w:pPr>
              <w:pStyle w:val="Compact"/>
            </w:pPr>
            <w:r>
              <w:t xml:space="preserve">0.001</w:t>
            </w:r>
          </w:p>
        </w:tc>
      </w:tr>
      <w:tr>
        <w:tc>
          <w:tcPr/>
          <w:p>
            <w:pPr>
              <w:pStyle w:val="Compact"/>
            </w:pPr>
            <w:r>
              <w:rPr>
                <w:b/>
                <w:bCs/>
              </w:rPr>
              <w:t xml:space="preserve">Upper bound —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 0.001</w:t>
            </w:r>
          </w:p>
        </w:tc>
      </w:tr>
      <w:tr>
        <w:tc>
          <w:tcPr/>
          <w:p>
            <w:pPr>
              <w:pStyle w:val="Compact"/>
            </w:pPr>
            <w:r>
              <w:t xml:space="preserve">Upper bound — gynecologic share (time-varying, cert-gated)</w:t>
            </w:r>
          </w:p>
        </w:tc>
        <w:tc>
          <w:tcPr/>
          <w:p>
            <w:pPr>
              <w:pStyle w:val="Compact"/>
            </w:pPr>
            <w:r>
              <w:t xml:space="preserve">—</w:t>
            </w:r>
          </w:p>
        </w:tc>
        <w:tc>
          <w:tcPr/>
          <w:p>
            <w:pPr>
              <w:pStyle w:val="Compact"/>
            </w:pPr>
            <w:r>
              <w:t xml:space="preserve">1.33</w:t>
            </w:r>
          </w:p>
        </w:tc>
        <w:tc>
          <w:tcPr/>
          <w:p>
            <w:pPr>
              <w:pStyle w:val="Compact"/>
            </w:pPr>
            <w:r>
              <w:t xml:space="preserve">&lt; 0.001</w:t>
            </w:r>
          </w:p>
        </w:tc>
      </w:tr>
    </w:tbl>
    <w:p>
      <w:pPr>
        <w:pStyle w:val="BodyText"/>
      </w:pPr>
      <w:r>
        <w:rPr>
          <w:b/>
          <w:bCs/>
        </w:rPr>
        <w:t xml:space="preserve">Table 5.</w:t>
      </w:r>
      <w:r>
        <w:t xml:space="preserve"> </w:t>
      </w:r>
      <w:r>
        <w:t xml:space="preserve">Annual sling workforce dynamics (newly observable surgeons; two-year washout). Entrants were absent in both prior observable years; exiting surgeons were absent in both subsequent observable years. Entrant/continuing counts are undefined for the first two years and exiting counts for the last two.</w:t>
      </w:r>
    </w:p>
    <w:tbl>
      <w:tblPr>
        <w:tblStyle w:val="Table"/>
        <w:tblW w:type="pct" w:w="5000"/>
        <w:tblLayout w:type="fixed"/>
        <w:tblLook w:firstRow="1" w:lastRow="0" w:firstColumn="0" w:lastColumn="0" w:noHBand="0" w:noVBand="0" w:val="0020"/>
      </w:tblPr>
      <w:tblGrid>
        <w:gridCol w:w="516"/>
        <w:gridCol w:w="946"/>
        <w:gridCol w:w="860"/>
        <w:gridCol w:w="946"/>
        <w:gridCol w:w="774"/>
        <w:gridCol w:w="1893"/>
        <w:gridCol w:w="1980"/>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w:t>
            </w:r>
          </w:p>
        </w:tc>
        <w:tc>
          <w:tcPr/>
          <w:p>
            <w:pPr>
              <w:pStyle w:val="Compact"/>
            </w:pPr>
            <w:r>
              <w:t xml:space="preserve">—</w:t>
            </w:r>
          </w:p>
        </w:tc>
        <w:tc>
          <w:tcPr/>
          <w:p>
            <w:pPr>
              <w:pStyle w:val="Compact"/>
            </w:pPr>
            <w:r>
              <w:t xml:space="preserve">214</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685</w:t>
            </w:r>
          </w:p>
        </w:tc>
        <w:tc>
          <w:tcPr/>
          <w:p>
            <w:pPr>
              <w:pStyle w:val="Compact"/>
            </w:pPr>
            <w:r>
              <w:t xml:space="preserve">—</w:t>
            </w:r>
          </w:p>
        </w:tc>
        <w:tc>
          <w:tcPr/>
          <w:p>
            <w:pPr>
              <w:pStyle w:val="Compact"/>
            </w:pPr>
            <w:r>
              <w:t xml:space="preserve">—</w:t>
            </w:r>
          </w:p>
        </w:tc>
        <w:tc>
          <w:tcPr/>
          <w:p>
            <w:pPr>
              <w:pStyle w:val="Compact"/>
            </w:pPr>
            <w:r>
              <w:t xml:space="preserve">164</w:t>
            </w:r>
          </w:p>
        </w:tc>
        <w:tc>
          <w:tcPr/>
          <w:p>
            <w:pPr>
              <w:pStyle w:val="Compact"/>
            </w:pPr>
            <w:r>
              <w:t xml:space="preserve">—</w:t>
            </w:r>
          </w:p>
        </w:tc>
        <w:tc>
          <w:tcPr/>
          <w:p>
            <w:pPr>
              <w:pStyle w:val="Compact"/>
            </w:pPr>
            <w:r>
              <w:t xml:space="preserve">—</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w:t>
            </w:r>
          </w:p>
        </w:tc>
        <w:tc>
          <w:tcPr/>
          <w:p>
            <w:pPr>
              <w:pStyle w:val="Compact"/>
            </w:pPr>
            <w:r>
              <w:t xml:space="preserve">15.7%</w:t>
            </w:r>
          </w:p>
        </w:tc>
        <w:tc>
          <w:tcPr/>
          <w:p>
            <w:pPr>
              <w:pStyle w:val="Compact"/>
            </w:pPr>
            <w:r>
              <w:t xml:space="preserve">13</w:t>
            </w:r>
          </w:p>
        </w:tc>
      </w:tr>
    </w:tbl>
    <w:p>
      <w:pPr>
        <w:pStyle w:val="BodyText"/>
      </w:pPr>
      <w:r>
        <w:t xml:space="preserve">Entrants by specialty over the period: URPS 440, urology 373, General OB/GYN 189, MIGS 8.</w:t>
      </w:r>
    </w:p>
    <w:p>
      <w:r>
        <w:pict>
          <v:rect style="width:0;height:1.5pt" o:hralign="center" o:hrstd="t" o:hr="t"/>
        </w:pict>
      </w:r>
    </w:p>
    <w:bookmarkEnd w:id="30"/>
    <w:bookmarkStart w:id="31"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URPS/gynecologic share rose significantly under every classification scheme; fixed-membership classification (+0.84 pp/year, gynecologic share 60.8% → 70.1%) and time-varying certification-gated classification (+2.28 pp/year, URPS share 46.3% → 74.2%) bracket the true trend.</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2026-07-22T03:07:21Z</dcterms:created>
  <dcterms:modified xsi:type="dcterms:W3CDTF">2026-07-22T03:07:21Z</dcterms:modified>
</cp:coreProperties>
</file>

<file path=docProps/custom.xml><?xml version="1.0" encoding="utf-8"?>
<Properties xmlns="http://schemas.openxmlformats.org/officeDocument/2006/custom-properties" xmlns:vt="http://schemas.openxmlformats.org/officeDocument/2006/docPropsVTypes"/>
</file>