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surgeon-level concentration of physicians performing sling surgery for stress urinary incontinence (CPT 57288) in fee-for-service Medicare.</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Reported services fell from 16,399 in 2013 to 12,223 in 2023 (-25.5%), but the female Part B fee-for-service population contracted by -14.7% over the same period; after denominator adjustment the utilization rate declined only from 89.4 to 78.1 services per 100,000 (-12.6%; rate trend not significant, p = 0.139), with a 2020 nadir and partial recovery. Compared with URPS, adjusted annual volume was lower for urology (rate ratio [RR] 0.80 (0.70–0.92)), General OB/GYN (RR 0.68 (0.51–0.92)), and MIGS (RR 0.56 (0.40–0.79)). Volume fell by approximately 11% in 2020 (RR 0.88 (0.85–0.92); p &lt; 0.001), but per-physician volume did not change overall (RR 1.00 (0.99–1.01); p = 0.516). Surgeon-level concentration was low and similar across the three well-populated groups, with overlapping bootstrap confidence intervals (Gini 0.52–0.56);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scheme, and the two schemes bracketed the rate of increase rather than the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cases; URPS contributed the most entrants (480), while urology showed substantial turnover (421 entrants despite a declining share).</w:t>
      </w:r>
    </w:p>
    <w:p>
      <w:pPr>
        <w:pStyle w:val="BodyText"/>
      </w:pPr>
      <w:r>
        <w:rPr>
          <w:b/>
          <w:bCs/>
        </w:rPr>
        <w:t xml:space="preserve">Conclusions:</w:t>
      </w:r>
      <w:r>
        <w:t xml:space="preserve"> </w:t>
      </w:r>
      <w:r>
        <w:t xml:space="preserve">URPS physicians perform most sling operations for stress urinary incontinence in fee-for-service Medicare and have the highest adjusted per-physician volume; within-year surgeon-level concentration was low and stable and did not differ meaningfully across specialties.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3"/>
    <w:bookmarkStart w:id="15"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767,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annual procedure count with a Poisson generalized estimating equation clustered by NPI, using an exchangeable working correlation and robust standard errors. Fixed effects included specialty (URPS reference), calendar year, specialty-by-year interaction, and a 2020 COVID indicator. We report adjusted rate ratios with 95% CIs. A negative-binomial mixed model with a random intercept for NPI produced concordant estimates.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market-share trends, we separately regressed each specialty’s annual percentage share on calendar year using ordinary least squares. We modeled URPS, urology, General OB/GYN, and the combined gynecologic share;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The observed count of reported services fell from 16,399 in 2013 to 12,223 in 2023 (-25.5%). Over the same period, however, the female Part B fee-for-service population contracted from 18.35 million to 15.65 million beneficiaries (-14.7%), reflecting migration into Medicare Advantage. After denominator adjustment, the utilization rate declined more modestly, from 89.4 to 78.1 services per 100,000 female Part B fee-for-service beneficiaries (-12.6%), and the linear trend in the rate was not statistically significant (-1.65 per 100,000 per year; p = 0.139). The rate reached a low of 52.4 per 100,000 in 2020, consistent with pandemic-related deferral of elective surgery, then partially recovered. The number of observable surgeons also fell, from 812 to 562. Thus, much of the apparent decline in service counts reflected the shrinking fee-for-service denominator rather than a clear fall in age-eligible utilization.</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Because total volume declined, these changes represent redistribution among specialties rather than procedure growth.</w:t>
      </w:r>
    </w:p>
    <w:p>
      <w:pPr>
        <w:pStyle w:val="BodyText"/>
      </w:pPr>
      <w:r>
        <w:t xml:space="preserve">The URPS increase was significant under every classification scheme, and the schemes bracketed its slope (Table 4). Fixed membership gave the shallower estimate because it counts physicians as URPS before certification: URPS share rose from 53.4% to 63.8% (+0.90 percentage points/year), and the gynecologic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adjusted annual volume was lower than URPS for every other group: urology RR 0.80 (0.70–0.92), General OB/GYN RR 0.68 (0.51–0.92), and MIGS RR 0.56 (0.40–0.79) (Table 3). Annual volume was approximately 11% lower in 2020 (RR 0.88 (0.85–0.92); p &lt; 0.001). There was no overall change in per-physician volume over time (year RR 1.00 (0.99–1.01); p = 0.516). The one-observation-per-physician secondary analysis was concordant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similar across the three well-populated groups, with overlapping confidence intervals: URPS Gini 0.52 (95% CI 0.50-0.54), urology Gini 0.53 (95% CI 0.51-0.55), and General OB/GYN Gini 0.56 (95% CI 0.52-0.60) (Table 2). The size-adjusted normalized HHI was near zero for every group (URPS 0.001, urology 0.002, General OB/GYN 0.006 on a 0–1 scale), and the effective number of providers was large (URPS 368, urology 282, General OB/GYN 112), indicating that sling volume was distributed across many surgeons rather than dominated by a few. Because the specialties differ several-fold in provider count, raw HHI is not directly comparable across them (Table 2). Adding hypothetical suppressed low-volume providers raised the Gini only modestly (Supplementary Table S9), so the low-concentration conclusion is robust to the unobserved tail. URPS had the highest median annual volume and upper quartile (median 19; p75 28).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48–168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(381–584 per year) performed most annual procedures, while apparent exits ranged from 66 to 230 per year.</w:t>
      </w:r>
    </w:p>
    <w:p>
      <w:pPr>
        <w:pStyle w:val="BodyText"/>
      </w:pPr>
      <w:r>
        <w:t xml:space="preserve">Across the study period, URPS contributed the most entrants (480), followed by urology (421), General OB/GYN (205),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sling operations for SUI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fee-for-service Medicare cohort, URPS physicians performed most sling operations for SUI and had the highest adjusted per-physician volume. Within-year surgeon-level concentration was low and stable and did not differ meaningfully across the well-populated specialties.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320"/>
        <w:gridCol w:w="858"/>
        <w:gridCol w:w="396"/>
        <w:gridCol w:w="1056"/>
        <w:gridCol w:w="1056"/>
        <w:gridCol w:w="1386"/>
        <w:gridCol w:w="924"/>
        <w:gridCol w:w="924"/>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0.001</w:t>
            </w:r>
          </w:p>
        </w:tc>
        <w:tc>
          <w:tcPr/>
          <w:p>
            <w:pPr>
              <w:pStyle w:val="Compact"/>
            </w:pPr>
            <w:r>
              <w:t xml:space="preserve">368</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0.002</w:t>
            </w:r>
          </w:p>
        </w:tc>
        <w:tc>
          <w:tcPr/>
          <w:p>
            <w:pPr>
              <w:pStyle w:val="Compact"/>
            </w:pPr>
            <w:r>
              <w:t xml:space="preserve">282</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sling volume from a Poisson GEE clustered by NPI (URPS reference; exchangeable correlation; robust standard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0.80 (0.70–0.92)</w:t>
            </w:r>
          </w:p>
        </w:tc>
        <w:tc>
          <w:tcPr/>
          <w:p>
            <w:pPr>
              <w:pStyle w:val="Compact"/>
            </w:pPr>
            <w:r>
              <w:t xml:space="preserve">0.001</w:t>
            </w:r>
          </w:p>
        </w:tc>
      </w:tr>
      <w:tr>
        <w:tc>
          <w:tcPr/>
          <w:p>
            <w:pPr>
              <w:pStyle w:val="Compact"/>
            </w:pPr>
            <w:r>
              <w:t xml:space="preserve">General OB/GYN (vs URPS)</w:t>
            </w:r>
          </w:p>
        </w:tc>
        <w:tc>
          <w:tcPr/>
          <w:p>
            <w:pPr>
              <w:pStyle w:val="Compact"/>
            </w:pPr>
            <w:r>
              <w:t xml:space="preserve">0.68 (0.51–0.92)</w:t>
            </w:r>
          </w:p>
        </w:tc>
        <w:tc>
          <w:tcPr/>
          <w:p>
            <w:pPr>
              <w:pStyle w:val="Compact"/>
            </w:pPr>
            <w:r>
              <w:t xml:space="preserve">0.011</w:t>
            </w:r>
          </w:p>
        </w:tc>
      </w:tr>
      <w:tr>
        <w:tc>
          <w:tcPr/>
          <w:p>
            <w:pPr>
              <w:pStyle w:val="Compact"/>
            </w:pPr>
            <w:r>
              <w:t xml:space="preserve">MIGS (vs URPS)</w:t>
            </w:r>
          </w:p>
        </w:tc>
        <w:tc>
          <w:tcPr/>
          <w:p>
            <w:pPr>
              <w:pStyle w:val="Compact"/>
            </w:pPr>
            <w:r>
              <w:t xml:space="preserve">0.56 (0.40–0.79)</w:t>
            </w:r>
          </w:p>
        </w:tc>
        <w:tc>
          <w:tcPr/>
          <w:p>
            <w:pPr>
              <w:pStyle w:val="Compact"/>
            </w:pPr>
            <w:r>
              <w:t xml:space="preserve">&lt;0.001</w:t>
            </w:r>
          </w:p>
        </w:tc>
      </w:tr>
      <w:tr>
        <w:tc>
          <w:tcPr/>
          <w:p>
            <w:pPr>
              <w:pStyle w:val="Compact"/>
            </w:pPr>
            <w:r>
              <w:t xml:space="preserve">Calendar year (per year)</w:t>
            </w:r>
          </w:p>
        </w:tc>
        <w:tc>
          <w:tcPr/>
          <w:p>
            <w:pPr>
              <w:pStyle w:val="Compact"/>
            </w:pPr>
            <w:r>
              <w:t xml:space="preserve">1.00 (0.99–1.01)</w:t>
            </w:r>
          </w:p>
        </w:tc>
        <w:tc>
          <w:tcPr/>
          <w:p>
            <w:pPr>
              <w:pStyle w:val="Compact"/>
            </w:pPr>
            <w:r>
              <w:t xml:space="preserve">0.516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bl>
    <w:p>
      <w:pPr>
        <w:pStyle w:val="BodyText"/>
      </w:pPr>
      <w:r>
        <w:rPr>
          <w:b/>
          <w:bCs/>
        </w:rPr>
        <w:t xml:space="preserve">Table 4.</w:t>
      </w:r>
      <w:r>
        <w:t xml:space="preserve"> </w:t>
      </w:r>
      <w:r>
        <w:t xml:space="preserve">URPS and gynecologic market-share trends under alternative classification schemes. The schemes bracket the rate of increase: fixed membership gives the shallower slope because it counts physicians as URPS before certification, and certification-gated classification gives the steeper slope because it removes not-yet-certified physicians from the early URPS count. The 2023 levels converge. All estimated trends are positive and statistically significant.</w:t>
      </w:r>
    </w:p>
    <w:tbl>
      <w:tblPr>
        <w:tblStyle w:val="Table"/>
        <w:tblW w:type="pct" w:w="5000"/>
        <w:tblLayout w:type="fixed"/>
        <w:tblLook w:firstRow="1" w:lastRow="0" w:firstColumn="0" w:lastColumn="0" w:noHBand="0" w:noVBand="0" w:val="0020"/>
      </w:tblPr>
      <w:tblGrid>
        <w:gridCol w:w="4670"/>
        <w:gridCol w:w="1286"/>
        <w:gridCol w:w="1150"/>
        <w:gridCol w:w="812"/>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gynecologic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combined-URPS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gynecologic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480; urology, 421; General OB/GYN, 205; MIGS, 8.</w:t>
      </w:r>
    </w:p>
    <w:p>
      <w:r>
        <w:pict>
          <v:rect style="width:0;height:1.5pt" o:hralign="center" o:hrstd="t" o:hr="t"/>
        </w:pict>
      </w:r>
    </w:p>
    <w:bookmarkEnd w:id="32"/>
    <w:bookmarkStart w:id="48" w:name="figures"/>
    <w:p>
      <w:pPr>
        <w:pStyle w:val="Heading2"/>
      </w:pPr>
      <w:r>
        <w:t xml:space="preserve">Figures</w:t>
      </w:r>
    </w:p>
    <w:p>
      <w:pPr>
        <w:pStyle w:val="FirstParagraph"/>
      </w:pPr>
      <w:r>
        <w:drawing>
          <wp:inline>
            <wp:extent cx="5334000" cy="3333750"/>
            <wp:effectExtent b="0" l="0" r="0" t="0"/>
            <wp:docPr descr="" title="" id="34" name="Picture"/>
            <a:graphic>
              <a:graphicData uri="http://schemas.openxmlformats.org/drawingml/2006/picture">
                <pic:pic>
                  <pic:nvPicPr>
                    <pic:cNvPr descr="/Users/tylermuffly/sling-volume-patterns/output/figures/figure_1_market_share.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Market share of sling operations for stress urinary incontinence (CPT 57288) by specialty, fee-for-service Medicare PUF 2013–2023. The URPS share increased under every classification scheme. Fixed membership (URPS share 53.4% to 63.8%; +0.90 percentage points/year) and certification-gated classification (URPS share 42.2% to 62.8%; +1.52 percentage points/year) bracket the rate of increase and converge by 2023.</w:t>
      </w:r>
    </w:p>
    <w:p>
      <w:pPr>
        <w:pStyle w:val="BodyText"/>
      </w:pPr>
      <w:r>
        <w:drawing>
          <wp:inline>
            <wp:extent cx="5334000" cy="3810000"/>
            <wp:effectExtent b="0" l="0" r="0" t="0"/>
            <wp:docPr descr="" title="" id="37" name="Picture"/>
            <a:graphic>
              <a:graphicData uri="http://schemas.openxmlformats.org/drawingml/2006/picture">
                <pic:pic>
                  <pic:nvPicPr>
                    <pic:cNvPr descr="/Users/tylermuffly/sling-volume-patterns/output/figures/figure_2_volume_distribution.png" id="38" name="Picture"/>
                    <pic:cNvPicPr>
                      <a:picLocks noChangeArrowheads="1" noChangeAspect="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0" name="Picture"/>
            <a:graphic>
              <a:graphicData uri="http://schemas.openxmlformats.org/drawingml/2006/picture">
                <pic:pic>
                  <pic:nvPicPr>
                    <pic:cNvPr descr="/Users/tylermuffly/sling-volume-patterns/output/figures/figure_3_lorenz_curve.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0.52) is closest to equality; MIGS (0.61) is farthest.</w:t>
      </w:r>
    </w:p>
    <w:p>
      <w:pPr>
        <w:pStyle w:val="BodyText"/>
      </w:pPr>
      <w:r>
        <w:drawing>
          <wp:inline>
            <wp:extent cx="5334000" cy="4148666"/>
            <wp:effectExtent b="0" l="0" r="0" t="0"/>
            <wp:docPr descr="" title="" id="43" name="Picture"/>
            <a:graphic>
              <a:graphicData uri="http://schemas.openxmlformats.org/drawingml/2006/picture">
                <pic:pic>
                  <pic:nvPicPr>
                    <pic:cNvPr descr="/Users/tylermuffly/sling-volume-patterns/output/figures/figure_4_concentration_trends.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46" name="Picture"/>
            <a:graphic>
              <a:graphicData uri="http://schemas.openxmlformats.org/drawingml/2006/picture">
                <pic:pic>
                  <pic:nvPicPr>
                    <pic:cNvPr descr="/Users/tylermuffly/sling-volume-patterns/output/figures/figure_5_supply_trends.png" id="47" name="Picture"/>
                    <pic:cNvPicPr>
                      <a:picLocks noChangeArrowheads="1" noChangeAspect="1"/>
                    </pic:cNvPicPr>
                  </pic:nvPicPr>
                  <pic:blipFill>
                    <a:blip r:embed="rId45"/>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p>
      <w:r>
        <w:pict>
          <v:rect style="width:0;height:1.5pt" o:hralign="center" o:hrstd="t" o:hr="t"/>
        </w:pict>
      </w:r>
    </w:p>
    <w:bookmarkEnd w:id="48"/>
    <w:bookmarkStart w:id="49"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URPS and gynecologic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Cross-sectional versus multi-year Gini coefficients (concentration sensitivity), showing that pooling years increases apparent concentration relative to any single year.</w:t>
      </w:r>
    </w:p>
    <w:tbl>
      <w:tblPr>
        <w:tblStyle w:val="Table"/>
        <w:tblW w:type="pct" w:w="5000"/>
        <w:tblLayout w:type="fixed"/>
        <w:tblLook w:firstRow="1" w:lastRow="0" w:firstColumn="0" w:lastColumn="0" w:noHBand="0" w:noVBand="0" w:val="0020"/>
      </w:tblPr>
      <w:tblGrid>
        <w:gridCol w:w="1146"/>
        <w:gridCol w:w="1771"/>
        <w:gridCol w:w="1354"/>
        <w:gridCol w:w="1875"/>
        <w:gridCol w:w="1771"/>
      </w:tblGrid>
      <w:tr>
        <w:trPr>
          <w:tblHeader w:val="on"/>
        </w:trPr>
        <w:tc>
          <w:tcPr/>
          <w:p>
            <w:pPr>
              <w:pStyle w:val="Compact"/>
            </w:pPr>
            <w:r>
              <w:t xml:space="preserve">Specialty</w:t>
            </w:r>
          </w:p>
        </w:tc>
        <w:tc>
          <w:tcPr/>
          <w:p>
            <w:pPr>
              <w:pStyle w:val="Compact"/>
            </w:pPr>
            <w:r>
              <w:t xml:space="preserve">Year mode</w:t>
            </w:r>
          </w:p>
        </w:tc>
        <w:tc>
          <w:tcPr/>
          <w:p>
            <w:pPr>
              <w:pStyle w:val="Compact"/>
            </w:pPr>
            <w:r>
              <w:t xml:space="preserve">N providers</w:t>
            </w:r>
          </w:p>
        </w:tc>
        <w:tc>
          <w:tcPr/>
          <w:p>
            <w:pPr>
              <w:pStyle w:val="Compact"/>
            </w:pPr>
            <w:r>
              <w:t xml:space="preserve">Gini coefficient</w:t>
            </w:r>
          </w:p>
        </w:tc>
        <w:tc>
          <w:tcPr/>
          <w:p>
            <w:pPr>
              <w:pStyle w:val="Compact"/>
            </w:pPr>
            <w:r>
              <w:t xml:space="preserve">% of all slings</w:t>
            </w:r>
          </w:p>
        </w:tc>
      </w:tr>
      <w:tr>
        <w:tc>
          <w:tcPr/>
          <w:p>
            <w:pPr>
              <w:pStyle w:val="Compact"/>
            </w:pPr>
            <w:r>
              <w:t xml:space="preserve">OB/GYN</w:t>
            </w:r>
          </w:p>
        </w:tc>
        <w:tc>
          <w:tcPr/>
          <w:p>
            <w:pPr>
              <w:pStyle w:val="Compact"/>
            </w:pPr>
            <w:r>
              <w:t xml:space="preserve">cross_sectional</w:t>
            </w:r>
          </w:p>
        </w:tc>
        <w:tc>
          <w:tcPr/>
          <w:p>
            <w:pPr>
              <w:pStyle w:val="Compact"/>
            </w:pPr>
            <w:r>
              <w:t xml:space="preserve">373</w:t>
            </w:r>
          </w:p>
        </w:tc>
        <w:tc>
          <w:tcPr/>
          <w:p>
            <w:pPr>
              <w:pStyle w:val="Compact"/>
            </w:pPr>
            <w:r>
              <w:t xml:space="preserve">0.275</w:t>
            </w:r>
          </w:p>
        </w:tc>
        <w:tc>
          <w:tcPr/>
          <w:p>
            <w:pPr>
              <w:pStyle w:val="Compact"/>
            </w:pPr>
            <w:r>
              <w:t xml:space="preserve">82.6%</w:t>
            </w:r>
          </w:p>
        </w:tc>
      </w:tr>
      <w:tr>
        <w:tc>
          <w:tcPr/>
          <w:p>
            <w:pPr>
              <w:pStyle w:val="Compact"/>
            </w:pPr>
            <w:r>
              <w:t xml:space="preserve">Urology</w:t>
            </w:r>
          </w:p>
        </w:tc>
        <w:tc>
          <w:tcPr/>
          <w:p>
            <w:pPr>
              <w:pStyle w:val="Compact"/>
            </w:pPr>
            <w:r>
              <w:t xml:space="preserve">cross_sectional</w:t>
            </w:r>
          </w:p>
        </w:tc>
        <w:tc>
          <w:tcPr/>
          <w:p>
            <w:pPr>
              <w:pStyle w:val="Compact"/>
            </w:pPr>
            <w:r>
              <w:t xml:space="preserve">93</w:t>
            </w:r>
          </w:p>
        </w:tc>
        <w:tc>
          <w:tcPr/>
          <w:p>
            <w:pPr>
              <w:pStyle w:val="Compact"/>
            </w:pPr>
            <w:r>
              <w:t xml:space="preserve">0.233</w:t>
            </w:r>
          </w:p>
        </w:tc>
        <w:tc>
          <w:tcPr/>
          <w:p>
            <w:pPr>
              <w:pStyle w:val="Compact"/>
            </w:pPr>
            <w:r>
              <w:t xml:space="preserve">17.4%</w:t>
            </w:r>
          </w:p>
        </w:tc>
      </w:tr>
      <w:tr>
        <w:tc>
          <w:tcPr/>
          <w:p>
            <w:pPr>
              <w:pStyle w:val="Compact"/>
            </w:pPr>
            <w:r>
              <w:t xml:space="preserve">OB/GYN</w:t>
            </w:r>
          </w:p>
        </w:tc>
        <w:tc>
          <w:tcPr/>
          <w:p>
            <w:pPr>
              <w:pStyle w:val="Compact"/>
            </w:pPr>
            <w:r>
              <w:t xml:space="preserve">multi_year</w:t>
            </w:r>
          </w:p>
        </w:tc>
        <w:tc>
          <w:tcPr/>
          <w:p>
            <w:pPr>
              <w:pStyle w:val="Compact"/>
            </w:pPr>
            <w:r>
              <w:t xml:space="preserve">964</w:t>
            </w:r>
          </w:p>
        </w:tc>
        <w:tc>
          <w:tcPr/>
          <w:p>
            <w:pPr>
              <w:pStyle w:val="Compact"/>
            </w:pPr>
            <w:r>
              <w:t xml:space="preserve">0.281</w:t>
            </w:r>
          </w:p>
        </w:tc>
        <w:tc>
          <w:tcPr/>
          <w:p>
            <w:pPr>
              <w:pStyle w:val="Compact"/>
            </w:pPr>
            <w:r>
              <w:t xml:space="preserve">74.8%</w:t>
            </w:r>
          </w:p>
        </w:tc>
      </w:tr>
      <w:tr>
        <w:tc>
          <w:tcPr/>
          <w:p>
            <w:pPr>
              <w:pStyle w:val="Compact"/>
            </w:pPr>
            <w:r>
              <w:t xml:space="preserve">Urology</w:t>
            </w:r>
          </w:p>
        </w:tc>
        <w:tc>
          <w:tcPr/>
          <w:p>
            <w:pPr>
              <w:pStyle w:val="Compact"/>
            </w:pPr>
            <w:r>
              <w:t xml:space="preserve">multi_year</w:t>
            </w:r>
          </w:p>
        </w:tc>
        <w:tc>
          <w:tcPr/>
          <w:p>
            <w:pPr>
              <w:pStyle w:val="Compact"/>
            </w:pPr>
            <w:r>
              <w:t xml:space="preserve">517</w:t>
            </w:r>
          </w:p>
        </w:tc>
        <w:tc>
          <w:tcPr/>
          <w:p>
            <w:pPr>
              <w:pStyle w:val="Compact"/>
            </w:pPr>
            <w:r>
              <w:t xml:space="preserve">0.225</w:t>
            </w:r>
          </w:p>
        </w:tc>
        <w:tc>
          <w:tcPr/>
          <w:p>
            <w:pPr>
              <w:pStyle w:val="Compact"/>
            </w:pPr>
            <w:r>
              <w:t xml:space="preserve">25.2%</w:t>
            </w:r>
          </w:p>
        </w:tc>
      </w:tr>
    </w:tbl>
    <w:p>
      <w:pPr>
        <w:pStyle w:val="BodyText"/>
      </w:pPr>
      <w:r>
        <w:rPr>
          <w:b/>
          <w:bCs/>
        </w:rPr>
        <w:t xml:space="preserve">Supplementary Table S9.</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389"/>
        <w:gridCol w:w="1042"/>
        <w:gridCol w:w="1528"/>
        <w:gridCol w:w="1528"/>
        <w:gridCol w:w="972"/>
        <w:gridCol w:w="1458"/>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w:t>
            </w:r>
          </w:p>
        </w:tc>
        <w:tc>
          <w:tcPr/>
          <w:p>
            <w:pPr>
              <w:pStyle w:val="Compact"/>
            </w:pPr>
            <w:r>
              <w:t xml:space="preserve">0.52</w:t>
            </w:r>
          </w:p>
        </w:tc>
        <w:tc>
          <w:tcPr/>
          <w:p>
            <w:pPr>
              <w:pStyle w:val="Compact"/>
            </w:pPr>
            <w:r>
              <w:t xml:space="preserve">0.60</w:t>
            </w:r>
          </w:p>
        </w:tc>
        <w:tc>
          <w:tcPr/>
          <w:p>
            <w:pPr>
              <w:pStyle w:val="Compact"/>
            </w:pPr>
            <w:r>
              <w:t xml:space="preserve">0.65</w:t>
            </w:r>
          </w:p>
        </w:tc>
        <w:tc>
          <w:tcPr/>
          <w:p>
            <w:pPr>
              <w:pStyle w:val="Compact"/>
            </w:pPr>
            <w:r>
              <w:t xml:space="preserve">27</w:t>
            </w:r>
          </w:p>
        </w:tc>
        <w:tc>
          <w:tcPr/>
          <w:p>
            <w:pPr>
              <w:pStyle w:val="Compact"/>
            </w:pPr>
            <w:r>
              <w:t xml:space="preserve">26</w:t>
            </w:r>
          </w:p>
        </w:tc>
      </w:tr>
      <w:tr>
        <w:tc>
          <w:tcPr/>
          <w:p>
            <w:pPr>
              <w:pStyle w:val="Compact"/>
            </w:pPr>
            <w:r>
              <w:t xml:space="preserve">Urology (non-URPS)</w:t>
            </w:r>
          </w:p>
        </w:tc>
        <w:tc>
          <w:tcPr/>
          <w:p>
            <w:pPr>
              <w:pStyle w:val="Compact"/>
            </w:pPr>
            <w:r>
              <w:t xml:space="preserve">0.53</w:t>
            </w:r>
          </w:p>
        </w:tc>
        <w:tc>
          <w:tcPr/>
          <w:p>
            <w:pPr>
              <w:pStyle w:val="Compact"/>
            </w:pPr>
            <w:r>
              <w:t xml:space="preserve">0.59</w:t>
            </w:r>
          </w:p>
        </w:tc>
        <w:tc>
          <w:tcPr/>
          <w:p>
            <w:pPr>
              <w:pStyle w:val="Compact"/>
            </w:pPr>
            <w:r>
              <w:t xml:space="preserve">0.63</w:t>
            </w:r>
          </w:p>
        </w:tc>
        <w:tc>
          <w:tcPr/>
          <w:p>
            <w:pPr>
              <w:pStyle w:val="Compact"/>
            </w:pPr>
            <w:r>
              <w:t xml:space="preserve">35</w:t>
            </w:r>
          </w:p>
        </w:tc>
        <w:tc>
          <w:tcPr/>
          <w:p>
            <w:pPr>
              <w:pStyle w:val="Compact"/>
            </w:pPr>
            <w:r>
              <w:t xml:space="preserve">32</w:t>
            </w:r>
          </w:p>
        </w:tc>
      </w:tr>
      <w:tr>
        <w:tc>
          <w:tcPr/>
          <w:p>
            <w:pPr>
              <w:pStyle w:val="Compact"/>
            </w:pPr>
            <w:r>
              <w:t xml:space="preserve">General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2026-07-22T19:19:52Z</dcterms:created>
  <dcterms:modified xsi:type="dcterms:W3CDTF">2026-07-22T19:19:52Z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