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reflects the revised analysis:</w:t>
      </w:r>
      <w:r>
        <w:t xml:space="preserve"> </w:t>
      </w:r>
      <w:r>
        <w:t xml:space="preserve">(1) URPS combines both training pathways — ABOG (OB/GYN) urogynecologists and</w:t>
      </w:r>
      <w:r>
        <w:t xml:space="preserve"> </w:t>
      </w:r>
      <w:r>
        <w:t xml:space="preserve">ABU (urology) urogynecologists cross-referenced from the American Board of</w:t>
      </w:r>
      <w:r>
        <w:t xml:space="preserve"> </w:t>
      </w:r>
      <w:r>
        <w:t xml:space="preserve">Urology roster; (2) calendar year 2017 is excluded as a truncated PUF release;</w:t>
      </w:r>
      <w:r>
        <w:t xml:space="preserve"> </w:t>
      </w:r>
      <w:r>
        <w:t xml:space="preserve">(3) concentration is reported with both the Gini coefficient and the</w:t>
      </w:r>
      <w:r>
        <w:t xml:space="preserve"> </w:t>
      </w:r>
      <w:r>
        <w:t xml:space="preserve">Herfindahl–Hirschman Index (HHI) at the surgeon level; (4) volume differences</w:t>
      </w:r>
      <w:r>
        <w:t xml:space="preserve"> </w:t>
      </w:r>
      <w:r>
        <w:t xml:space="preserve">are tested with a repeated-measures model accounting for physicians who recur</w:t>
      </w:r>
      <w:r>
        <w:t xml:space="preserve"> </w:t>
      </w:r>
      <w:r>
        <w:t xml:space="preserve">across years; and (5) the specialty-classification choice is examined in a</w:t>
      </w:r>
      <w:r>
        <w:t xml:space="preserve"> </w:t>
      </w:r>
      <w:r>
        <w:t xml:space="preserve">sensitivity analysis. Numbers therefore differ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excluding 2017 as a truncated release). Providers billing CPT 57288 were classified as Urogynecology and Reconstructive Pelvic Surgery (URPS), Minimally Invasive Gynecologic Surgery (MIGS), General OB/GYN, or urology using CMS provider type cross-referenced with the ABOG (OB/GYN pathway) and ABU (urology pathway) subspecialty rosters. Procedural concentration was quantified at the surgeon level using the Gini coefficient and the Herfindahl–Hirschman Index (HHI), overall and per calendar year. Because each physician contributes repeated annual observations, volume differences were modeled with a Poisson generalized estimating equation (GEE) clustered by NPI (adjusted rate ratios, 95% CIs), with a per-physician Kruskal-Wallis secondary analysis. The market-share trend was reported under multiple classification schemes that bracket the truth: fixed-membership (each physician’s eventual subspecialty applied to all years; a lower bound) and time-varying certification-gated (URPS/MIGS only from the ABOG subspecialty certification year; an upper bound, since certification lags practice onset), with modal and ever-URPS/MIGS as additional sensitivity analyses.</w:t>
      </w:r>
    </w:p>
    <w:p>
      <w:pPr>
        <w:pStyle w:val="BodyText"/>
      </w:pPr>
      <w:r>
        <w:rPr>
          <w:b/>
          <w:bCs/>
        </w:rPr>
        <w:t xml:space="preserve">Results:</w:t>
      </w:r>
      <w:r>
        <w:t xml:space="preserve"> </w:t>
      </w:r>
      <w:r>
        <w:t xml:space="preserve">A total of 1,758 unique providers billed CPT 57288, accounting for 131,637 procedures. URPS physicians represented the largest group — 753 providers, 80,033 procedures (60.8%), median 19 procedures/year (IQR 14–29). Urology accounted for 665 providers (34,351 procedures; 26.1%; median 16), General OB/GYN for 330 (16,391; 12.5%; median 15), and MIGS for 10 (862; 0.7%; median 16). In a Poisson GEE clustered by NPI, adjusted annual volume was significantly lower than URPS for every group — Urology (rate ratio 0.82, 95% CI 0.70–0.95), General OB/GYN (0.67, 0.50–0.90), and MIGS (0.56, 0.40–0.76) — with a ~11% decline in 2020 (RR 0.89, 0.85–0.92, p &lt; 0.001) and no overall per-physician time trend (RR 1.00, p = 0.52). Pooled multi-year concentration was lowest for URPS (Gini 0.51, HHI 27; top 20% performed 53.4%) and highest for MIGS (Gini 0.60, HHI 2,919; 68.2%); within-year concentration was low and stable (annual Gini ≈ 0.27; no trend, p = 0.82). Modeled by specialty, URPS share rose (+0.90 pp/year, p &lt; 0.001) while urology (−0.55, p = 0.004) and General OB/GYN (−0.42, p = 0.006) declined; the combined URPS increase was significant under every classification scheme, bracketed by fixed-membership classification (lower bound: gynecologic share 60.8% → 70.1%, +0.84 pp/year) and time-varying certification-gated classification (upper bound, as certification lags practice onset: URPS share 46.3% → 74.2%, +2.28 pp/year). Newly observable entrant surgeons (absent the prior two observable years) performed 7–23% of annual volume at low median volume (~13); URPS contributed the most entrants (440 over the period) while urology showed substantial churn (373 entrants despite a declining share).</w:t>
      </w:r>
    </w:p>
    <w:p>
      <w:pPr>
        <w:pStyle w:val="BodyText"/>
      </w:pPr>
      <w:r>
        <w:rPr>
          <w:b/>
          <w:bCs/>
        </w:rPr>
        <w:t xml:space="preserve">Conclusions:</w:t>
      </w:r>
      <w:r>
        <w:t xml:space="preserve"> </w:t>
      </w:r>
      <w:r>
        <w:t xml:space="preserve">URPS physicians perform the majority of midurethral sling procedures in Medicare, with significantly higher adjusted per-physician volume and the most equitable within-group distribution. The rising gynecologic market share reflects attrition of non-URPS providers rather than a more concentrated surgeon pool, with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slings—and how procedure volume is distributed within each specialty—has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3,4</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Surgery—recently renamed Urogynecology and Reconstructive Pelvic Surgery (URPS)—has grown substantially since achieving American Board of Medical Specialties (ABMS) recognition in 2013,</w:t>
      </w:r>
      <w:r>
        <w:rPr>
          <w:vertAlign w:val="superscript"/>
        </w:rPr>
        <w:t xml:space="preserve">5</w:t>
      </w:r>
      <w:r>
        <w:t xml:space="preserve"> </w:t>
      </w:r>
      <w:r>
        <w:t xml:space="preserve">and is certifiable through both obstetrics-gynecology (ABOG) and urology (ABU) training pathways. Second, the US Food and Drug Administration’s reclassification of urogynecologic surgical mesh as a Class III device in 2016 and subsequent market withdrawal orders may have shifted the procedural landscape.</w:t>
      </w:r>
      <w:r>
        <w:rPr>
          <w:vertAlign w:val="superscript"/>
        </w:rPr>
        <w:t xml:space="preserve">6</w:t>
      </w:r>
      <w:r>
        <w:t xml:space="preserve"> </w:t>
      </w:r>
      <w:r>
        <w:t xml:space="preserve">Third, there is growing interest in procedural concentration—the degree to which a small number of providers account for a disproportionate share of procedures—as a metric relevant to quality improvement and resource allocation.</w:t>
      </w:r>
      <w:r>
        <w:rPr>
          <w:vertAlign w:val="superscript"/>
        </w:rPr>
        <w:t xml:space="preserve">7</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and to assess time trends in the gynecologic share of sling procedures.</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p>
      <w:pPr>
        <w:pStyle w:val="BodyText"/>
      </w:pPr>
      <w:r>
        <w:t xml:space="preserve">The 2017 file was excluded from all analyses as a truncated release: it is roughly half the size of adjacent-year files (1.5 GB vs ~2.7 GB) and contains only 376 sling provider-year records versus ~660–810 in neighboring years, producing an artifactual dip that would bias temporal trends.</w:t>
      </w:r>
    </w:p>
    <w:bookmarkEnd w:id="11"/>
    <w:bookmarkStart w:id="12" w:name="specialty-classification"/>
    <w:p>
      <w:pPr>
        <w:pStyle w:val="Heading3"/>
      </w:pPr>
      <w:r>
        <w:t xml:space="preserve">Specialty Classification</w:t>
      </w:r>
    </w:p>
    <w:p>
      <w:pPr>
        <w:pStyle w:val="FirstParagraph"/>
      </w:pPr>
      <w:r>
        <w:t xml:space="preserve">Providers were classified into four mutually exclusive groups. CMS-reported provider type (Rndrng_Prvdr_Type, which can vary by year) established a baseline of OB/GYN, urology, or other; providers billing CPT 57288 with a non-OB/GYN, non-urology CMS type not found in the ABOG registry were reclassified as urology. OB/GYN providers were then subdivided using the ABOG subspecialty registry:</w:t>
      </w:r>
      <w:r>
        <w:t xml:space="preserve"> </w:t>
      </w:r>
      <w:r>
        <w:t xml:space="preserve">“Female Pelvic Medicine and Reconstructive Surgery”</w:t>
      </w:r>
      <w:r>
        <w:t xml:space="preserve"> </w:t>
      </w:r>
      <w:r>
        <w:t xml:space="preserve">→ URPS,</w:t>
      </w:r>
      <w:r>
        <w:t xml:space="preserve"> </w:t>
      </w:r>
      <w:r>
        <w:t xml:space="preserve">“MIG”</w:t>
      </w:r>
      <w:r>
        <w:t xml:space="preserve"> </w:t>
      </w:r>
      <w:r>
        <w:t xml:space="preserve">→ MIGS, all others → General OB/GYN. Finally, urology-pathway urogynecologists were identified from the American Board of Urology (ABU) roster and folded into a single combined URPS group, leaving urology as non-URPS urology; without this step these fellowship-trained urogynecologists appear only as</w:t>
      </w:r>
      <w:r>
        <w:t xml:space="preserve"> </w:t>
      </w:r>
      <w:r>
        <w:t xml:space="preserve">“Urology”</w:t>
      </w:r>
      <w:r>
        <w:t xml:space="preserve"> </w:t>
      </w:r>
      <w:r>
        <w:t xml:space="preserve">in the PUF. Records from non-OB/GYN, non-urology surgical types too heterogeneous to interpret were excluded.</w:t>
      </w:r>
    </w:p>
    <w:p>
      <w:pPr>
        <w:pStyle w:val="BodyText"/>
      </w:pPr>
      <w:r>
        <w:t xml:space="preserve">Because the primary conclusion concerns changes in specialty market share, and because 45% of URPS physicians in this cohort were certified after 2013, we bounded the market-share trend with two classification schemes.</w:t>
      </w:r>
      <w:r>
        <w:t xml:space="preserve"> </w:t>
      </w:r>
      <w:r>
        <w:rPr>
          <w:b/>
          <w:bCs/>
        </w:rPr>
        <w:t xml:space="preserve">Fixed-membership</w:t>
      </w:r>
      <w:r>
        <w:t xml:space="preserve"> </w:t>
      </w:r>
      <w:r>
        <w:t xml:space="preserve">classification assigns each physician’s eventual subspecialty to all study years; because it treats not-yet-certified physicians as already URPS, it is a lower bound on the rate of increase.</w:t>
      </w:r>
      <w:r>
        <w:t xml:space="preserve"> </w:t>
      </w:r>
      <w:r>
        <w:rPr>
          <w:b/>
          <w:bCs/>
        </w:rPr>
        <w:t xml:space="preserve">Time-varying, certification-gated</w:t>
      </w:r>
      <w:r>
        <w:t xml:space="preserve"> </w:t>
      </w:r>
      <w:r>
        <w:t xml:space="preserve">classification counts a physician as URPS or MIGS only from their ABOG subspecialty certification year onward (from</w:t>
      </w:r>
      <w:r>
        <w:t xml:space="preserve"> </w:t>
      </w:r>
      <w:r>
        <w:rPr>
          <w:rStyle w:val="VerbatimChar"/>
        </w:rPr>
        <w:t xml:space="preserve">sub1startdate</w:t>
      </w:r>
      <w:r>
        <w:t xml:space="preserve">, which ranges 2013–2024 and is distinct from the initial OB/GYN board date), and classifies earlier years by that year’s CMS provider type; because board certification lags the start of subspecialty practice — the 2013 examination certified physicians already practicing urogynecology, and later diplomates practiced before boarding — it misattributes pre-certification practice years and is an upper bound. Modal and ever-URPS/MIGS schemes were additional sensitivity analyses. Urology-pathway URPS were held fixed in all schemes as no urology-subspecialty certification date was available. The whole-period cross-sectional distribution, concentration, and volume analyses (Tables 1–3) assign each physician their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All providers in our dataset therefore performed at least 11 midurethral slings per year; the true number of low-volume providers is unknowable. This left-truncation means the concentration metrics reported here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midurethral sling count per provider. Procedural concentration was quantified with two complementary</w:t>
      </w:r>
      <w:r>
        <w:t xml:space="preserve"> </w:t>
      </w:r>
      <w:r>
        <w:rPr>
          <w:b/>
          <w:bCs/>
        </w:rPr>
        <w:t xml:space="preserve">surgeon-level</w:t>
      </w:r>
      <w:r>
        <w:t xml:space="preserve"> </w:t>
      </w:r>
      <w:r>
        <w:t xml:space="preserve">measures — the Gini coefficient (inequality across the whole surgeon-volume distribution) and the Herfindahl–Hirschman Index (HHI, sum of squared per-surgeon shares on a 0–10,000 scale, driven especially by the largest-volume surgeons) — computed on aggregate provider totals and separately for each calendar year. Each physician is the operative production unit; this is surgeon-level procedural concentration and not the antitrust use of HHI for hospital/health-system market competition, so values are not comparable to FTC/DOJ thresholds.</w:t>
      </w:r>
    </w:p>
    <w:p>
      <w:pPr>
        <w:pStyle w:val="BodyText"/>
      </w:pPr>
      <w:r>
        <w:t xml:space="preserve">Because each physician contributes up to ten annual observations, provider-year records are not independent, and rank tests over them are descriptive only. We therefore modeled the annual count with a Poisson generalized estimating equation (GEE) clustered by NPI (exchangeable working correlation, robust standard errors), with fixed effects for specialty (reference URPS), calendar year, specialty × year, and a 2020 (COVID) indicator, reporting adjusted rate ratios with 95% CIs; a negative-binomial mixed model with a random intercept per NPI gave concordant estimates. As a secondary analysis restoring independence, we compared one value per physician (each physician’s median annual volume) across specialties by Kruskal-Wallis and Bonferroni-adjusted pairwise Wilcoxon tests.</w:t>
      </w:r>
    </w:p>
    <w:p>
      <w:pPr>
        <w:pStyle w:val="BodyText"/>
      </w:pPr>
      <w:r>
        <w:t xml:space="preserve">We modeled each specialty’s annual market share separately by ordinary least-squares regression of its annual percentage share on calendar year (URPS, urology, and General OB/GYN; MIGS descriptively given n = 10), in addition to the combined gynecologic share.</w:t>
      </w:r>
    </w:p>
    <w:p>
      <w:pPr>
        <w:pStyle w:val="BodyText"/>
      </w:pPr>
      <w:r>
        <w:t xml:space="preserve">To characterize workforce turnover, we classified each observable surgeon in each year, using a two-year washout, as an</w:t>
      </w:r>
      <w:r>
        <w:t xml:space="preserve"> </w:t>
      </w:r>
      <w:r>
        <w:rPr>
          <w:b/>
          <w:bCs/>
        </w:rPr>
        <w:t xml:space="preserve">entrant</w:t>
      </w:r>
      <w:r>
        <w:t xml:space="preserve"> </w:t>
      </w:r>
      <w:r>
        <w:t xml:space="preserve">(observable that year but absent in both of the two prior observable years),</w:t>
      </w:r>
      <w:r>
        <w:t xml:space="preserve"> </w:t>
      </w:r>
      <w:r>
        <w:rPr>
          <w:b/>
          <w:bCs/>
        </w:rPr>
        <w:t xml:space="preserve">continuing</w:t>
      </w:r>
      <w:r>
        <w:t xml:space="preserve"> </w:t>
      </w:r>
      <w:r>
        <w:t xml:space="preserve">(observable and not an entrant), or apparently</w:t>
      </w:r>
      <w:r>
        <w:t xml:space="preserve"> </w:t>
      </w:r>
      <w:r>
        <w:rPr>
          <w:b/>
          <w:bCs/>
        </w:rPr>
        <w:t xml:space="preserve">exiting</w:t>
      </w:r>
      <w:r>
        <w:t xml:space="preserve"> </w:t>
      </w:r>
      <w:r>
        <w:t xml:space="preserve">(observable that year but absent in both of the two subsequent observable years), and computed the entrant share of annual volume, median entrant volume, and entrants by specialty. Because CMS suppression removes providers below 11 beneficiaries, we describe these as</w:t>
      </w:r>
      <w:r>
        <w:t xml:space="preserve"> </w:t>
      </w:r>
      <w:r>
        <w:rPr>
          <w:i/>
          <w:iCs/>
        </w:rPr>
        <w:t xml:space="preserve">newly observable</w:t>
      </w:r>
      <w:r>
        <w:t xml:space="preserve"> </w:t>
      </w:r>
      <w:r>
        <w:t xml:space="preserve">surgeons rather than definitively new sling surgeons.</w:t>
      </w:r>
    </w:p>
    <w:p>
      <w:pPr>
        <w:pStyle w:val="BodyText"/>
      </w:pPr>
      <w:r>
        <w:t xml:space="preserve">As a restrained secondary geographic analysis, we tabulated observable surgeons and the URPS share by provider practice state and identified states with no observable URPS surgeon performing at least 11 Medicare slings in any year. Population-based rates (surgeons and procedures per female Medicare beneficiary) were not computed, as fee-for-service denominators with Medicare Advantage adjustment were outside the scope of this analysis.</w:t>
      </w:r>
    </w:p>
    <w:p>
      <w:pPr>
        <w:pStyle w:val="BodyText"/>
      </w:pPr>
      <w:r>
        <w:t xml:space="preserve">All analyses were performed in R 4.4 with package versions locked via renv. The complete pipeline is available at https://github.com/mufflyt/sling-volume-patterns.</w:t>
      </w:r>
    </w:p>
    <w:bookmarkEnd w:id="14"/>
    <w:bookmarkEnd w:id="15"/>
    <w:bookmarkStart w:id="23" w:name="results"/>
    <w:p>
      <w:pPr>
        <w:pStyle w:val="Heading2"/>
      </w:pPr>
      <w:r>
        <w:t xml:space="preserve">Results</w:t>
      </w:r>
    </w:p>
    <w:bookmarkStart w:id="16" w:name="Xc2685c1375e56a1d31be535e5764271ac6e18ed"/>
    <w:p>
      <w:pPr>
        <w:pStyle w:val="Heading3"/>
      </w:pPr>
      <w:r>
        <w:t xml:space="preserve">Overall Volume and Specialty Distribution</w:t>
      </w:r>
    </w:p>
    <w:p>
      <w:pPr>
        <w:pStyle w:val="FirstParagraph"/>
      </w:pPr>
      <w:r>
        <w:t xml:space="preserve">A total of 1,758 unique providers billed CPT 57288, accounting for 131,637 procedures (Table 1). URPS physicians constituted the largest group — 753 providers, 80,033 procedures (60.8%) — followed by non-URPS urology (665 providers; 34,351; 26.1%), General OB/GYN (330; 16,391; 12.5%), and MIGS (10; 862; 0.7%). Folding urology-pathway urogynecologists into URPS moved 150 providers (11,503 procedures) from urology to URPS relative to an ABOG-only classification.</w:t>
      </w:r>
    </w:p>
    <w:bookmarkEnd w:id="16"/>
    <w:bookmarkStart w:id="17" w:name="procedure-volume-by-specialty"/>
    <w:p>
      <w:pPr>
        <w:pStyle w:val="Heading3"/>
      </w:pPr>
      <w:r>
        <w:t xml:space="preserve">Procedure Volume by Specialty</w:t>
      </w:r>
    </w:p>
    <w:p>
      <w:pPr>
        <w:pStyle w:val="FirstParagraph"/>
      </w:pPr>
      <w:r>
        <w:t xml:space="preserve">URPS providers had the highest median annual volume at 19 procedures/year (IQR 14–29), versus 16 for urology, 15 for General OB/GYN, and 16 for MIGS. In the Poisson GEE clustered by NPI, adjusted annual volume relative to URPS was significantly lower for every other group: urology rate ratio (RR) 0.82 (95% CI 0.70–0.95, p = 0.008), General OB/GYN 0.67 (0.50–0.90, p = 0.008), and MIGS 0.56 (0.40–0.76, p &lt; 0.001) (Table 3). Volume dropped ~11% in 2020 (RR 0.89, 0.85–0.92, p &lt; 0.001), consistent with the COVID-19 pandemic, and there was no overall linear per-physician time trend (year RR 1.00, 0.99–1.00, p = 0.52). The secondary one-value-per-physician analysis agreed (Kruskal-Wallis H = 66.1, df = 3, p &lt; 0.001; URPS significantly exceeded urology and General OB/GYN, pairwise p &lt; 0.001; URPS vs MIGS not significant, n = 10).</w:t>
      </w:r>
    </w:p>
    <w:bookmarkEnd w:id="17"/>
    <w:bookmarkStart w:id="18" w:name="procedural-concentration"/>
    <w:p>
      <w:pPr>
        <w:pStyle w:val="Heading3"/>
      </w:pPr>
      <w:r>
        <w:t xml:space="preserve">Procedural Concentration</w:t>
      </w:r>
    </w:p>
    <w:p>
      <w:pPr>
        <w:pStyle w:val="FirstParagraph"/>
      </w:pPr>
      <w:r>
        <w:t xml:space="preserve">Pooled multi-year concentration was lowest for URPS (Gini 0.51, HHI 27; top 20% performed 53.4%) and rose through urology (Gini 0.52, HHI 35; 57.5%), General OB/GYN (Gini 0.55, HHI 89; 60.8%), and MIGS (Gini 0.60, HHI 2,919; 68.2%) (Table 2). Gini and HHI ranked the specialties identically, but for the three main groups HHI was very low in absolute terms (27–89 of 10,000): sling volume is spread unevenly across many surgeons rather than dominated by a few. The high MIGS HHI reflects its 10 providers and should not be over-interpreted. Computed separately for each year, within-year concentration was modest and stable across the study period (pooled annual Gini 0.26–0.28; no trend, slope ≈ 0.000/year, p = 0.82), indicating that midurethral sling care did not become concentrated among a shrinking set of high-volume surgeons even as the workforce contracted.</w:t>
      </w:r>
    </w:p>
    <w:bookmarkEnd w:id="18"/>
    <w:bookmarkStart w:id="19" w:name="time-trends-in-market-share"/>
    <w:p>
      <w:pPr>
        <w:pStyle w:val="Heading3"/>
      </w:pPr>
      <w:r>
        <w:t xml:space="preserve">Time Trends in Market Share</w:t>
      </w:r>
    </w:p>
    <w:p>
      <w:pPr>
        <w:pStyle w:val="FirstParagraph"/>
      </w:pPr>
      <w:r>
        <w:t xml:space="preserve">The URPS market share of sling procedures rose significantly regardless of classification, and two schemes bracket the true trend. Fixed-membership classification, which assigns each physician’s eventual subspecialty to all study years, is a lower bound: the combined-URPS share rose 53.4% → 63.8% (+0.90 pp/year) and the gynecologic share 60.8% → 70.1% (+0.84 pp/year), with the URPS-share slope +0.90 to +0.98 pp/year across the fixed, modal, and ever-URPS/MIGS schemes (all p ≤ 0.001). Time-varying, certification-gated classification — counting physicians as URPS only from their ABOG subspecialty certification year — is an upper bound: URPS share rose 46.3% → 74.2% (slope 2.28 pp/year; p &lt; 0.001) and the gynecologic slope 1.33 pp/year (p &lt; 0.001). The upper bound overstates the rise because board certification lags the start of subspecialty practice — the 2013 examination certified physicians who were already practicing urogynecology, and later diplomates likewise practiced before sitting for boards — so certified-only classification misattributes their pre-certification years to General OB/GYN or urology. The true increase in URPS market share therefore lies between roughly +0.9 and +2.3 percentage points per year and is significant under every specification. Non-URPS urology’s share fell correspondingly (30.7% → 23.1%, fixed classification).</w:t>
      </w:r>
    </w:p>
    <w:p>
      <w:pPr>
        <w:pStyle w:val="BodyText"/>
      </w:pPr>
      <w:r>
        <w:t xml:space="preserve">The number of observable surgeons fell over the period, driven by non-URPS providers: urology declined from 282 to 144 (−12.6/year, p = 0.002) and General OB/GYN from 142 to 76 (−6.9/year, p = 0.002), whereas the URPS surgeon count was statistically stable (385 to 338; −6.4/year, p = 0.10). Because per-physician volume showed no time trend, the rising URPS share reflects attrition of non-URPS providers rather than growth in the URPS workforce.</w:t>
      </w:r>
    </w:p>
    <w:bookmarkEnd w:id="19"/>
    <w:bookmarkStart w:id="20" w:name="specialty-specific-market-share-trends"/>
    <w:p>
      <w:pPr>
        <w:pStyle w:val="Heading3"/>
      </w:pPr>
      <w:r>
        <w:t xml:space="preserve">Specialty-Specific Market-Share Trends</w:t>
      </w:r>
    </w:p>
    <w:p>
      <w:pPr>
        <w:pStyle w:val="FirstParagraph"/>
      </w:pPr>
      <w:r>
        <w:t xml:space="preserve">Modeling each specialty’s annual share separately (Table 6) shows that the combined gynecologic increase masks divergent specialty trajectories. URPS share rose significantly (53.4% → 63.8%; +0.90 pp/year, p &lt; 0.001), while both urology (30.7% → 23.1%; −0.55 pp/year, p = 0.004) and General OB/GYN (15.7% → 12.3%; −0.42 pp/year, p = 0.006) declined significantly. MIGS share was small but rose descriptively (0.2% → 0.8%; n = 10). Total observable sling volume did not increase over the period; the shift is one of specialty ownership rather than growth in overall Medicare sling volume.</w:t>
      </w:r>
    </w:p>
    <w:bookmarkEnd w:id="20"/>
    <w:bookmarkStart w:id="21" w:name="workforce-entry-and-exit"/>
    <w:p>
      <w:pPr>
        <w:pStyle w:val="Heading3"/>
      </w:pPr>
      <w:r>
        <w:t xml:space="preserve">Workforce Entry and Exit</w:t>
      </w:r>
    </w:p>
    <w:p>
      <w:pPr>
        <w:pStyle w:val="FirstParagraph"/>
      </w:pPr>
      <w:r>
        <w:t xml:space="preserve">Applying a two-year washout (Table 5), newly observable entrant surgeons numbered 48–184 per year and performed 7.4%–22.5% of that year’s volume, at a low median entrant volume (~13 slings/year) consistent with providers appearing just above the CMS suppression threshold. Entry fell sharply in 2020 (48 entrants; 7.4% of volume), consistent with pandemic disruption. Across the period URPS contributed the most entrants (440), followed by urology (373), General OB/GYN (189), and MIGS (8). Thus the rising URPS market share reflects both the largest inflow of newly observable URPS surgeons and continuing URPS volume, whereas urology exhibited substantial churn — many entrants alongside its net decline — indicating turnover rather than simple attrition. Because CMS suppresses providers below 11 beneficiaries, these are newly observable rather than definitively new sling surgeons.</w:t>
      </w:r>
    </w:p>
    <w:bookmarkEnd w:id="21"/>
    <w:bookmarkStart w:id="22" w:name="geographic-distribution-secondary"/>
    <w:p>
      <w:pPr>
        <w:pStyle w:val="Heading3"/>
      </w:pPr>
      <w:r>
        <w:t xml:space="preserve">Geographic Distribution (Secondary)</w:t>
      </w:r>
    </w:p>
    <w:p>
      <w:pPr>
        <w:pStyle w:val="FirstParagraph"/>
      </w:pPr>
      <w:r>
        <w:t xml:space="preserve">Provider practice location spanned 52 states and territories. The URPS share of observable sling surgeons varied widely by state, from 100% (Hawaii) and 82%–85% (Minnesota, District of Columbia, Connecticut) to 15% (Nebraska). Four states or territories had no observable URPS surgeon performing at least 11 Medicare slings in any study year (North Dakota, Alaska, Puerto Rico, Wyoming); given CMS suppression, this indicates the absence of</w:t>
      </w:r>
      <w:r>
        <w:t xml:space="preserve"> </w:t>
      </w:r>
      <w:r>
        <w:rPr>
          <w:i/>
          <w:iCs/>
        </w:rPr>
        <w:t xml:space="preserve">observable</w:t>
      </w:r>
      <w:r>
        <w:t xml:space="preserve"> </w:t>
      </w:r>
      <w:r>
        <w:t xml:space="preserve">high-volume URPS surgeons, not necessarily the absence of any URPS physician. Population-based rates and formal geographic inequality measures were not computed and are proposed as a separate access-focused analysis.</w:t>
      </w:r>
    </w:p>
    <w:bookmarkEnd w:id="22"/>
    <w:bookmarkEnd w:id="23"/>
    <w:bookmarkStart w:id="29" w:name="discussion"/>
    <w:p>
      <w:pPr>
        <w:pStyle w:val="Heading2"/>
      </w:pPr>
      <w:r>
        <w:t xml:space="preserve">Discussion</w:t>
      </w:r>
    </w:p>
    <w:p>
      <w:pPr>
        <w:pStyle w:val="FirstParagraph"/>
      </w:pPr>
      <w:r>
        <w:t xml:space="preserve">This national analysis of Medicare claims from 2013 to 2023 shows that URPS physicians perform the majority of midurethral sling procedures (60.8%), with the highest adjusted per-physician volume and the most equitable within-group distribution. The combined gynecologic share increased significantly over the decade, from 60.8% to 70.1%.</w:t>
      </w:r>
    </w:p>
    <w:bookmarkStart w:id="24" w:name="X5a9d6874d63483c97c55807399276ca37c3cb58"/>
    <w:p>
      <w:pPr>
        <w:pStyle w:val="Heading3"/>
      </w:pPr>
      <w:r>
        <w:t xml:space="preserve">Subspecialty Dominance and Both Training Pathways</w:t>
      </w:r>
    </w:p>
    <w:p>
      <w:pPr>
        <w:pStyle w:val="FirstParagraph"/>
      </w:pPr>
      <w:r>
        <w:t xml:space="preserve">A key methodological contribution is the identification of urogynecologists through</w:t>
      </w:r>
      <w:r>
        <w:t xml:space="preserve"> </w:t>
      </w:r>
      <w:r>
        <w:rPr>
          <w:b/>
          <w:bCs/>
        </w:rPr>
        <w:t xml:space="preserve">both</w:t>
      </w:r>
      <w:r>
        <w:t xml:space="preserve"> </w:t>
      </w:r>
      <w:r>
        <w:t xml:space="preserve">certifying pathways — ABOG (OB/GYN) and ABU (urology). Cross-referencing the ABU roster reassigned 150 urology-typed providers (8.2% of all slings) to URPS, sharpening the finding that midurethral sling surgery in Medicare is predominantly performed by fellowship-trained urogynecologists. The finding is robust: the pooled URPS Gini changed negligibly (0.51 → 0.52) under the reclassification.</w:t>
      </w:r>
    </w:p>
    <w:bookmarkEnd w:id="24"/>
    <w:bookmarkStart w:id="25" w:name="procedural-concentration-1"/>
    <w:p>
      <w:pPr>
        <w:pStyle w:val="Heading3"/>
      </w:pPr>
      <w:r>
        <w:t xml:space="preserve">Procedural Concentration</w:t>
      </w:r>
    </w:p>
    <w:p>
      <w:pPr>
        <w:pStyle w:val="FirstParagraph"/>
      </w:pPr>
      <w:r>
        <w:t xml:space="preserve">Reporting the Gini coefficient and HHI together makes the concentration finding difficult to attribute to a single metric: the two answer related but distinct questions and agree here. The low absolute HHI for the three main groups (27–89) shows that, although volume is unequally distributed (Gini 0.51–0.55), no individual surgeon approaches a dominant share — this is inequality across many surgeons, not domination by a few. Reporting each physician as the production unit follows workforce-concentration analyses in other surgical specialties; it is explicitly a surgeon-level, not a market-competition, measure.</w:t>
      </w:r>
    </w:p>
    <w:bookmarkEnd w:id="25"/>
    <w:bookmarkStart w:id="26" w:name="X78fd0565d65e06e5712212d4c8fe5b6dd524af5"/>
    <w:p>
      <w:pPr>
        <w:pStyle w:val="Heading3"/>
      </w:pPr>
      <w:r>
        <w:t xml:space="preserve">Temporal Trends and Workforce Implications</w:t>
      </w:r>
    </w:p>
    <w:p>
      <w:pPr>
        <w:pStyle w:val="FirstParagraph"/>
      </w:pPr>
      <w:r>
        <w:t xml:space="preserve">The repeated-measures model clarifies the mechanism behind the rising gynecologic share. Individual physician volume did not change over time (year RR 1.00), but the number of non-URPS surgeons fell sharply while URPS numbers held steady. The market-share shift is therefore a workforce-composition change — non-URPS attrition — rather than a change in how much any individual operates. The significant 2020 decline (RR 0.89) is consistent with pandemic-related deferral of elective surgery and was robust to excluding 2020.</w:t>
      </w:r>
    </w:p>
    <w:bookmarkEnd w:id="26"/>
    <w:bookmarkStart w:id="27" w:name="limitations"/>
    <w:p>
      <w:pPr>
        <w:pStyle w:val="Heading3"/>
      </w:pPr>
      <w:r>
        <w:t xml:space="preserve">Limitations</w:t>
      </w:r>
    </w:p>
    <w:p>
      <w:pPr>
        <w:pStyle w:val="FirstParagraph"/>
      </w:pPr>
      <w:r>
        <w:t xml:space="preserve">Several limitations warrant discussion. First, CMS suppresses provider-level data below 11 beneficiaries, so the lowest-volume providers are unobserved and reported concentration is a lower bound. Second, the PUF captures only fee-for-service Medicare Part B; younger, Medicare Advantage, Medicaid, commercially insured, and uninsured patients are not represented. Third, specialty classification depends on CMS provider type and the ABOG/ABU rosters; providers who completed URPS fellowship but are not board-certified would be misclassified. Fourth, the market-share trend is bounded rather than point-identified. Board certification lags the start of subspecialty practice — physicians complete fellowship and practice urogynecology before sitting for boards, and the 2013 inaugural examination certified an established practicing cohort — so the certification-gated scheme (upper bound) misattributes pre-certification practice years to General OB/GYN or urology, while fixed membership (lower bound) retroactively counts physicians as URPS before they subspecialized. The true trend lies between; a point estimate would require fellowship-completion dates, which are not available. Additionally, ~8% of URPS providers could not be matched to a certification year and urology-pathway URPS were held fixed (no urology-subspecialty date), both of which shrink the upper-bound estimate. Fifth, the exclusion of 2017 removes one year of the time series (the underlying file being truncated); re-running with a complete 2017 file would restore all 11 years. Sixth, Tot_Srvcs may include bilateral or modifier-inflated services.</w:t>
      </w:r>
    </w:p>
    <w:bookmarkEnd w:id="27"/>
    <w:bookmarkStart w:id="28" w:name="strengths"/>
    <w:p>
      <w:pPr>
        <w:pStyle w:val="Heading3"/>
      </w:pPr>
      <w:r>
        <w:t xml:space="preserve">Strengths</w:t>
      </w:r>
    </w:p>
    <w:p>
      <w:pPr>
        <w:pStyle w:val="FirstParagraph"/>
      </w:pPr>
      <w:r>
        <w:t xml:space="preserve">This study uses a national, 100% sample of Medicare fee-for-service claims; identifies urogynecologists through both training pathways; reports concentration with two complementary surgeon-level measures at both the pooled and annual level; accounts for the non-independence of repeated physician-year observations with a clustered model; and is fully reproducible.</w:t>
      </w:r>
    </w:p>
    <w:bookmarkEnd w:id="28"/>
    <w:bookmarkEnd w:id="29"/>
    <w:bookmarkStart w:id="30" w:name="conclusions"/>
    <w:p>
      <w:pPr>
        <w:pStyle w:val="Heading2"/>
      </w:pPr>
      <w:r>
        <w:t xml:space="preserve">Conclusions</w:t>
      </w:r>
    </w:p>
    <w:p>
      <w:pPr>
        <w:pStyle w:val="FirstParagraph"/>
      </w:pPr>
      <w:r>
        <w:t xml:space="preserve">In this national Medicare cohort, URPS physicians perform the majority of midurethral slings with the highest adjusted per-physician volume and the most equitable within-group distribution. The growing gynecologic market share is driven by attrition of non-URPS providers rather than by increasing surgeon-level concentration, with implications for training requirements, credentialing standards, and access to pelvic floor surgical care.</w:t>
      </w:r>
    </w:p>
    <w:bookmarkEnd w:id="30"/>
    <w:bookmarkStart w:id="31" w:name="references"/>
    <w:p>
      <w:pPr>
        <w:pStyle w:val="Heading2"/>
      </w:pPr>
      <w:r>
        <w:t xml:space="preserve">References</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Albo ME, Dmochowski RR, et al. Surgical treatment of female stress urinary incontinence: AUA/SUFU guideline. J Urol. 2017;198(4):875-883.</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US Food and Drug Administration. FDA takes action to protect women’s health, orders manufacturers of surgical mesh intended for transvaginal repair of pelvic organ prolapse to stop selling all devices. April 16, 2019. Available at: https://www.fda.gov.</w:t>
      </w:r>
    </w:p>
    <w:p>
      <w:pPr>
        <w:numPr>
          <w:ilvl w:val="0"/>
          <w:numId w:val="1001"/>
        </w:numPr>
      </w:pPr>
      <w:r>
        <w:t xml:space="preserve">Stitzenberg KB, Sigurdson ER, Egleston BL, Starkey RB, Meropol NJ. Centralization of cancer surgery: implications for patient access to optimal care. J Clin Oncol. 2009;27(28):4671-4678.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of CPT 57288 providers, Medicare PUF 2013–2023 (2017 excluded; combined URPS).</w:t>
      </w:r>
    </w:p>
    <w:tbl>
      <w:tblPr>
        <w:tblStyle w:val="Table"/>
        <w:tblW w:type="pct" w:w="5000"/>
        <w:tblLayout w:type="fixed"/>
        <w:tblLook w:firstRow="1" w:lastRow="0" w:firstColumn="0" w:lastColumn="0" w:noHBand="0" w:noVBand="0" w:val="0020"/>
      </w:tblPr>
      <w:tblGrid>
        <w:gridCol w:w="1075"/>
        <w:gridCol w:w="1271"/>
        <w:gridCol w:w="1271"/>
        <w:gridCol w:w="1662"/>
        <w:gridCol w:w="2640"/>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Total slings</w:t>
            </w:r>
          </w:p>
        </w:tc>
        <w:tc>
          <w:tcPr/>
          <w:p>
            <w:pPr>
              <w:pStyle w:val="Compact"/>
            </w:pPr>
            <w:r>
              <w:t xml:space="preserve">% of all slings</w:t>
            </w:r>
          </w:p>
        </w:tc>
        <w:tc>
          <w:tcPr/>
          <w:p>
            <w:pPr>
              <w:pStyle w:val="Compact"/>
            </w:pPr>
            <w:r>
              <w:t xml:space="preserve">Median annual volume (IQR)</w:t>
            </w:r>
          </w:p>
        </w:tc>
      </w:tr>
      <w:tr>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c>
          <w:tcPr/>
          <w:p>
            <w:pPr>
              <w:pStyle w:val="Compact"/>
            </w:pPr>
            <w:r>
              <w:t xml:space="preserve">19 (14–29)</w:t>
            </w:r>
          </w:p>
        </w:tc>
      </w:tr>
      <w:tr>
        <w:tc>
          <w:tcPr/>
          <w:p>
            <w:pPr>
              <w:pStyle w:val="Compact"/>
            </w:pPr>
            <w:r>
              <w:t xml:space="preserve">Urology (non-URPS)</w:t>
            </w:r>
          </w:p>
        </w:tc>
        <w:tc>
          <w:tcPr/>
          <w:p>
            <w:pPr>
              <w:pStyle w:val="Compact"/>
            </w:pPr>
            <w:r>
              <w:t xml:space="preserve">665</w:t>
            </w:r>
          </w:p>
        </w:tc>
        <w:tc>
          <w:tcPr/>
          <w:p>
            <w:pPr>
              <w:pStyle w:val="Compact"/>
            </w:pPr>
            <w:r>
              <w:t xml:space="preserve">34,351</w:t>
            </w:r>
          </w:p>
        </w:tc>
        <w:tc>
          <w:tcPr/>
          <w:p>
            <w:pPr>
              <w:pStyle w:val="Compact"/>
            </w:pPr>
            <w:r>
              <w:t xml:space="preserve">26.1%</w:t>
            </w:r>
          </w:p>
        </w:tc>
        <w:tc>
          <w:tcPr/>
          <w:p>
            <w:pPr>
              <w:pStyle w:val="Compact"/>
            </w:pPr>
            <w:r>
              <w:t xml:space="preserve">16 (13–22)</w:t>
            </w:r>
          </w:p>
        </w:tc>
      </w:tr>
      <w:tr>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c>
          <w:tcPr/>
          <w:p>
            <w:pPr>
              <w:pStyle w:val="Compact"/>
            </w:pPr>
            <w:r>
              <w:t xml:space="preserve">15 (12–22)</w:t>
            </w:r>
          </w:p>
        </w:tc>
      </w:tr>
      <w:tr>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c>
          <w:tcPr/>
          <w:p>
            <w:pPr>
              <w:pStyle w:val="Compact"/>
            </w:pPr>
            <w:r>
              <w:t xml:space="preserve">16 (12–23)</w:t>
            </w:r>
          </w:p>
        </w:tc>
      </w:tr>
      <w:tr>
        <w:tc>
          <w:tcPr/>
          <w:p>
            <w:pPr>
              <w:pStyle w:val="Compact"/>
            </w:pPr>
            <w:r>
              <w:rPr>
                <w:b/>
                <w:bCs/>
              </w:rPr>
              <w:t xml:space="preserve">Total</w:t>
            </w:r>
          </w:p>
        </w:tc>
        <w:tc>
          <w:tcPr/>
          <w:p>
            <w:pPr>
              <w:pStyle w:val="Compact"/>
            </w:pPr>
            <w:r>
              <w:rPr>
                <w:b/>
                <w:bCs/>
              </w:rPr>
              <w:t xml:space="preserve">1,758</w:t>
            </w:r>
          </w:p>
        </w:tc>
        <w:tc>
          <w:tcPr/>
          <w:p>
            <w:pPr>
              <w:pStyle w:val="Compact"/>
            </w:pPr>
            <w:r>
              <w:rPr>
                <w:b/>
                <w:bCs/>
              </w:rPr>
              <w:t xml:space="preserve">131,637</w:t>
            </w:r>
          </w:p>
        </w:tc>
        <w:tc>
          <w:tcPr/>
          <w:p>
            <w:pPr>
              <w:pStyle w:val="Compact"/>
            </w:pPr>
            <w:r>
              <w:rPr>
                <w:b/>
                <w:bCs/>
              </w:rPr>
              <w:t xml:space="preserve">100%</w:t>
            </w:r>
          </w:p>
        </w:tc>
        <w:tc>
          <w:tcPr/>
          <w:p>
            <w:pPr>
              <w:pStyle w:val="Compact"/>
            </w:pPr>
            <w:r>
              <w:t xml:space="preserve">—</w:t>
            </w:r>
          </w:p>
        </w:tc>
      </w:tr>
    </w:tbl>
    <w:p>
      <w:pPr>
        <w:pStyle w:val="BodyText"/>
      </w:pPr>
      <w:r>
        <w:rPr>
          <w:b/>
          <w:bCs/>
        </w:rPr>
        <w:t xml:space="preserve">Table 2.</w:t>
      </w:r>
      <w:r>
        <w:t xml:space="preserve"> </w:t>
      </w:r>
      <w:r>
        <w:t xml:space="preserve">Procedural concentration by specialty (aggregate provider-level volumes): Gini and HHI (surgeon-level).</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Repeated-measures model of annual sling volume — adjusted rate ratios from a Poisson GEE clustered by NPI (reference URPS; exchangeable correlation, robust 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0.56 (0.40–0.76)</w:t>
            </w:r>
          </w:p>
        </w:tc>
        <w:tc>
          <w:tcPr/>
          <w:p>
            <w:pPr>
              <w:pStyle w:val="Compact"/>
            </w:pPr>
            <w:r>
              <w:t xml:space="preserve">&lt; 0.001</w:t>
            </w:r>
          </w:p>
        </w:tc>
      </w:tr>
      <w:tr>
        <w:tc>
          <w:tcPr/>
          <w:p>
            <w:pPr>
              <w:pStyle w:val="Compact"/>
            </w:pPr>
            <w:r>
              <w:t xml:space="preserve">Calendar year (per year)</w:t>
            </w:r>
          </w:p>
        </w:tc>
        <w:tc>
          <w:tcPr/>
          <w:p>
            <w:pPr>
              <w:pStyle w:val="Compact"/>
            </w:pPr>
            <w:r>
              <w:t xml:space="preserve">1.00 (0.99–1.00)</w:t>
            </w:r>
          </w:p>
        </w:tc>
        <w:tc>
          <w:tcPr/>
          <w:p>
            <w:pPr>
              <w:pStyle w:val="Compact"/>
            </w:pPr>
            <w:r>
              <w:t xml:space="preserve">0.52</w:t>
            </w:r>
          </w:p>
        </w:tc>
      </w:tr>
      <w:tr>
        <w:tc>
          <w:tcPr/>
          <w:p>
            <w:pPr>
              <w:pStyle w:val="Compact"/>
            </w:pPr>
            <w:r>
              <w:t xml:space="preserve">2020 (COVID) indicator</w:t>
            </w:r>
          </w:p>
        </w:tc>
        <w:tc>
          <w:tcPr/>
          <w:p>
            <w:pPr>
              <w:pStyle w:val="Compact"/>
            </w:pPr>
            <w:r>
              <w:t xml:space="preserve">0.89 (0.85–0.92)</w:t>
            </w:r>
          </w:p>
        </w:tc>
        <w:tc>
          <w:tcPr/>
          <w:p>
            <w:pPr>
              <w:pStyle w:val="Compact"/>
            </w:pPr>
            <w:r>
              <w:t xml:space="preserve">&lt; 0.001</w:t>
            </w:r>
          </w:p>
        </w:tc>
      </w:tr>
    </w:tbl>
    <w:p>
      <w:pPr>
        <w:pStyle w:val="BodyText"/>
      </w:pPr>
      <w:r>
        <w:rPr>
          <w:b/>
          <w:bCs/>
        </w:rPr>
        <w:t xml:space="preserve">Table 4.</w:t>
      </w:r>
      <w:r>
        <w:t xml:space="preserve"> </w:t>
      </w:r>
      <w:r>
        <w:t xml:space="preserve">Market-share trends under classification schemes that bracket the true trend. Fixed-membership is a lower bound (treats not-yet-certified physicians as already URPS); time-varying certification-gated is an upper bound (board certification lags practice onset). All schemes are significant and positive.</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pPr>
            <w:r>
              <w:t xml:space="preserve">2013 → 2023</w:t>
            </w:r>
          </w:p>
        </w:tc>
        <w:tc>
          <w:tcPr/>
          <w:p>
            <w:pPr>
              <w:pStyle w:val="Compact"/>
            </w:pPr>
            <w:r>
              <w:t xml:space="preserve">Slope (pp/year)</w:t>
            </w:r>
          </w:p>
        </w:tc>
        <w:tc>
          <w:tcPr/>
          <w:p>
            <w:pPr>
              <w:pStyle w:val="Compact"/>
            </w:pPr>
            <w:r>
              <w:t xml:space="preserve">p-value</w:t>
            </w:r>
          </w:p>
        </w:tc>
      </w:tr>
      <w:tr>
        <w:tc>
          <w:tcPr/>
          <w:p>
            <w:pPr>
              <w:pStyle w:val="Compact"/>
            </w:pPr>
            <w:r>
              <w:t xml:space="preserve">Lower bound — gynecologic share (fixed; ABOG-URPS + MIGS + Gen OB/GYN)</w:t>
            </w:r>
          </w:p>
        </w:tc>
        <w:tc>
          <w:tcPr/>
          <w:p>
            <w:pPr>
              <w:pStyle w:val="Compact"/>
            </w:pPr>
            <w:r>
              <w:t xml:space="preserve">60.8% → 70.1%</w:t>
            </w:r>
          </w:p>
        </w:tc>
        <w:tc>
          <w:tcPr/>
          <w:p>
            <w:pPr>
              <w:pStyle w:val="Compact"/>
            </w:pPr>
            <w:r>
              <w:t xml:space="preserve">0.84</w:t>
            </w:r>
          </w:p>
        </w:tc>
        <w:tc>
          <w:tcPr/>
          <w:p>
            <w:pPr>
              <w:pStyle w:val="Compact"/>
            </w:pPr>
            <w:r>
              <w:t xml:space="preserve">&lt; 0.001</w:t>
            </w:r>
          </w:p>
        </w:tc>
      </w:tr>
      <w:tr>
        <w:tc>
          <w:tcPr/>
          <w:p>
            <w:pPr>
              <w:pStyle w:val="Compact"/>
            </w:pPr>
            <w:r>
              <w:t xml:space="preserve">Lower bound — combined-URPS share (fixed)</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Sensitivity — URPS share (modal)</w:t>
            </w:r>
          </w:p>
        </w:tc>
        <w:tc>
          <w:tcPr/>
          <w:p>
            <w:pPr>
              <w:pStyle w:val="Compact"/>
            </w:pPr>
            <w:r>
              <w:t xml:space="preserve">—</w:t>
            </w:r>
          </w:p>
        </w:tc>
        <w:tc>
          <w:tcPr/>
          <w:p>
            <w:pPr>
              <w:pStyle w:val="Compact"/>
            </w:pPr>
            <w:r>
              <w:t xml:space="preserve">0.98</w:t>
            </w:r>
          </w:p>
        </w:tc>
        <w:tc>
          <w:tcPr/>
          <w:p>
            <w:pPr>
              <w:pStyle w:val="Compact"/>
            </w:pPr>
            <w:r>
              <w:t xml:space="preserve">&lt; 0.001</w:t>
            </w:r>
          </w:p>
        </w:tc>
      </w:tr>
      <w:tr>
        <w:tc>
          <w:tcPr/>
          <w:p>
            <w:pPr>
              <w:pStyle w:val="Compact"/>
            </w:pPr>
            <w:r>
              <w:t xml:space="preserve">Sensitivity — URPS share (ever-URPS/MIGS)</w:t>
            </w:r>
          </w:p>
        </w:tc>
        <w:tc>
          <w:tcPr/>
          <w:p>
            <w:pPr>
              <w:pStyle w:val="Compact"/>
            </w:pPr>
            <w:r>
              <w:t xml:space="preserve">—</w:t>
            </w:r>
          </w:p>
        </w:tc>
        <w:tc>
          <w:tcPr/>
          <w:p>
            <w:pPr>
              <w:pStyle w:val="Compact"/>
            </w:pPr>
            <w:r>
              <w:t xml:space="preserve">0.96</w:t>
            </w:r>
          </w:p>
        </w:tc>
        <w:tc>
          <w:tcPr/>
          <w:p>
            <w:pPr>
              <w:pStyle w:val="Compact"/>
            </w:pPr>
            <w:r>
              <w:t xml:space="preserve">0.001</w:t>
            </w:r>
          </w:p>
        </w:tc>
      </w:tr>
      <w:tr>
        <w:tc>
          <w:tcPr/>
          <w:p>
            <w:pPr>
              <w:pStyle w:val="Compact"/>
            </w:pPr>
            <w:r>
              <w:rPr>
                <w:b/>
                <w:bCs/>
              </w:rPr>
              <w:t xml:space="preserve">Upper bound — URPS share (time-varying, cert-gated)</w:t>
            </w:r>
          </w:p>
        </w:tc>
        <w:tc>
          <w:tcPr/>
          <w:p>
            <w:pPr>
              <w:pStyle w:val="Compact"/>
            </w:pPr>
            <w:r>
              <w:rPr>
                <w:b/>
                <w:bCs/>
              </w:rPr>
              <w:t xml:space="preserve">46.3% → 74.2%</w:t>
            </w:r>
          </w:p>
        </w:tc>
        <w:tc>
          <w:tcPr/>
          <w:p>
            <w:pPr>
              <w:pStyle w:val="Compact"/>
            </w:pPr>
            <w:r>
              <w:rPr>
                <w:b/>
                <w:bCs/>
              </w:rPr>
              <w:t xml:space="preserve">2.28</w:t>
            </w:r>
          </w:p>
        </w:tc>
        <w:tc>
          <w:tcPr/>
          <w:p>
            <w:pPr>
              <w:pStyle w:val="Compact"/>
            </w:pPr>
            <w:r>
              <w:rPr>
                <w:b/>
                <w:bCs/>
              </w:rPr>
              <w:t xml:space="preserve">&lt; 0.001</w:t>
            </w:r>
          </w:p>
        </w:tc>
      </w:tr>
      <w:tr>
        <w:tc>
          <w:tcPr/>
          <w:p>
            <w:pPr>
              <w:pStyle w:val="Compact"/>
            </w:pPr>
            <w:r>
              <w:t xml:space="preserve">Upper bound — gynecologic share (time-varying, cert-gated)</w:t>
            </w:r>
          </w:p>
        </w:tc>
        <w:tc>
          <w:tcPr/>
          <w:p>
            <w:pPr>
              <w:pStyle w:val="Compact"/>
            </w:pPr>
            <w:r>
              <w:t xml:space="preserve">—</w:t>
            </w:r>
          </w:p>
        </w:tc>
        <w:tc>
          <w:tcPr/>
          <w:p>
            <w:pPr>
              <w:pStyle w:val="Compact"/>
            </w:pPr>
            <w:r>
              <w:t xml:space="preserve">1.33</w:t>
            </w:r>
          </w:p>
        </w:tc>
        <w:tc>
          <w:tcPr/>
          <w:p>
            <w:pPr>
              <w:pStyle w:val="Compact"/>
            </w:pPr>
            <w:r>
              <w:t xml:space="preserve">&lt; 0.001</w:t>
            </w:r>
          </w:p>
        </w:tc>
      </w:tr>
    </w:tbl>
    <w:p>
      <w:pPr>
        <w:pStyle w:val="BodyText"/>
      </w:pPr>
      <w:r>
        <w:rPr>
          <w:b/>
          <w:bCs/>
        </w:rPr>
        <w:t xml:space="preserve">Table 5.</w:t>
      </w:r>
      <w:r>
        <w:t xml:space="preserve"> </w:t>
      </w:r>
      <w:r>
        <w:t xml:space="preserve">Annual sling workforce dynamics (newly observable surgeons; two-year washout). Entrants were absent in both prior observable years; exiting surgeons were absent in both subsequent observable years. Entrant/continuing counts are undefined for the first two years and exiting counts for the last two.</w:t>
      </w:r>
    </w:p>
    <w:tbl>
      <w:tblPr>
        <w:tblStyle w:val="Table"/>
        <w:tblW w:type="pct" w:w="5000"/>
        <w:tblLayout w:type="fixed"/>
        <w:tblLook w:firstRow="1" w:lastRow="0" w:firstColumn="0" w:lastColumn="0" w:noHBand="0" w:noVBand="0" w:val="0020"/>
      </w:tblPr>
      <w:tblGrid>
        <w:gridCol w:w="516"/>
        <w:gridCol w:w="946"/>
        <w:gridCol w:w="860"/>
        <w:gridCol w:w="946"/>
        <w:gridCol w:w="774"/>
        <w:gridCol w:w="1893"/>
        <w:gridCol w:w="1980"/>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w:t>
            </w:r>
          </w:p>
        </w:tc>
        <w:tc>
          <w:tcPr/>
          <w:p>
            <w:pPr>
              <w:pStyle w:val="Compact"/>
            </w:pPr>
            <w:r>
              <w:t xml:space="preserve">—</w:t>
            </w:r>
          </w:p>
        </w:tc>
        <w:tc>
          <w:tcPr/>
          <w:p>
            <w:pPr>
              <w:pStyle w:val="Compact"/>
            </w:pPr>
            <w:r>
              <w:t xml:space="preserve">214</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685</w:t>
            </w:r>
          </w:p>
        </w:tc>
        <w:tc>
          <w:tcPr/>
          <w:p>
            <w:pPr>
              <w:pStyle w:val="Compact"/>
            </w:pPr>
            <w:r>
              <w:t xml:space="preserve">—</w:t>
            </w:r>
          </w:p>
        </w:tc>
        <w:tc>
          <w:tcPr/>
          <w:p>
            <w:pPr>
              <w:pStyle w:val="Compact"/>
            </w:pPr>
            <w:r>
              <w:t xml:space="preserve">—</w:t>
            </w:r>
          </w:p>
        </w:tc>
        <w:tc>
          <w:tcPr/>
          <w:p>
            <w:pPr>
              <w:pStyle w:val="Compact"/>
            </w:pPr>
            <w:r>
              <w:t xml:space="preserve">164</w:t>
            </w:r>
          </w:p>
        </w:tc>
        <w:tc>
          <w:tcPr/>
          <w:p>
            <w:pPr>
              <w:pStyle w:val="Compact"/>
            </w:pPr>
            <w:r>
              <w:t xml:space="preserve">—</w:t>
            </w:r>
          </w:p>
        </w:tc>
        <w:tc>
          <w:tcPr/>
          <w:p>
            <w:pPr>
              <w:pStyle w:val="Compact"/>
            </w:pPr>
            <w:r>
              <w:t xml:space="preserve">—</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136</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219</w:t>
            </w:r>
          </w:p>
        </w:tc>
        <w:tc>
          <w:tcPr/>
          <w:p>
            <w:pPr>
              <w:pStyle w:val="Compact"/>
            </w:pPr>
            <w:r>
              <w:t xml:space="preserve">15.3%</w:t>
            </w:r>
          </w:p>
        </w:tc>
        <w:tc>
          <w:tcPr/>
          <w:p>
            <w:pPr>
              <w:pStyle w:val="Compact"/>
            </w:pPr>
            <w:r>
              <w:t xml:space="preserve">13</w:t>
            </w:r>
          </w:p>
        </w:tc>
      </w:tr>
      <w:tr>
        <w:tc>
          <w:tcPr/>
          <w:p>
            <w:pPr>
              <w:pStyle w:val="Compact"/>
            </w:pPr>
            <w:r>
              <w:t xml:space="preserve">2018</w:t>
            </w:r>
          </w:p>
        </w:tc>
        <w:tc>
          <w:tcPr/>
          <w:p>
            <w:pPr>
              <w:pStyle w:val="Compact"/>
            </w:pPr>
            <w:r>
              <w:t xml:space="preserve">672</w:t>
            </w:r>
          </w:p>
        </w:tc>
        <w:tc>
          <w:tcPr/>
          <w:p>
            <w:pPr>
              <w:pStyle w:val="Compact"/>
            </w:pPr>
            <w:r>
              <w:t xml:space="preserve">184</w:t>
            </w:r>
          </w:p>
        </w:tc>
        <w:tc>
          <w:tcPr/>
          <w:p>
            <w:pPr>
              <w:pStyle w:val="Compact"/>
            </w:pPr>
            <w:r>
              <w:t xml:space="preserve">488</w:t>
            </w:r>
          </w:p>
        </w:tc>
        <w:tc>
          <w:tcPr/>
          <w:p>
            <w:pPr>
              <w:pStyle w:val="Compact"/>
            </w:pPr>
            <w:r>
              <w:t xml:space="preserve">154</w:t>
            </w:r>
          </w:p>
        </w:tc>
        <w:tc>
          <w:tcPr/>
          <w:p>
            <w:pPr>
              <w:pStyle w:val="Compact"/>
            </w:pPr>
            <w:r>
              <w:t xml:space="preserve">20.6%</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122</w:t>
            </w:r>
          </w:p>
        </w:tc>
        <w:tc>
          <w:tcPr/>
          <w:p>
            <w:pPr>
              <w:pStyle w:val="Compact"/>
            </w:pPr>
            <w:r>
              <w:t xml:space="preserve">528</w:t>
            </w:r>
          </w:p>
        </w:tc>
        <w:tc>
          <w:tcPr/>
          <w:p>
            <w:pPr>
              <w:pStyle w:val="Compact"/>
            </w:pPr>
            <w:r>
              <w:t xml:space="preserve">230</w:t>
            </w:r>
          </w:p>
        </w:tc>
        <w:tc>
          <w:tcPr/>
          <w:p>
            <w:pPr>
              <w:pStyle w:val="Compact"/>
            </w:pPr>
            <w:r>
              <w:t xml:space="preserve">12.4%</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w:t>
            </w:r>
          </w:p>
        </w:tc>
        <w:tc>
          <w:tcPr/>
          <w:p>
            <w:pPr>
              <w:pStyle w:val="Compact"/>
            </w:pPr>
            <w:r>
              <w:t xml:space="preserve">15.7%</w:t>
            </w:r>
          </w:p>
        </w:tc>
        <w:tc>
          <w:tcPr/>
          <w:p>
            <w:pPr>
              <w:pStyle w:val="Compact"/>
            </w:pPr>
            <w:r>
              <w:t xml:space="preserve">13</w:t>
            </w:r>
          </w:p>
        </w:tc>
      </w:tr>
    </w:tbl>
    <w:p>
      <w:pPr>
        <w:pStyle w:val="BodyText"/>
      </w:pPr>
      <w:r>
        <w:t xml:space="preserve">Entrants by specialty over the period: URPS 440, urology 373, General OB/GYN 189, MIGS 8.</w:t>
      </w:r>
    </w:p>
    <w:p>
      <w:pPr>
        <w:pStyle w:val="BodyText"/>
      </w:pPr>
      <w:r>
        <w:rPr>
          <w:b/>
          <w:bCs/>
        </w:rPr>
        <w:t xml:space="preserve">Table 6.</w:t>
      </w:r>
      <w:r>
        <w:t xml:space="preserve"> </w:t>
      </w:r>
      <w:r>
        <w:t xml:space="preserve">Specialty-specific market-share trends (annual percentage-point share regressed on year; fixed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Specialty</w:t>
            </w:r>
          </w:p>
        </w:tc>
        <w:tc>
          <w:tcPr/>
          <w:p>
            <w:pPr>
              <w:pStyle w:val="Compact"/>
            </w:pPr>
            <w:r>
              <w:t xml:space="preserve">2013 → 2023 share</w:t>
            </w:r>
          </w:p>
        </w:tc>
        <w:tc>
          <w:tcPr/>
          <w:p>
            <w:pPr>
              <w:pStyle w:val="Compact"/>
            </w:pPr>
            <w:r>
              <w:t xml:space="preserve">Slope (pp/year)</w:t>
            </w:r>
          </w:p>
        </w:tc>
        <w:tc>
          <w:tcPr/>
          <w:p>
            <w:pPr>
              <w:pStyle w:val="Compact"/>
            </w:pPr>
            <w:r>
              <w:t xml:space="preserve">p-value</w:t>
            </w:r>
          </w:p>
        </w:tc>
      </w:tr>
      <w:tr>
        <w:tc>
          <w:tcPr/>
          <w:p>
            <w:pPr>
              <w:pStyle w:val="Compact"/>
            </w:pPr>
            <w:r>
              <w:t xml:space="preserve">URPS</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Urology</w:t>
            </w:r>
          </w:p>
        </w:tc>
        <w:tc>
          <w:tcPr/>
          <w:p>
            <w:pPr>
              <w:pStyle w:val="Compact"/>
            </w:pPr>
            <w:r>
              <w:t xml:space="preserve">30.7% → 23.1%</w:t>
            </w:r>
          </w:p>
        </w:tc>
        <w:tc>
          <w:tcPr/>
          <w:p>
            <w:pPr>
              <w:pStyle w:val="Compact"/>
            </w:pPr>
            <w:r>
              <w:t xml:space="preserve">−0.55</w:t>
            </w:r>
          </w:p>
        </w:tc>
        <w:tc>
          <w:tcPr/>
          <w:p>
            <w:pPr>
              <w:pStyle w:val="Compact"/>
            </w:pPr>
            <w:r>
              <w:t xml:space="preserve">0.004</w:t>
            </w:r>
          </w:p>
        </w:tc>
      </w:tr>
      <w:tr>
        <w:tc>
          <w:tcPr/>
          <w:p>
            <w:pPr>
              <w:pStyle w:val="Compact"/>
            </w:pPr>
            <w:r>
              <w:t xml:space="preserve">General OB/GYN</w:t>
            </w:r>
          </w:p>
        </w:tc>
        <w:tc>
          <w:tcPr/>
          <w:p>
            <w:pPr>
              <w:pStyle w:val="Compact"/>
            </w:pPr>
            <w:r>
              <w:t xml:space="preserve">15.7% → 12.3%</w:t>
            </w:r>
          </w:p>
        </w:tc>
        <w:tc>
          <w:tcPr/>
          <w:p>
            <w:pPr>
              <w:pStyle w:val="Compact"/>
            </w:pPr>
            <w:r>
              <w:t xml:space="preserve">−0.42</w:t>
            </w:r>
          </w:p>
        </w:tc>
        <w:tc>
          <w:tcPr/>
          <w:p>
            <w:pPr>
              <w:pStyle w:val="Compact"/>
            </w:pPr>
            <w:r>
              <w:t xml:space="preserve">0.006</w:t>
            </w:r>
          </w:p>
        </w:tc>
      </w:tr>
      <w:tr>
        <w:tc>
          <w:tcPr/>
          <w:p>
            <w:pPr>
              <w:pStyle w:val="Compact"/>
            </w:pPr>
            <w:r>
              <w:t xml:space="preserve">MIGS (descriptive, n = 10)</w:t>
            </w:r>
          </w:p>
        </w:tc>
        <w:tc>
          <w:tcPr/>
          <w:p>
            <w:pPr>
              <w:pStyle w:val="Compact"/>
            </w:pPr>
            <w:r>
              <w:t xml:space="preserve">0.2% → 0.8%</w:t>
            </w:r>
          </w:p>
        </w:tc>
        <w:tc>
          <w:tcPr/>
          <w:p>
            <w:pPr>
              <w:pStyle w:val="Compact"/>
            </w:pPr>
            <w:r>
              <w:t xml:space="preserve">+0.07</w:t>
            </w:r>
          </w:p>
        </w:tc>
        <w:tc>
          <w:tcPr/>
          <w:p>
            <w:pPr>
              <w:pStyle w:val="Compact"/>
            </w:pPr>
            <w:r>
              <w:t xml:space="preserve">0.008</w:t>
            </w:r>
          </w:p>
        </w:tc>
      </w:tr>
    </w:tbl>
    <w:p>
      <w:r>
        <w:pict>
          <v:rect style="width:0;height:1.5pt" o:hralign="center" o:hrstd="t" o:hr="t"/>
        </w:pict>
      </w:r>
    </w:p>
    <w:bookmarkEnd w:id="32"/>
    <w:bookmarkStart w:id="33"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(2017 excluded). The URPS/gynecologic share rose significantly under every classification scheme; fixed-membership classification (+0.84 pp/year, gynecologic share 60.8% → 70.1%) and time-varying certification-gated classification (+2.28 pp/year, URPS share 46.3% → 74.2%) bracket the true trend.</w:t>
      </w:r>
    </w:p>
    <w:p>
      <w:pPr>
        <w:pStyle w:val="BodyText"/>
      </w:pPr>
      <w:r>
        <w:rPr>
          <w:b/>
          <w:bCs/>
        </w:rPr>
        <w:t xml:space="preserve">Figure 2.</w:t>
      </w:r>
      <w:r>
        <w:t xml:space="preserve"> </w:t>
      </w:r>
      <w:r>
        <w:t xml:space="preserve">Distribution of annual midurethral sling volume by specialty group (violin + box plots, log scale). The minimum observable volume is 11 due to CMS cell suppression.</w:t>
      </w:r>
    </w:p>
    <w:p>
      <w:pPr>
        <w:pStyle w:val="BodyText"/>
      </w:pPr>
      <w:r>
        <w:rPr>
          <w:b/>
          <w:bCs/>
        </w:rPr>
        <w:t xml:space="preserve">Figure 3.</w:t>
      </w:r>
      <w:r>
        <w:t xml:space="preserve"> </w:t>
      </w:r>
      <w:r>
        <w:t xml:space="preserve">Lorenz curves of procedural concentration by specialty. Curves farther from the diagonal indicate greater concentration; URPS (Gini 0.51) is closest to equality, MIGS (0.60) farthest.</w:t>
      </w:r>
    </w:p>
    <w:p>
      <w:pPr>
        <w:pStyle w:val="BodyText"/>
      </w:pPr>
      <w:r>
        <w:rPr>
          <w:b/>
          <w:bCs/>
        </w:rPr>
        <w:t xml:space="preserve">Figure 4.</w:t>
      </w:r>
      <w:r>
        <w:t xml:space="preserve"> </w:t>
      </w:r>
      <w:r>
        <w:t xml:space="preserve">Annual procedural concentration by specialty (Gini, HHI, top-20% and bottom-50% shares) per calendar year; within-year concentration is low and stable. MIGS excluded from these panels (too few surgeons/year for a stable estimate).</w:t>
      </w:r>
    </w:p>
    <w:p>
      <w:pPr>
        <w:pStyle w:val="BodyText"/>
      </w:pPr>
      <w:r>
        <w:rPr>
          <w:b/>
          <w:bCs/>
        </w:rPr>
        <w:t xml:space="preserve">Figure 5.</w:t>
      </w:r>
      <w:r>
        <w:t xml:space="preserve"> </w:t>
      </w:r>
      <w:r>
        <w:t xml:space="preserve">Observable surgeons and total procedure volume per year by specialty; the surgeon-pool decline is concentrated in urology and General OB/GYN.</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2026-07-21T03:08:53Z</dcterms:created>
  <dcterms:modified xsi:type="dcterms:W3CDTF">2026-07-21T03:08:53Z</dcterms:modified>
</cp:coreProperties>
</file>

<file path=docProps/custom.xml><?xml version="1.0" encoding="utf-8"?>
<Properties xmlns="http://schemas.openxmlformats.org/officeDocument/2006/custom-properties" xmlns:vt="http://schemas.openxmlformats.org/officeDocument/2006/docPropsVTypes"/>
</file>