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Procedural Concentration, and Trends in Midurethral Sling Surgery Among Medicare Beneficiaries, 2013–2023</w:t>
      </w:r>
    </w:p>
    <w:p>
      <w:pPr>
        <w:pStyle w:val="Author"/>
      </w:pPr>
      <w:r>
        <w:t xml:space="preserve">Tyler Muffly, MD</w:t>
      </w:r>
    </w:p>
    <w:p>
      <w:pPr>
        <w:pStyle w:val="BlockText"/>
      </w:pPr>
      <w:r>
        <w:rPr>
          <w:b/>
          <w:bCs/>
        </w:rPr>
        <w:t xml:space="preserve">Revision note (analysis update).</w:t>
      </w:r>
      <w:r>
        <w:t xml:space="preserve"> </w:t>
      </w:r>
      <w:r>
        <w:t xml:space="preserve">This version incorporates five changes: (1) URPS includes both certification pathways, ABOG (OB/GYN) and ABU (urology); (2) all 11 calendar years are analyzed, after the 2017 file (initially a truncated download) was replaced with the complete release; (3) surgeon-level concentration is reported with both the Gini coefficient and Herfindahl–Hirschman Index (HHI); (4) annual volume is analyzed with a repeated-measures model; and (5) specialty-classification assumptions are examined in sensitivity analyses. These updates changed several estimates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procedural concentration of physicians performing midurethral sling surgery (CPT 57288) for Medicare beneficiaries.</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Annual procedures declined from 16,399 in 2013 to 12,223 in 2023 (-490/year; p = 0.023), with a low of 9,228 in 2020 and partial recovery thereafter. Compared with URPS, adjusted annual volume was lower for urology (rate ratio [RR] 0.80 (0.70–0.92)), General OB/GYN (RR 0.68 (0.51–0.92)), and MIGS (RR 0.56 (0.40–0.79)). Volume fell by approximately 11% in 2020 (RR 0.88 (0.85–0.92); p &lt; 0.001), but per-physician volume did not change overall (RR 1.00 (0.99–1.01); p = 0.516). Among the three well-populated groups, pooled concentration was modest and lowest for URPS (Gini 0.52, HHI 27; top 20% performed 53.9%);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midurethral sling procedures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Midurethral sling surgery is the most common operation for stress urinary incontinence (SUI) and remains the standard surgical treatment when conservative care fails.</w:t>
      </w:r>
      <w:r>
        <w:rPr>
          <w:vertAlign w:val="superscript"/>
        </w:rPr>
        <w:t xml:space="preserve">1,2</w:t>
      </w:r>
      <w:r>
        <w:t xml:space="preserve"> </w:t>
      </w:r>
      <w:r>
        <w:t xml:space="preserve">The procedure, coded as CPT 57288, places a synthetic mesh sling beneath the midurethra. Despite its widespread use, little is known about which specialties perform these procedures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midurethral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including the 2019 order ending sales of transvaginal mesh for prolapse, changed public perception and may have affected sling use.</w:t>
      </w:r>
      <w:r>
        <w:rPr>
          <w:vertAlign w:val="superscript"/>
        </w:rPr>
        <w:t xml:space="preserve">7</w:t>
      </w:r>
      <w:r>
        <w:t xml:space="preserve"> </w:t>
      </w:r>
      <w:r>
        <w:t xml:space="preserve">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procedural concentration among physicians performing midurethral sling surgery for Medicare beneficiaries from 2013 through 2023. We also evaluated changes in each specialty’s share of procedures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The 2017 file initially obtained was an incomplete download (roughly half the expected size, with only 376 sling provider-year records versus approximately 660–810 in neighboring years). It was replaced with the complete 2017 release before analysis, so all 11 calendar years are included.</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outcome was the annual number of midurethral sling procedures per provider.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ten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-490 procedures/year; p = 0.023).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0.80 (0.70–0.92), General OB/GYN RR 0.68 (0.51–0.92), and MIGS RR 0.56 (0.40–0.79) (Table 3). Annual volume was approximately 11% lower in 2020 (RR 0.88 (0.85–0.92); p &lt; 0.001). There was no overall change in per-physician volume over time (year RR 1.00 (0.99–1.01); p = 0.516). The one-observation-per-physician secondary analysis was concordant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0.52, HHI 27; top 10% performed 34.4% and top 20% performed 53.9%). Concentration was slightly higher for urology (Gini 0.53, HHI 35; top 20% performed 58.7%) and General OB/GYN (Gini 0.56, HHI 89; top 20% performed 62.2%)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28).</w:t>
      </w:r>
    </w:p>
    <w:p>
      <w:pPr>
        <w:pStyle w:val="BodyText"/>
      </w:pPr>
      <w:r>
        <w:t xml:space="preserve">Within-year concentration was low and stable. The pooled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midurethral sling procedures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Medicare cohort, URPS physicians performed most midurethral slings,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0.80 (0.70–0.92)</w:t>
            </w:r>
          </w:p>
        </w:tc>
        <w:tc>
          <w:tcPr/>
          <w:p>
            <w:pPr>
              <w:pStyle w:val="Compact"/>
            </w:pPr>
            <w:r>
              <w:t xml:space="preserve">0.001</w:t>
            </w:r>
          </w:p>
        </w:tc>
      </w:tr>
      <w:tr>
        <w:tc>
          <w:tcPr/>
          <w:p>
            <w:pPr>
              <w:pStyle w:val="Compact"/>
            </w:pPr>
            <w:r>
              <w:t xml:space="preserve">General OB/GYN (vs URPS)</w:t>
            </w:r>
          </w:p>
        </w:tc>
        <w:tc>
          <w:tcPr/>
          <w:p>
            <w:pPr>
              <w:pStyle w:val="Compact"/>
            </w:pPr>
            <w:r>
              <w:t xml:space="preserve">0.68 (0.51–0.92)</w:t>
            </w:r>
          </w:p>
        </w:tc>
        <w:tc>
          <w:tcPr/>
          <w:p>
            <w:pPr>
              <w:pStyle w:val="Compact"/>
            </w:pPr>
            <w:r>
              <w:t xml:space="preserve">0.011</w:t>
            </w:r>
          </w:p>
        </w:tc>
      </w:tr>
      <w:tr>
        <w:tc>
          <w:tcPr/>
          <w:p>
            <w:pPr>
              <w:pStyle w:val="Compact"/>
            </w:pPr>
            <w:r>
              <w:t xml:space="preserve">MIGS (vs URPS)</w:t>
            </w:r>
          </w:p>
        </w:tc>
        <w:tc>
          <w:tcPr/>
          <w:p>
            <w:pPr>
              <w:pStyle w:val="Compact"/>
            </w:pPr>
            <w:r>
              <w:t xml:space="preserve">0.56 (0.40–0.79)</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0.516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33"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rPr>
          <w:b/>
          <w:bCs/>
        </w:rPr>
        <w:t xml:space="preserve">Figure 2.</w:t>
      </w:r>
      <w:r>
        <w:t xml:space="preserve"> </w:t>
      </w:r>
      <w:r>
        <w:t xml:space="preserve">Annual midurethral sling volume by specialty (violin and box plots; logarithmic scale). The minimum observable volume is 11 because of CMS cell suppression.</w:t>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Procedural Concentration, and Trends in Midurethral Sling Surgery Among Medicare Beneficiaries, 2013–2023</dc:title>
  <dc:creator>Tyler Muffly, MD</dc:creator>
  <cp:keywords/>
  <dcterms:created xsi:type="dcterms:W3CDTF">2026-07-22T05:12:27Z</dcterms:created>
  <dcterms:modified xsi:type="dcterms:W3CDTF">2026-07-22T05:12:27Z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