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Specialty Distribution and Surgeon-Level Concentration of Sling Surgery for Stress Urinary Incontinence in Fee-for-Service Medicare, 2013–2023</w:t>
      </w:r>
    </w:p>
    <w:p>
      <w:pPr>
        <w:pStyle w:val="Author"/>
      </w:pPr>
      <w:r>
        <w:t xml:space="preserve">Tyler Muffly, MD</w:t>
      </w:r>
    </w:p>
    <w:bookmarkStart w:id="9" w:name="abstract"/>
    <w:p>
      <w:pPr>
        <w:pStyle w:val="Heading2"/>
      </w:pPr>
      <w:r>
        <w:t xml:space="preserve">Abstract</w:t>
      </w:r>
    </w:p>
    <w:p>
      <w:pPr>
        <w:pStyle w:val="FirstParagraph"/>
      </w:pPr>
      <w:r>
        <w:rPr>
          <w:b/>
          <w:bCs/>
        </w:rPr>
        <w:t xml:space="preserve">Objective:</w:t>
      </w:r>
      <w:r>
        <w:t xml:space="preserve"> </w:t>
      </w:r>
      <w:r>
        <w:t xml:space="preserve">To describe the specialty distribution, annual surgeon volume, and surgeon-level concentration of physicians performing sling surgery for stress urinary incontinence (CPT 57288) in fee-for-service Medicare.</w:t>
      </w:r>
    </w:p>
    <w:p>
      <w:pPr>
        <w:pStyle w:val="BodyText"/>
      </w:pPr>
      <w:r>
        <w:rPr>
          <w:b/>
          <w:bCs/>
        </w:rPr>
        <w:t xml:space="preserve">Methods:</w:t>
      </w:r>
      <w:r>
        <w:t xml:space="preserve"> </w:t>
      </w:r>
      <w:r>
        <w:t xml:space="preserve">We analyzed the CMS Medicare Physician and Other Practitioners Public Use File across all 11 calendar years, 2013 through 2023. Physicians billing CPT 57288 were classified as Urogynecology and Reconstructive Pelvic Surgery (URPS), Minimally Invasive Gynecologic Surgery (MIGS), General OB/GYN, or non-URPS urology by combining CMS provider type with ABOG and ABU subspecialty rosters. We measured surgeon-level concentration with the Gini coefficient and HHI, both overall and by year. Annual volume was modeled with a Poisson generalized estimating equation clustered by NPI; a per-physician Kruskal-Wallis analysis was secondary. Market-share trends were evaluated under fixed-membership and certification-gated classifications designed to bound the likely trend, with modal and ever-URPS/MIGS sensitivity analyses.</w:t>
      </w:r>
    </w:p>
    <w:p>
      <w:pPr>
        <w:pStyle w:val="BodyText"/>
      </w:pPr>
      <w:r>
        <w:rPr>
          <w:b/>
          <w:bCs/>
        </w:rPr>
        <w:t xml:space="preserve">Results:</w:t>
      </w:r>
      <w:r>
        <w:t xml:space="preserve"> </w:t>
      </w:r>
      <w:r>
        <w:t xml:space="preserve">Across 2013 through 2023, 1,789 physicians performed 147,632 procedures across 6,937 physician-years. URPS was the largest group (767 physicians; 89,773 procedures, 60.8%; median 19/year [p25–p75, 14–28]), followed by non-URPS urology (689 physicians; 26.1%; median 16), General OB/GYN (336; 12.4%; median 15), and MIGS (10; 0.6%; median 16). Annual procedures declined from 16,399 in 2013 to 12,223 in 2023 (-490/year; p = 0.023), with a low of 9,228 in 2020 and partial recovery thereafter. Compared with URPS, adjusted annual volume was lower for urology (rate ratio [RR] 0.80 (0.70–0.92)), General OB/GYN (RR 0.68 (0.51–0.92)), and MIGS (RR 0.56 (0.40–0.79)). Volume fell by approximately 11% in 2020 (RR 0.88 (0.85–0.92); p &lt; 0.001), but per-physician volume did not change overall (RR 1.00 (0.99–1.01); p = 0.516). Among the three well-populated groups, pooled concentration was modest and lowest for URPS (Gini 0.52, HHI 27; top 20% performed 53.9%); within-year concentration remained low and stable (annual Gini approximately 0.26–0.28; p for trend = 0.733). URPS share increased by 0.90 percentage points per year (p &lt; 0.001), whereas urology (-0.55; p = 0.002) and General OB/GYN (-0.41; p = 0.004) declined. The increase remained significant under every classification scheme, and the two schemes bracketed the rate of increase rather than the level. Under fixed membership URPS rose from 53.4% to 63.8% (+0.90 percentage points/year); under certification-gated classification it rose more steeply, from 42.2% to 62.8% (+1.52 percentage points/year), because pre-certification physicians count as generalists, and the two estimates converged by 2023. Newly observable surgeons performed 7.4%–22.5% of annual volume at a median of approximately 13 cases; URPS contributed the most entrants (480), while urology showed substantial turnover (421 entrants despite a declining share).</w:t>
      </w:r>
    </w:p>
    <w:p>
      <w:pPr>
        <w:pStyle w:val="BodyText"/>
      </w:pPr>
      <w:r>
        <w:rPr>
          <w:b/>
          <w:bCs/>
        </w:rPr>
        <w:t xml:space="preserve">Conclusions:</w:t>
      </w:r>
      <w:r>
        <w:t xml:space="preserve"> </w:t>
      </w:r>
      <w:r>
        <w:t xml:space="preserve">URPS physicians perform most sling operations for stress urinary incontinence in fee-for-service Medicare and have the highest adjusted per-physician volume and the most even within-group distribution. The rising gynecologic share reflects attrition among non-URPS providers rather than increasing surgeon-level concentration, with implications for credentialing and workforce planning.</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Sling surgery is a common operation for stress urinary incontinence (SUI) and remains a standard surgical treatment when conservative care fails.</w:t>
      </w:r>
      <w:r>
        <w:rPr>
          <w:vertAlign w:val="superscript"/>
        </w:rPr>
        <w:t xml:space="preserve">1,2</w:t>
      </w:r>
      <w:r>
        <w:t xml:space="preserve"> </w:t>
      </w:r>
      <w:r>
        <w:t xml:space="preserve">These operations are reported under CPT 57288, whose descriptor is</w:t>
      </w:r>
      <w:r>
        <w:t xml:space="preserve"> </w:t>
      </w:r>
      <w:r>
        <w:t xml:space="preserve">“sling operation for stress incontinence (eg, fascia or synthetic).”</w:t>
      </w:r>
      <w:r>
        <w:t xml:space="preserve"> </w:t>
      </w:r>
      <w:r>
        <w:t xml:space="preserve">The code therefore captures autologous fascial and synthetic sling operations together and does not identify the sling material or distinguish retropubic, transobturator, single-incision, or pubovaginal technique. Despite the procedure’s widespread use, little is known about which specialties perform these operations in the Medicare population or how volume is distributed among surgeons.</w:t>
      </w:r>
    </w:p>
    <w:p>
      <w:pPr>
        <w:pStyle w:val="BodyText"/>
      </w:pPr>
      <w:r>
        <w:t xml:space="preserve">These questions matter for surgical quality, training, and workforce planning. Across surgery, higher surgeon and hospital volume is generally associated with better outcomes.</w:t>
      </w:r>
      <w:r>
        <w:rPr>
          <w:vertAlign w:val="superscript"/>
        </w:rPr>
        <w:t xml:space="preserve">4,5</w:t>
      </w:r>
      <w:r>
        <w:t xml:space="preserve"> </w:t>
      </w:r>
      <w:r>
        <w:t xml:space="preserve">Evidence for procedure-specific volume thresholds in sling surgery is more limited. The specialty mix has also changed during the past decade.</w:t>
      </w:r>
    </w:p>
    <w:p>
      <w:pPr>
        <w:pStyle w:val="BodyText"/>
      </w:pPr>
      <w:r>
        <w:t xml:space="preserve">Three developments make this analysis timely. First, Female Pelvic Medicine and Reconstructive Surgery, now named Urogynecology and Reconstructive Pelvic Surgery (URPS), has grown since receiving American Board of Medical Specialties recognition in 2013.</w:t>
      </w:r>
      <w:r>
        <w:rPr>
          <w:vertAlign w:val="superscript"/>
        </w:rPr>
        <w:t xml:space="preserve">6</w:t>
      </w:r>
      <w:r>
        <w:t xml:space="preserve"> </w:t>
      </w:r>
      <w:r>
        <w:t xml:space="preserve">Certification is available through both obstetrics and gynecology (ABOG) and urology (ABU) pathways. Second, US Food and Drug Administration actions on urogynecologic mesh changed public perception of mesh and may have affected sling use.</w:t>
      </w:r>
      <w:r>
        <w:rPr>
          <w:vertAlign w:val="superscript"/>
        </w:rPr>
        <w:t xml:space="preserve">7</w:t>
      </w:r>
      <w:r>
        <w:t xml:space="preserve"> </w:t>
      </w:r>
      <w:r>
        <w:t xml:space="preserve">The 2019 FDA order concerned transvaginal mesh for pelvic organ prolapse and did not remove synthetic midurethral slings for stress incontinence from the market; the two devices are frequently conflated in public discussion. Third, procedural concentration, the extent to which a relatively small group of clinicians performs a large share of procedures, has become relevant to quality improvement and resource allocation.</w:t>
      </w:r>
      <w:r>
        <w:rPr>
          <w:vertAlign w:val="superscript"/>
        </w:rPr>
        <w:t xml:space="preserve">8</w:t>
      </w:r>
    </w:p>
    <w:p>
      <w:pPr>
        <w:pStyle w:val="BodyText"/>
      </w:pPr>
      <w:r>
        <w:t xml:space="preserve">We therefore characterized specialty distribution, annual surgeon volume, and surgeon-level concentration among physicians performing sling surgery for stress urinary incontinence in fee-for-service Medicare from 2013 through 2023. We also evaluated changes in each specialty’s share of reported services over time.</w:t>
      </w:r>
    </w:p>
    <w:bookmarkEnd w:id="10"/>
    <w:bookmarkStart w:id="16" w:name="methods"/>
    <w:p>
      <w:pPr>
        <w:pStyle w:val="Heading2"/>
      </w:pPr>
      <w:r>
        <w:t xml:space="preserve">Methods</w:t>
      </w:r>
    </w:p>
    <w:bookmarkStart w:id="11" w:name="study-design-and-data-source"/>
    <w:p>
      <w:pPr>
        <w:pStyle w:val="Heading3"/>
      </w:pPr>
      <w:r>
        <w:t xml:space="preserve">Study Design and Data Source</w:t>
      </w:r>
    </w:p>
    <w:p>
      <w:pPr>
        <w:pStyle w:val="FirstParagraph"/>
      </w:pPr>
      <w:r>
        <w:t xml:space="preserve">We conducted a repeated cross-sectional analysis of the Centers for Medicare &amp; Medicaid Services (CMS) Medicare Physician and Other Practitioners Public Use File (PUF) from 2013 through 2023. The PUF contains all fee-for-service Medicare Part B claims aggregated to the provider-service level. Each row represents a unique combination of National Provider Identifier (NPI), Healthcare Common Procedure Coding System code, place of service, and calendar year. Because the dataset is publicly available and contains no protected health information, institutional review board approval was not required.</w:t>
      </w:r>
    </w:p>
    <w:p>
      <w:pPr>
        <w:pStyle w:val="BodyText"/>
      </w:pPr>
      <w:r>
        <w:t xml:space="preserve">All 11 annual PUF releases (2013 through 2023) were verified against the CMS file specifications for completeness before analysis.</w:t>
      </w:r>
    </w:p>
    <w:bookmarkEnd w:id="11"/>
    <w:bookmarkStart w:id="12" w:name="specialty-classification"/>
    <w:p>
      <w:pPr>
        <w:pStyle w:val="Heading3"/>
      </w:pPr>
      <w:r>
        <w:t xml:space="preserve">Specialty Classification</w:t>
      </w:r>
    </w:p>
    <w:p>
      <w:pPr>
        <w:pStyle w:val="FirstParagraph"/>
      </w:pPr>
      <w:r>
        <w:t xml:space="preserve">Providers were assigned to four mutually exclusive groups: URPS, MIGS, General OB/GYN, or non-URPS urology. We first used the annual CMS provider type (Rndrng_Prvdr_Type), which may vary by year, to identify OB/GYN, urology, or another specialty. Providers billing CPT 57288 who had neither an OB/GYN nor urology CMS type and were not in the ABOG registry were reclassified as urology. Among OB/GYN physicians, the ABOG subspecialty registry identified</w:t>
      </w:r>
      <w:r>
        <w:t xml:space="preserve"> </w:t>
      </w:r>
      <w:r>
        <w:t xml:space="preserve">“Female Pelvic Medicine and Reconstructive Surgery”</w:t>
      </w:r>
      <w:r>
        <w:t xml:space="preserve"> </w:t>
      </w:r>
      <w:r>
        <w:t xml:space="preserve">as URPS and</w:t>
      </w:r>
      <w:r>
        <w:t xml:space="preserve"> </w:t>
      </w:r>
      <w:r>
        <w:t xml:space="preserve">“MIG”</w:t>
      </w:r>
      <w:r>
        <w:t xml:space="preserve"> </w:t>
      </w:r>
      <w:r>
        <w:t xml:space="preserve">as MIGS; all other OB/GYN physicians were classified as General OB/GYN.</w:t>
      </w:r>
    </w:p>
    <w:p>
      <w:pPr>
        <w:pStyle w:val="BodyText"/>
      </w:pPr>
      <w:r>
        <w:t xml:space="preserve">We then cross-referenced the American Board of Urology roster to identify urology-pathway urogynecologists. These physicians were combined with ABOG-certified urogynecologists in a single URPS group; all remaining urologists were classified as non-URPS urology. Without this step, fellowship-trained urology-pathway urogynecologists would appear only as</w:t>
      </w:r>
      <w:r>
        <w:t xml:space="preserve"> </w:t>
      </w:r>
      <w:r>
        <w:t xml:space="preserve">“Urology”</w:t>
      </w:r>
      <w:r>
        <w:t xml:space="preserve"> </w:t>
      </w:r>
      <w:r>
        <w:t xml:space="preserve">in the PUF. We excluded other surgical provider types because they were too heterogeneous to interpret.</w:t>
      </w:r>
    </w:p>
    <w:p>
      <w:pPr>
        <w:pStyle w:val="BodyText"/>
      </w:pPr>
      <w:r>
        <w:t xml:space="preserve">Specialty assignment could affect the estimated market-share trend because 45% of URPS physicians in the cohort were certified after 2013. We therefore used two primary classification schemes to bound the likely change. Fixed-membership classification assigns each physician’s eventual subspecialty to every study year. Because this approach counts physicians as URPS before certification, it provides a lower bound on the rate of increase.</w:t>
      </w:r>
    </w:p>
    <w:p>
      <w:pPr>
        <w:pStyle w:val="BodyText"/>
      </w:pPr>
      <w:r>
        <w:t xml:space="preserve">Time-varying, certification-gated classification counts a physician as URPS or MIGS only beginning in the ABOG subspecialty certification year (sub1startdate, 2013–2024, distinct from the initial OB/GYN board date). Earlier years are classified by that year’s CMS provider type. Because certification generally follows the start of subspecialty practice (the 2013 examination certified physicians already practicing urogynecology, and later diplomates also practiced before certification), this approach misclassifies some pre-certification practice years and provides an upper bound.</w:t>
      </w:r>
    </w:p>
    <w:p>
      <w:pPr>
        <w:pStyle w:val="BodyText"/>
      </w:pPr>
      <w:r>
        <w:t xml:space="preserve">Modal and ever-URPS/MIGS classifications were additional sensitivity analyses. Urology-pathway URPS classification remained fixed because no urology subspecialty certification date was available. For the whole-period distribution, concentration, and volume analyses (Tables 1–3), each physician was assigned to the eventual combined subspecialty.</w:t>
      </w:r>
    </w:p>
    <w:bookmarkEnd w:id="12"/>
    <w:bookmarkStart w:id="13" w:name="cms-data-suppression"/>
    <w:p>
      <w:pPr>
        <w:pStyle w:val="Heading3"/>
      </w:pPr>
      <w:r>
        <w:t xml:space="preserve">CMS Data Suppression</w:t>
      </w:r>
    </w:p>
    <w:p>
      <w:pPr>
        <w:pStyle w:val="FirstParagraph"/>
      </w:pPr>
      <w:r>
        <w:t xml:space="preserve">CMS suppresses provider-service data when a provider treats fewer than 11 Medicare beneficiaries for a given code in a calendar year. Every observable provider in this study therefore treated at least 11 Medicare beneficiaries for CPT 57288 that year. Providers below the threshold are not observed, so the true number of low-volume surgeons is unknown and the reported concentration estimates are lower bounds.</w:t>
      </w:r>
    </w:p>
    <w:bookmarkEnd w:id="13"/>
    <w:bookmarkStart w:id="15" w:name="X46ca734e3ebd5db0ec3b7b3638b7437bae62243"/>
    <w:p>
      <w:pPr>
        <w:pStyle w:val="Heading3"/>
      </w:pPr>
      <w:r>
        <w:t xml:space="preserve">Outcome Measures and Statistical Analysis</w:t>
      </w:r>
    </w:p>
    <w:p>
      <w:pPr>
        <w:pStyle w:val="FirstParagraph"/>
      </w:pPr>
      <w:r>
        <w:t xml:space="preserve">The primary outcome was the annual number of CPT 57288 services per provider (Tot_Srvcs, reported services). We measured surgeon-level concentration with two complementary metrics. The Gini coefficient summarizes inequality across the full surgeon-volume distribution. The Herfindahl–Hirschman Index (HHI) sums squared surgeon shares on a 0–10,000 scale and is more sensitive to the largest-volume surgeons. Both measures were calculated from aggregate provider totals and separately for each calendar year.</w:t>
      </w:r>
    </w:p>
    <w:p>
      <w:pPr>
        <w:pStyle w:val="BodyText"/>
      </w:pPr>
      <w:r>
        <w:t xml:space="preserve">The physician was the operative production unit in these calculations. Thus, HHI describes surgeon-level procedural concentration rather than hospital or health-system market competition and should not be interpreted using FTC/DOJ antitrust thresholds.</w:t>
      </w:r>
    </w:p>
    <w:p>
      <w:pPr>
        <w:pStyle w:val="BodyText"/>
      </w:pPr>
      <w:r>
        <w:t xml:space="preserve">Because each physician contributed as many as eleven annual observations, physician-year records were correlated. We modeled annual procedure count with a Poisson generalized estimating equation clustered by NPI, using an exchangeable working correlation and robust standard errors. Fixed effects included specialty (URPS reference), calendar year, specialty-by-year interaction, and a 2020 COVID indicator. We report adjusted rate ratios with 95% CIs. A negative-binomial mixed model with a random intercept for NPI produced concordant estimates.</w:t>
      </w:r>
    </w:p>
    <w:p>
      <w:pPr>
        <w:pStyle w:val="BodyText"/>
      </w:pPr>
      <w:r>
        <w:t xml:space="preserve">As a secondary analysis with one independent observation per physician, we compared each physician’s median annual volume across specialties using the Kruskal-Wallis test and Bonferroni-adjusted pairwise Wilcoxon tests.</w:t>
      </w:r>
    </w:p>
    <w:p>
      <w:pPr>
        <w:pStyle w:val="BodyText"/>
      </w:pPr>
      <w:r>
        <w:t xml:space="preserve">To estimate market-share trends, we separately regressed each specialty’s annual percentage share on calendar year using ordinary least squares. We modeled URPS, urology, General OB/GYN, and the combined gynecologic share; MIGS was described without formal emphasis because only 10 physicians were identified.</w:t>
      </w:r>
    </w:p>
    <w:p>
      <w:pPr>
        <w:pStyle w:val="BodyText"/>
      </w:pPr>
      <w:r>
        <w:t xml:space="preserve">To describe workforce turnover, we used a two-year washout. A surgeon was classified as an entrant when observable in a given year but absent in both prior observable years; as continuing when observable and not an entrant; and as apparently exiting when absent in both subsequent observable years. We calculated entrant share of annual volume, median entrant volume, and entrants by specialty. Because CMS suppression removes providers below 11 beneficiaries, we use the term newly observable rather than definitively new sling surgeon.</w:t>
      </w:r>
    </w:p>
    <w:p>
      <w:pPr>
        <w:pStyle w:val="BodyText"/>
      </w:pPr>
      <w:r>
        <w:t xml:space="preserve">In a secondary geographic analysis, we tabulated observable surgeons and URPS share by practice state and identified states with no observable URPS surgeon performing at least 11 Medicare slings in any study year. We did not calculate population-based rates because fee-for-service denominators adjusted for Medicare Advantage enrollment were outside the scope of this analysis.</w:t>
      </w:r>
    </w:p>
    <w:p>
      <w:pPr>
        <w:pStyle w:val="BodyText"/>
      </w:pPr>
      <w:r>
        <w:t xml:space="preserve">Analyses were performed in R 4.4, with package versions locked through renv. The complete analytic pipeline is available at</w:t>
      </w:r>
      <w:r>
        <w:t xml:space="preserve"> </w:t>
      </w:r>
      <w:hyperlink r:id="rId14">
        <w:r>
          <w:rPr>
            <w:rStyle w:val="Hyperlink"/>
          </w:rPr>
          <w:t xml:space="preserve">https://github.com/mufflyt/sling-volume-patterns</w:t>
        </w:r>
      </w:hyperlink>
      <w:r>
        <w:t xml:space="preserve">.</w:t>
      </w:r>
    </w:p>
    <w:bookmarkEnd w:id="15"/>
    <w:bookmarkEnd w:id="16"/>
    <w:bookmarkStart w:id="22" w:name="results"/>
    <w:p>
      <w:pPr>
        <w:pStyle w:val="Heading2"/>
      </w:pPr>
      <w:r>
        <w:t xml:space="preserve">Results</w:t>
      </w:r>
    </w:p>
    <w:bookmarkStart w:id="17" w:name="cohort-and-annual-volume"/>
    <w:p>
      <w:pPr>
        <w:pStyle w:val="Heading3"/>
      </w:pPr>
      <w:r>
        <w:t xml:space="preserve">Cohort and Annual Volume</w:t>
      </w:r>
    </w:p>
    <w:p>
      <w:pPr>
        <w:pStyle w:val="FirstParagraph"/>
      </w:pPr>
      <w:r>
        <w:t xml:space="preserve">Across the full 11-year window, 1,789 physicians billed CPT 57288, accounting for 147,632 observed services in 6,937 physician-year observations. Participation was intermittent: 560 physicians (31%) appeared in one year, 756 (42%) in 2–5 years, 365 (20%) in 6–10 years, and 108 (6%) in all 11 years. Thus, only a small proportion maintained an observable Medicare sling practice throughout the study window.</w:t>
      </w:r>
    </w:p>
    <w:p>
      <w:pPr>
        <w:pStyle w:val="BodyText"/>
      </w:pPr>
      <w:r>
        <w:t xml:space="preserve">Observed annual volume declined from 16,399 procedures in 2013 to 12,223 in 2023 (linear trend, -490 procedures/year; p = 0.023). The number of observable surgeons also fell, from 812 to 562. Volume reached a low of 9,228 procedures in 2020, consistent with pandemic-related deferral of elective surgery. It partially recovered to 12,053 in 2022 and 12,223 in 2023 but remained below pre-2020 levels. Therefore, the pooled total masks a decade-long decline in Medicare sling volume.</w:t>
      </w:r>
    </w:p>
    <w:bookmarkEnd w:id="17"/>
    <w:bookmarkStart w:id="18" w:name="specialty-distribution-and-trends"/>
    <w:p>
      <w:pPr>
        <w:pStyle w:val="Heading3"/>
      </w:pPr>
      <w:r>
        <w:t xml:space="preserve">Specialty Distribution and Trends</w:t>
      </w:r>
    </w:p>
    <w:p>
      <w:pPr>
        <w:pStyle w:val="FirstParagraph"/>
      </w:pPr>
      <w:r>
        <w:t xml:space="preserve">URPS was the largest group: 767 physicians contributed 3,913 physician-years and 89,773 procedures (60.8%), with a median annual volume of 19 (p25–p75, 14–28). Non-URPS urology included 689 physicians, 2,032 physician-years, and 38,602 procedures (26.1%; median 16, 13–22). General OB/GYN included 336 physicians, 953 physician-years, and 18,316 procedures (12.4%; median 15, 12–22). MIGS included 10 physicians, 39 physician-years, and 941 procedures (0.6%; median 16, 12–24) (Table 1).</w:t>
      </w:r>
    </w:p>
    <w:p>
      <w:pPr>
        <w:pStyle w:val="BodyText"/>
      </w:pPr>
      <w:r>
        <w:t xml:space="preserve">Because 13 physicians changed specialty groups across years, specialty-specific physician counts exceed the unique cohort total. Including urology-pathway urogynecologists reassigned 151 physicians and 12,272 procedures from urology to URPS compared with an ABOG-only classification.</w:t>
      </w:r>
    </w:p>
    <w:p>
      <w:pPr>
        <w:pStyle w:val="BodyText"/>
      </w:pPr>
      <w:r>
        <w:t xml:space="preserve">Annual market shares moved in different directions (Table 1). URPS increased from 53.4% in 2013 to 63.8% in 2023 (+0.90 percentage points/year; 95% CI 0.51 to 1.28; p &lt; 0.001). Urology decreased from 30.7% to 23.1% (-0.55 percentage points/year; 95% CI -0.84 to -0.26; p = 0.002), and General OB/GYN decreased from 15.7% to 12.3% (-0.41 percentage points/year; 95% CI -0.66 to -0.17; p = 0.004). MIGS increased descriptively from 0.2% to 0.8% (+0.07 percentage points/year), but this estimate is based on only 10 physicians. Because total volume declined, these changes represent redistribution among specialties rather than procedure growth.</w:t>
      </w:r>
    </w:p>
    <w:p>
      <w:pPr>
        <w:pStyle w:val="BodyText"/>
      </w:pPr>
      <w:r>
        <w:t xml:space="preserve">The URPS increase was significant under every classification scheme, and the schemes bracketed its slope (Table 4). Fixed membership gave the shallower estimate because it counts physicians as URPS before certification: URPS share rose from 53.4% to 63.8% (+0.90 percentage points/year), and the gynecologic share from 60.8% to 70.1% (+0.85 percentage points/year). Certification-gated classification gave the steeper estimate, from 42.2% to 62.8% (+1.52 percentage points/year), because it removes not-yet-certified physicians from the early URPS count; the two estimates converged near 62.8% by 2023.</w:t>
      </w:r>
    </w:p>
    <w:p>
      <w:pPr>
        <w:pStyle w:val="BodyText"/>
      </w:pPr>
      <w:r>
        <w:t xml:space="preserve">In the Poisson GEE clustered by NPI, adjusted annual volume was lower than URPS for every other group: urology RR 0.80 (0.70–0.92), General OB/GYN RR 0.68 (0.51–0.92), and MIGS RR 0.56 (0.40–0.79) (Table 3). Annual volume was approximately 11% lower in 2020 (RR 0.88 (0.85–0.92); p &lt; 0.001). There was no overall change in per-physician volume over time (year RR 1.00 (0.99–1.01); p = 0.516). The one-observation-per-physician secondary analysis was concordant (Kruskal-Wallis H = 66.6, df = 3, p &lt; 0.001); URPS volume exceeded both urology and General OB/GYN in pairwise comparisons (p &lt; 0.001).</w:t>
      </w:r>
    </w:p>
    <w:bookmarkEnd w:id="18"/>
    <w:bookmarkStart w:id="19" w:name="surgeon-volume-and-concentration"/>
    <w:p>
      <w:pPr>
        <w:pStyle w:val="Heading3"/>
      </w:pPr>
      <w:r>
        <w:t xml:space="preserve">Surgeon Volume and Concentration</w:t>
      </w:r>
    </w:p>
    <w:p>
      <w:pPr>
        <w:pStyle w:val="FirstParagraph"/>
      </w:pPr>
      <w:r>
        <w:t xml:space="preserve">Among the three well-populated groups, pooled multi-year concentration was lowest for URPS (Gini 0.52, HHI 27; top 10% performed 34.4% and top 20% performed 53.9%). Concentration was slightly higher for urology (Gini 0.53, HHI 35; top 20% performed 58.7%) and General OB/GYN (Gini 0.56, HHI 89; top 20% performed 62.2%) (Table 2).</w:t>
      </w:r>
    </w:p>
    <w:p>
      <w:pPr>
        <w:pStyle w:val="BodyText"/>
      </w:pPr>
      <w:r>
        <w:t xml:space="preserve">The Gini coefficient and HHI ranked the groups identically. However, the absolute HHI values for all three groups were very low (27–89 of 10,000), indicating that sling volume was unevenly distributed across many surgeons rather than dominated by a few. URPS also had the highest median annual volume and upper quartile (median 19; p75 28).</w:t>
      </w:r>
    </w:p>
    <w:p>
      <w:pPr>
        <w:pStyle w:val="BodyText"/>
      </w:pPr>
      <w:r>
        <w:t xml:space="preserve">Within-year concentration was low and stable. The pooled annual Gini ranged from 0.26 to 0.28, with no temporal trend (p = 0.733), and the annual top 20% performed approximately 38% of cases. No specialty-specific annual Gini changed significantly (all p &gt; 0.15). Thus, care did not become concentrated among a smaller group of high-volume surgeons as the observable surgeon pool contracted. MIGS was excluded from these comparisons because only 10 physicians were identified (1–4 per year); its nominal Gini of 0.61 and HHI of 3,036 are not stable specialty-wide estimates.</w:t>
      </w:r>
    </w:p>
    <w:bookmarkEnd w:id="19"/>
    <w:bookmarkStart w:id="20" w:name="workforce-entry-and-exit"/>
    <w:p>
      <w:pPr>
        <w:pStyle w:val="Heading3"/>
      </w:pPr>
      <w:r>
        <w:t xml:space="preserve">Workforce Entry and Exit</w:t>
      </w:r>
    </w:p>
    <w:p>
      <w:pPr>
        <w:pStyle w:val="FirstParagraph"/>
      </w:pPr>
      <w:r>
        <w:t xml:space="preserve">Using the two-year washout (Table 5), 48–168 surgeons were newly observable each year and performed 7.4%–22.5% of annual volume. Their median annual volume was low, at approximately 13 procedures, consistent with surgeons appearing just above the CMS suppression threshold. Entry fell to 48 surgeons and 7.4% of volume in 2020, then rebounded to 168 surgeons and 22.5% of volume in 2022. Continuing surgeons (381–584 per year) performed most annual procedures, while apparent exits ranged from 66 to 230 per year.</w:t>
      </w:r>
    </w:p>
    <w:p>
      <w:pPr>
        <w:pStyle w:val="BodyText"/>
      </w:pPr>
      <w:r>
        <w:t xml:space="preserve">Across the study period, URPS contributed the most entrants (480), followed by urology (421), General OB/GYN (205), and MIGS (8). The rising URPS share reflected the largest inflow of newly observable surgeons together with a relatively stable continuing-URPS base (URPS surgeon count 385 to 338; per-physician volume unchanged). Urology showed substantial turnover but net attrition, and General OB/GYN lost both surgeons and market share.</w:t>
      </w:r>
    </w:p>
    <w:p>
      <w:pPr>
        <w:pStyle w:val="BodyText"/>
      </w:pPr>
      <w:r>
        <w:t xml:space="preserve">Because total volume declined, the gynecologic gain represents a redistribution of a shrinking procedure pool toward URPS, not new procedure growth. All turnover counts describe newly observable rather than definitively new surgeons because low-volume providers are suppressed.</w:t>
      </w:r>
    </w:p>
    <w:bookmarkEnd w:id="20"/>
    <w:bookmarkStart w:id="21" w:name="geographic-distribution-secondary"/>
    <w:p>
      <w:pPr>
        <w:pStyle w:val="Heading3"/>
      </w:pPr>
      <w:r>
        <w:t xml:space="preserve">Geographic Distribution (Secondary)</w:t>
      </w:r>
    </w:p>
    <w:p>
      <w:pPr>
        <w:pStyle w:val="FirstParagraph"/>
      </w:pPr>
      <w:r>
        <w:t xml:space="preserve">Practice locations spanned 52 states and territories. The URPS share of observable sling surgeons varied from 100% in Hawaii and 82%–85% in Minnesota, the District of Columbia, and Connecticut to 15% in Nebraska. Alaska, North Dakota, Puerto Rico, and Wyoming had no observable URPS surgeon performing at least 11 Medicare slings in any study year. Because of CMS suppression, this finding indicates no observable higher-volume URPS surgeon, not necessarily no URPS physician. Population-based rates and formal geographic inequality measures were reserved for a separate access-focused analysis.</w:t>
      </w:r>
    </w:p>
    <w:bookmarkEnd w:id="21"/>
    <w:bookmarkEnd w:id="22"/>
    <w:bookmarkStart w:id="28" w:name="discussion"/>
    <w:p>
      <w:pPr>
        <w:pStyle w:val="Heading2"/>
      </w:pPr>
      <w:r>
        <w:t xml:space="preserve">Discussion</w:t>
      </w:r>
    </w:p>
    <w:p>
      <w:pPr>
        <w:pStyle w:val="FirstParagraph"/>
      </w:pPr>
      <w:r>
        <w:t xml:space="preserve">This national Medicare analysis produced three main findings. First, URPS physicians performed most sling operations for SUI (60.8%) and had the highest adjusted per-physician volume. Second, the gynecologic share increased over the decade as URPS surgeons entered the observable workforce and non-URPS surgeons left. Third, surgeon-level concentration remained low and stable despite a shrinking surgeon pool. Together, these findings indicate a change in workforce composition rather than intensification of individual practice or concentration of care.</w:t>
      </w:r>
    </w:p>
    <w:bookmarkStart w:id="23" w:name="X91e1c95b037f473535ecf00410a7735e835e926"/>
    <w:p>
      <w:pPr>
        <w:pStyle w:val="Heading3"/>
      </w:pPr>
      <w:r>
        <w:t xml:space="preserve">Specialty Distribution and the Historical Reversal</w:t>
      </w:r>
    </w:p>
    <w:p>
      <w:pPr>
        <w:pStyle w:val="FirstParagraph"/>
      </w:pPr>
      <w:r>
        <w:t xml:space="preserve">URPS physicians performed approximately three-fifths of Medicare slings, and gynecologists collectively performed the majority. This finding is consistent with contemporary practice-pattern data but reverses earlier Medicare-specific patterns. In ACS-NSQIP data from 2006 through 2013, James et al. reported that gynecologists performed 74.2% of sling procedures and urologists performed 25.8%.</w:t>
      </w:r>
      <w:r>
        <w:rPr>
          <w:vertAlign w:val="superscript"/>
        </w:rPr>
        <w:t xml:space="preserve">9</w:t>
      </w:r>
      <w:r>
        <w:t xml:space="preserve"> </w:t>
      </w:r>
      <w:r>
        <w:t xml:space="preserve">Cantrell et al. found that urogynecologists performed 54% of stress-incontinence procedures at academic centers from 2009 through 2014.</w:t>
      </w:r>
      <w:r>
        <w:rPr>
          <w:vertAlign w:val="superscript"/>
        </w:rPr>
        <w:t xml:space="preserve">10</w:t>
      </w:r>
      <w:r>
        <w:t xml:space="preserve"> </w:t>
      </w:r>
      <w:r>
        <w:t xml:space="preserve">In Medicare data from 2002 through 2007, however, Rogo-Gupta et al. found that urologists performed most sling operations.</w:t>
      </w:r>
      <w:r>
        <w:rPr>
          <w:vertAlign w:val="superscript"/>
        </w:rPr>
        <w:t xml:space="preserve">11</w:t>
      </w:r>
      <w:r>
        <w:t xml:space="preserve"> </w:t>
      </w:r>
      <w:r>
        <w:t xml:space="preserve">Our 2013–2023 findings indicate that this historical pattern has reversed, with URPS now the largest single specialty group.</w:t>
      </w:r>
    </w:p>
    <w:p>
      <w:pPr>
        <w:pStyle w:val="BodyText"/>
      </w:pPr>
      <w:r>
        <w:t xml:space="preserve">Including both certification pathways was essential to this result. Cross-referencing the ABU roster reassigned 151 urology-typed physicians, representing 8.3% of all sling procedures, to URPS. The concentration estimate was robust: the pooled URPS Gini changed only from 0.52 to 0.52. A pathway-neutral definition also reflects differences in operative case volume between urology- and gynecology-based URPS fellowships</w:t>
      </w:r>
      <w:r>
        <w:rPr>
          <w:vertAlign w:val="superscript"/>
        </w:rPr>
        <w:t xml:space="preserve">14</w:t>
      </w:r>
      <w:r>
        <w:t xml:space="preserve"> </w:t>
      </w:r>
      <w:r>
        <w:t xml:space="preserve">and variable FPMRS exposure during urology residency.</w:t>
      </w:r>
      <w:r>
        <w:rPr>
          <w:vertAlign w:val="superscript"/>
        </w:rPr>
        <w:t xml:space="preserve">15</w:t>
      </w:r>
      <w:r>
        <w:t xml:space="preserve"> </w:t>
      </w:r>
      <w:r>
        <w:t xml:space="preserve">Classifying urology-pathway urogynecologists as general urologists would therefore understate the true subspecialty share.</w:t>
      </w:r>
    </w:p>
    <w:bookmarkEnd w:id="23"/>
    <w:bookmarkStart w:id="24" w:name="X20e52b27fb040b539cc76dcaad27d56a4599e1f"/>
    <w:p>
      <w:pPr>
        <w:pStyle w:val="Heading3"/>
      </w:pPr>
      <w:r>
        <w:t xml:space="preserve">Procedural Concentration and the Volume–Outcome Relationship</w:t>
      </w:r>
    </w:p>
    <w:p>
      <w:pPr>
        <w:pStyle w:val="FirstParagraph"/>
      </w:pPr>
      <w:r>
        <w:t xml:space="preserve">The Gini coefficient and HHI provide complementary views of concentration, and both supported the same conclusion. Moderate inequality across the full distribution (Gini 0.52–0.56) coexisted with very low absolute HHI values (27–89 of 10,000). In other words, sling volume was distributed unevenly across many surgeons but was not dominated by a few. Because the physician was the production unit, these values describe surgeon-level procedural concentration rather than market competition.</w:t>
      </w:r>
    </w:p>
    <w:p>
      <w:pPr>
        <w:pStyle w:val="BodyText"/>
      </w:pPr>
      <w:r>
        <w:t xml:space="preserve">These patterns matter because greater surgeon volume has been associated with better outcomes after midurethral sling surgery. Berger et al. reported a lower adjusted risk of reoperation for sling failure among higher-volume surgeons.</w:t>
      </w:r>
      <w:r>
        <w:rPr>
          <w:vertAlign w:val="superscript"/>
        </w:rPr>
        <w:t xml:space="preserve">16</w:t>
      </w:r>
      <w:r>
        <w:t xml:space="preserve"> </w:t>
      </w:r>
      <w:r>
        <w:t xml:space="preserve">A systematic review by Cartier et al. found that low-volume surgeons had higher odds of mesh revision and repeat incontinence procedures.</w:t>
      </w:r>
      <w:r>
        <w:rPr>
          <w:vertAlign w:val="superscript"/>
        </w:rPr>
        <w:t xml:space="preserve">17</w:t>
      </w:r>
      <w:r>
        <w:t xml:space="preserve"> </w:t>
      </w:r>
      <w:r>
        <w:t xml:space="preserve">Brennand and Quan observed lower revision odds above approximately 50 cases per year,</w:t>
      </w:r>
      <w:r>
        <w:rPr>
          <w:vertAlign w:val="superscript"/>
        </w:rPr>
        <w:t xml:space="preserve">18</w:t>
      </w:r>
      <w:r>
        <w:t xml:space="preserve"> </w:t>
      </w:r>
      <w:r>
        <w:t xml:space="preserve">and Holdø and Svenningsen found better objective cure rates with greater surgeon experience and annual volume.</w:t>
      </w:r>
      <w:r>
        <w:rPr>
          <w:vertAlign w:val="superscript"/>
        </w:rPr>
        <w:t xml:space="preserve">19</w:t>
      </w:r>
      <w:r>
        <w:t xml:space="preserve"> </w:t>
      </w:r>
      <w:r>
        <w:t xml:space="preserve">The observed Medicare medians of 15–19 procedures per year fall below these thresholds. However, the PUF omits commercially insured, Medicare Advantage, and younger patients, so total practice volume is higher. In addition, providers below the CMS suppression threshold are absent.</w:t>
      </w:r>
    </w:p>
    <w:bookmarkEnd w:id="24"/>
    <w:bookmarkStart w:id="25" w:name="X72407f3d2516cff3e371fde2da482981afe0115"/>
    <w:p>
      <w:pPr>
        <w:pStyle w:val="Heading3"/>
      </w:pPr>
      <w:r>
        <w:t xml:space="preserve">Temporal Trends, Workforce Dynamics, and the Evolving SUI Landscape</w:t>
      </w:r>
    </w:p>
    <w:p>
      <w:pPr>
        <w:pStyle w:val="FirstParagraph"/>
      </w:pPr>
      <w:r>
        <w:t xml:space="preserve">The repeated-measures model and turnover analysis clarify why the gynecologic share increased. Individual physician volume did not change over time, but the number of non-URPS surgeons fell while the URPS pool remained comparatively stable. URPS also contributed the largest inflow of newly observable surgeons, whereas urology had substantial turnover but a net decline. The market-share shift therefore reflects workforce composition within a shrinking procedure pool, not increasing individual volume or concentration.</w:t>
      </w:r>
    </w:p>
    <w:p>
      <w:pPr>
        <w:pStyle w:val="BodyText"/>
      </w:pPr>
      <w:r>
        <w:t xml:space="preserve">This mechanism is consistent with prior work. Siegal et al. found that the post-2011 decline in sling placement was driven mainly by non-FPMRS providers, while FPMRS providers maintained their volumes.</w:t>
      </w:r>
      <w:r>
        <w:rPr>
          <w:vertAlign w:val="superscript"/>
        </w:rPr>
        <w:t xml:space="preserve">12</w:t>
      </w:r>
      <w:r>
        <w:t xml:space="preserve"> </w:t>
      </w:r>
      <w:r>
        <w:t xml:space="preserve">Lee et al. documented an approximately 50% national decline in incontinence surgery from 2004 through 2013.</w:t>
      </w:r>
      <w:r>
        <w:rPr>
          <w:vertAlign w:val="superscript"/>
        </w:rPr>
        <w:t xml:space="preserve">13</w:t>
      </w:r>
      <w:r>
        <w:t xml:space="preserve"> </w:t>
      </w:r>
      <w:r>
        <w:t xml:space="preserve">The 2020 decline in our study (RR 0.88) is consistent with pandemic-related deferral of elective surgery and remained robust when 2020 was excluded.</w:t>
      </w:r>
    </w:p>
    <w:p>
      <w:pPr>
        <w:pStyle w:val="BodyText"/>
      </w:pPr>
      <w:r>
        <w:t xml:space="preserve">The SUI treatment landscape also continues to change. Urethral bulking agents are now positioned alongside slings as a first-line surgical option,</w:t>
      </w:r>
      <w:r>
        <w:rPr>
          <w:vertAlign w:val="superscript"/>
        </w:rPr>
        <w:t xml:space="preserve">3,20</w:t>
      </w:r>
      <w:r>
        <w:t xml:space="preserve"> </w:t>
      </w:r>
      <w:r>
        <w:t xml:space="preserve">and ongoing surveillance is needed to determine whether this shift affects specialty-specific sling volume.</w:t>
      </w:r>
    </w:p>
    <w:bookmarkEnd w:id="25"/>
    <w:bookmarkStart w:id="26" w:name="limitations"/>
    <w:p>
      <w:pPr>
        <w:pStyle w:val="Heading3"/>
      </w:pPr>
      <w:r>
        <w:t xml:space="preserve">Limitations</w:t>
      </w:r>
    </w:p>
    <w:p>
      <w:pPr>
        <w:pStyle w:val="FirstParagraph"/>
      </w:pPr>
      <w:r>
        <w:t xml:space="preserve">This study has five limitations. First, CMS suppresses provider-level data for fewer than 11 beneficiaries, so the lowest-volume surgeons are not observed and concentration estimates are lower bounds. Second, the PUF includes only fee-for-service Medicare Part B claims; younger patients and those covered by Medicare Advantage, Medicaid, commercial insurance, or no insurance are not represented.</w:t>
      </w:r>
    </w:p>
    <w:p>
      <w:pPr>
        <w:pStyle w:val="BodyText"/>
      </w:pPr>
      <w:r>
        <w:t xml:space="preserve">Third, specialty classification depends on CMS provider type and the ABOG/ABU rosters. Physicians who completed URPS fellowship but were not board-certified may therefore be misclassified. Fourth, the market-share trend is bounded rather than point-identified. Certification follows the start of subspecialty practice, so the certification-gated approach (upper bound) assigns some pre-certification practice years to General OB/GYN or urology. Conversely, fixed membership (lower bound) assigns physicians to URPS before they subspecialized. The true trend lies between these estimates and would require unavailable fellowship-completion dates for point identification.</w:t>
      </w:r>
    </w:p>
    <w:p>
      <w:pPr>
        <w:pStyle w:val="BodyText"/>
      </w:pPr>
      <w:r>
        <w:t xml:space="preserve">Approximately 8% of URPS physicians could not be matched to a certification year, and urology-pathway URPS classification remained fixed because no urology subspecialty date was available; both features narrow the certification-gated estimate. Fifth, Tot_Srvcs may include bilateral or modifier-inflated services.</w:t>
      </w:r>
    </w:p>
    <w:bookmarkEnd w:id="26"/>
    <w:bookmarkStart w:id="27" w:name="strengths"/>
    <w:p>
      <w:pPr>
        <w:pStyle w:val="Heading3"/>
      </w:pPr>
      <w:r>
        <w:t xml:space="preserve">Strengths</w:t>
      </w:r>
    </w:p>
    <w:p>
      <w:pPr>
        <w:pStyle w:val="FirstParagraph"/>
      </w:pPr>
      <w:r>
        <w:t xml:space="preserve">Strengths include a national, complete sample of fee-for-service Medicare claims; identification of urogynecologists through both certification pathways; complementary surgeon-level concentration measures calculated both overall and by year; a model that accounts for repeated observations within physicians; and a fully reproducible analytic pipeline.</w:t>
      </w:r>
    </w:p>
    <w:bookmarkEnd w:id="27"/>
    <w:bookmarkEnd w:id="28"/>
    <w:bookmarkStart w:id="29" w:name="conclusions"/>
    <w:p>
      <w:pPr>
        <w:pStyle w:val="Heading2"/>
      </w:pPr>
      <w:r>
        <w:t xml:space="preserve">Conclusions</w:t>
      </w:r>
    </w:p>
    <w:p>
      <w:pPr>
        <w:pStyle w:val="FirstParagraph"/>
      </w:pPr>
      <w:r>
        <w:t xml:space="preserve">In this national fee-for-service Medicare cohort, URPS physicians performed most sling operations for SUI, had the highest adjusted per-physician volume, and had the most even within-group volume distribution. The growing gynecologic share reflected attrition among non-URPS providers rather than increasing surgeon-level concentration. These workforce shifts should inform training requirements, credentialing standards, and access planning for pelvic floor surgical care.</w:t>
      </w:r>
    </w:p>
    <w:bookmarkEnd w:id="29"/>
    <w:bookmarkStart w:id="31" w:name="references"/>
    <w:p>
      <w:pPr>
        <w:pStyle w:val="Heading2"/>
      </w:pPr>
      <w:r>
        <w:t xml:space="preserve">References</w:t>
      </w:r>
    </w:p>
    <w:p>
      <w:pPr>
        <w:pStyle w:val="Compact"/>
        <w:numPr>
          <w:ilvl w:val="0"/>
          <w:numId w:val="1001"/>
        </w:numPr>
      </w:pPr>
      <w:r>
        <w:t xml:space="preserve">Wu JM. Stress incontinence in women. N Engl J Med. 2021;384(25):2428-2436.</w:t>
      </w:r>
    </w:p>
    <w:p>
      <w:pPr>
        <w:pStyle w:val="Compact"/>
        <w:numPr>
          <w:ilvl w:val="0"/>
          <w:numId w:val="1001"/>
        </w:numPr>
      </w:pPr>
      <w:r>
        <w:t xml:space="preserve">Ford AA, Rogerson L, Cody JD, Aluko P, Ogah JA. Mid-urethral sling operations for stress urinary incontinence in women. Cochrane Database Syst Rev. 2017;7(7):CD006375.</w:t>
      </w:r>
    </w:p>
    <w:p>
      <w:pPr>
        <w:pStyle w:val="Compact"/>
        <w:numPr>
          <w:ilvl w:val="0"/>
          <w:numId w:val="1001"/>
        </w:numPr>
      </w:pPr>
      <w:r>
        <w:t xml:space="preserve">Kobashi KC, Vasavada S, Bloschichak A, et al. Updates to surgical treatment of female stress urinary incontinence (SUI): AUA/SUFU guideline (2023). J Urol. 2023;209(6):1091-1098.</w:t>
      </w:r>
    </w:p>
    <w:p>
      <w:pPr>
        <w:pStyle w:val="Compact"/>
        <w:numPr>
          <w:ilvl w:val="0"/>
          <w:numId w:val="1001"/>
        </w:numPr>
      </w:pPr>
      <w:r>
        <w:t xml:space="preserve">Birkmeyer JD, Stukel TA, Siewers AE, Goodney PP, Wennberg DE, Lucas FL. Surgeon volume and operative mortality in the United States. N Engl J Med. 2003;349(22):2117-2127.</w:t>
      </w:r>
    </w:p>
    <w:p>
      <w:pPr>
        <w:pStyle w:val="Compact"/>
        <w:numPr>
          <w:ilvl w:val="0"/>
          <w:numId w:val="1001"/>
        </w:numPr>
      </w:pPr>
      <w:r>
        <w:t xml:space="preserve">Reames BN, Ghaferi AA, Birkmeyer JD, Dimick JB. Hospital volume and operative mortality in the modern era. Ann Surg. 2014;260(2):244-251.</w:t>
      </w:r>
    </w:p>
    <w:p>
      <w:pPr>
        <w:pStyle w:val="Compact"/>
        <w:numPr>
          <w:ilvl w:val="0"/>
          <w:numId w:val="1001"/>
        </w:numPr>
      </w:pPr>
      <w:r>
        <w:t xml:space="preserve">American Board of Medical Specialties. ABMS announces approval of new subspecialty certificate in female pelvic medicine and reconstructive surgery. 2011. Available at:</w:t>
      </w:r>
      <w:r>
        <w:t xml:space="preserve"> </w:t>
      </w:r>
      <w:hyperlink r:id="rId30">
        <w:r>
          <w:rPr>
            <w:rStyle w:val="Hyperlink"/>
          </w:rPr>
          <w:t xml:space="preserve">https://www.abms.org</w:t>
        </w:r>
      </w:hyperlink>
      <w:r>
        <w:t xml:space="preserve">.</w:t>
      </w:r>
    </w:p>
    <w:p>
      <w:pPr>
        <w:pStyle w:val="Compact"/>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pStyle w:val="Compact"/>
        <w:numPr>
          <w:ilvl w:val="0"/>
          <w:numId w:val="1001"/>
        </w:numPr>
      </w:pPr>
      <w:r>
        <w:t xml:space="preserve">Stitzenberg KB, Sigurdson ER, Egleston BL, Starkey RB, Meropol NJ. Centralization of cancer surgery: implications for patient access to optimal care. J Clin Oncol. 2009;27(28):4671-4678.</w:t>
      </w:r>
    </w:p>
    <w:p>
      <w:pPr>
        <w:pStyle w:val="Compact"/>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pStyle w:val="Compact"/>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pStyle w:val="Compact"/>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pStyle w:val="Compact"/>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pStyle w:val="Compact"/>
        <w:numPr>
          <w:ilvl w:val="0"/>
          <w:numId w:val="1001"/>
        </w:numPr>
      </w:pPr>
      <w:r>
        <w:t xml:space="preserve">Lee UJ, Feinstein L, Ward JB, et al; Urologic Diseases in America Project. National trends in the surgical management of urinary incontinence among insured women, 2004 to 2013. J Urol. 2020;203(2):365-371.</w:t>
      </w:r>
    </w:p>
    <w:p>
      <w:pPr>
        <w:pStyle w:val="Compact"/>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pStyle w:val="Compact"/>
        <w:numPr>
          <w:ilvl w:val="0"/>
          <w:numId w:val="1001"/>
        </w:numPr>
      </w:pPr>
      <w:r>
        <w:t xml:space="preserve">Wang CN, Su IW, Smith AL, Badalato GM, Chung DE. Current exposure to female pelvic medicine and reconstructive surgery faculty during urology residency. Neurourol Urodyn. 2023;42(7):1569-1573.</w:t>
      </w:r>
    </w:p>
    <w:p>
      <w:pPr>
        <w:pStyle w:val="Compact"/>
        <w:numPr>
          <w:ilvl w:val="0"/>
          <w:numId w:val="1001"/>
        </w:numPr>
      </w:pPr>
      <w:r>
        <w:t xml:space="preserve">Berger AA, Tan-Kim J, Menefee SA. Surgeon volume and reoperation risk after midurethral sling surgery. Am J Obstet Gynecol. 2019;221(5):523.e1-523.e8.</w:t>
      </w:r>
    </w:p>
    <w:p>
      <w:pPr>
        <w:pStyle w:val="Compact"/>
        <w:numPr>
          <w:ilvl w:val="0"/>
          <w:numId w:val="1001"/>
        </w:numPr>
      </w:pPr>
      <w:r>
        <w:t xml:space="preserve">Cartier S, Cerantola GM, Leung AA, Brennand E. The impact of surgeon operative volume on risk of reoperation within 5 years of mid-urethral sling: a systematic review. Int Urogynecol J. 2023;34(5):981-992.</w:t>
      </w:r>
    </w:p>
    <w:p>
      <w:pPr>
        <w:pStyle w:val="Compact"/>
        <w:numPr>
          <w:ilvl w:val="0"/>
          <w:numId w:val="1001"/>
        </w:numPr>
      </w:pPr>
      <w:r>
        <w:t xml:space="preserve">Brennand EA, Quan H. Evaluation of the effect of surgeon’s operative volume and specialty on likelihood of revision after mesh midurethral sling placement. Obstet Gynecol. 2019;133(6):1099-1108.</w:t>
      </w:r>
    </w:p>
    <w:p>
      <w:pPr>
        <w:pStyle w:val="Compact"/>
        <w:numPr>
          <w:ilvl w:val="0"/>
          <w:numId w:val="1001"/>
        </w:numPr>
      </w:pPr>
      <w:r>
        <w:t xml:space="preserve">Holdø B, Svenningsen R. The impact from surgical experience on short- and long-term success rates after mid-urethral sling surgery. Int Urogynecol J. 2026 (epub ahead of print).</w:t>
      </w:r>
    </w:p>
    <w:p>
      <w:pPr>
        <w:pStyle w:val="Compact"/>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31"/>
    <w:bookmarkStart w:id="32" w:name="tables"/>
    <w:p>
      <w:pPr>
        <w:pStyle w:val="Heading2"/>
      </w:pPr>
      <w:r>
        <w:t xml:space="preserve">Tables</w:t>
      </w:r>
    </w:p>
    <w:p>
      <w:pPr>
        <w:pStyle w:val="FirstParagraph"/>
      </w:pPr>
      <w:r>
        <w:rPr>
          <w:b/>
          <w:bCs/>
        </w:rPr>
        <w:t xml:space="preserve">Table 1.</w:t>
      </w:r>
      <w:r>
        <w:t xml:space="preserve"> </w:t>
      </w:r>
      <w:r>
        <w:t xml:space="preserve">Specialty distribution and market-share trends among physicians billing CPT 57288, Medicare PUF 2013–2023 (combined URPS). Δ share is the annual percentage-point change from ordinary least-squares regression on calendar year. Specialty-specific physician counts exceed 1,789 because 13 physicians changed groups across years. *MIGS estimates are descriptive because only 10 physicians were identified.</w:t>
      </w:r>
    </w:p>
    <w:tbl>
      <w:tblPr>
        <w:tblStyle w:val="Table"/>
        <w:tblW w:type="pct" w:w="5000"/>
        <w:tblLayout w:type="fixed"/>
        <w:tblLook w:firstRow="1" w:lastRow="0" w:firstColumn="0" w:lastColumn="0" w:noHBand="0" w:noVBand="0" w:val="0020"/>
      </w:tblPr>
      <w:tblGrid>
        <w:gridCol w:w="1002"/>
        <w:gridCol w:w="952"/>
        <w:gridCol w:w="852"/>
        <w:gridCol w:w="651"/>
        <w:gridCol w:w="501"/>
        <w:gridCol w:w="1102"/>
        <w:gridCol w:w="601"/>
        <w:gridCol w:w="601"/>
        <w:gridCol w:w="1253"/>
        <w:gridCol w:w="401"/>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Procedures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Delta share/yr (95% CI)</w:t>
            </w:r>
          </w:p>
        </w:tc>
        <w:tc>
          <w:tcPr/>
          <w:p>
            <w:pPr>
              <w:pStyle w:val="Compact"/>
            </w:pPr>
            <w:r>
              <w:t xml:space="preserve">p</w:t>
            </w:r>
          </w:p>
        </w:tc>
      </w:tr>
      <w:tr>
        <w:tc>
          <w:tcPr/>
          <w:p>
            <w:pPr>
              <w:pStyle w:val="Compact"/>
            </w:pPr>
            <w:r>
              <w:t xml:space="preserve">URPS</w:t>
            </w:r>
          </w:p>
        </w:tc>
        <w:tc>
          <w:tcPr/>
          <w:p>
            <w:pPr>
              <w:pStyle w:val="Compact"/>
            </w:pPr>
            <w:r>
              <w:t xml:space="preserve">767</w:t>
            </w:r>
          </w:p>
        </w:tc>
        <w:tc>
          <w:tcPr/>
          <w:p>
            <w:pPr>
              <w:pStyle w:val="Compact"/>
            </w:pPr>
            <w:r>
              <w:t xml:space="preserve">3,913</w:t>
            </w:r>
          </w:p>
        </w:tc>
        <w:tc>
          <w:tcPr/>
          <w:p>
            <w:pPr>
              <w:pStyle w:val="Compact"/>
            </w:pPr>
            <w:r>
              <w:t xml:space="preserve">89,773</w:t>
            </w:r>
          </w:p>
        </w:tc>
        <w:tc>
          <w:tcPr/>
          <w:p>
            <w:pPr>
              <w:pStyle w:val="Compact"/>
            </w:pPr>
            <w:r>
              <w:t xml:space="preserve">60.8%</w:t>
            </w:r>
          </w:p>
        </w:tc>
        <w:tc>
          <w:tcPr/>
          <w:p>
            <w:pPr>
              <w:pStyle w:val="Compact"/>
            </w:pPr>
            <w:r>
              <w:t xml:space="preserve">19 (14–28)</w:t>
            </w:r>
          </w:p>
        </w:tc>
        <w:tc>
          <w:tcPr/>
          <w:p>
            <w:pPr>
              <w:pStyle w:val="Compact"/>
            </w:pPr>
            <w:r>
              <w:t xml:space="preserve">53.4%</w:t>
            </w:r>
          </w:p>
        </w:tc>
        <w:tc>
          <w:tcPr/>
          <w:p>
            <w:pPr>
              <w:pStyle w:val="Compact"/>
            </w:pPr>
            <w:r>
              <w:t xml:space="preserve">63.8%</w:t>
            </w:r>
          </w:p>
        </w:tc>
        <w:tc>
          <w:tcPr/>
          <w:p>
            <w:pPr>
              <w:pStyle w:val="Compact"/>
            </w:pPr>
            <w:r>
              <w:t xml:space="preserve">+0.90 (0.51 to 1.28)</w:t>
            </w:r>
          </w:p>
        </w:tc>
        <w:tc>
          <w:tcPr/>
          <w:p>
            <w:pPr>
              <w:pStyle w:val="Compact"/>
            </w:pPr>
            <w:r>
              <w:t xml:space="preserve">&lt;0.001</w:t>
            </w:r>
          </w:p>
        </w:tc>
      </w:tr>
      <w:tr>
        <w:tc>
          <w:tcPr/>
          <w:p>
            <w:pPr>
              <w:pStyle w:val="Compact"/>
            </w:pPr>
            <w:r>
              <w:t xml:space="preserve">Urology (non-URPS)</w:t>
            </w:r>
          </w:p>
        </w:tc>
        <w:tc>
          <w:tcPr/>
          <w:p>
            <w:pPr>
              <w:pStyle w:val="Compact"/>
            </w:pPr>
            <w:r>
              <w:t xml:space="preserve">689</w:t>
            </w:r>
          </w:p>
        </w:tc>
        <w:tc>
          <w:tcPr/>
          <w:p>
            <w:pPr>
              <w:pStyle w:val="Compact"/>
            </w:pPr>
            <w:r>
              <w:t xml:space="preserve">2,032</w:t>
            </w:r>
          </w:p>
        </w:tc>
        <w:tc>
          <w:tcPr/>
          <w:p>
            <w:pPr>
              <w:pStyle w:val="Compact"/>
            </w:pPr>
            <w:r>
              <w:t xml:space="preserve">38,602</w:t>
            </w:r>
          </w:p>
        </w:tc>
        <w:tc>
          <w:tcPr/>
          <w:p>
            <w:pPr>
              <w:pStyle w:val="Compact"/>
            </w:pPr>
            <w:r>
              <w:t xml:space="preserve">26.1%</w:t>
            </w:r>
          </w:p>
        </w:tc>
        <w:tc>
          <w:tcPr/>
          <w:p>
            <w:pPr>
              <w:pStyle w:val="Compact"/>
            </w:pPr>
            <w:r>
              <w:t xml:space="preserve">16 (13–22)</w:t>
            </w:r>
          </w:p>
        </w:tc>
        <w:tc>
          <w:tcPr/>
          <w:p>
            <w:pPr>
              <w:pStyle w:val="Compact"/>
            </w:pPr>
            <w:r>
              <w:t xml:space="preserve">30.7%</w:t>
            </w:r>
          </w:p>
        </w:tc>
        <w:tc>
          <w:tcPr/>
          <w:p>
            <w:pPr>
              <w:pStyle w:val="Compact"/>
            </w:pPr>
            <w:r>
              <w:t xml:space="preserve">23.1%</w:t>
            </w:r>
          </w:p>
        </w:tc>
        <w:tc>
          <w:tcPr/>
          <w:p>
            <w:pPr>
              <w:pStyle w:val="Compact"/>
            </w:pPr>
            <w:r>
              <w:t xml:space="preserve">-0.55 (-0.84 to -0.26)</w:t>
            </w:r>
          </w:p>
        </w:tc>
        <w:tc>
          <w:tcPr/>
          <w:p>
            <w:pPr>
              <w:pStyle w:val="Compact"/>
            </w:pPr>
            <w:r>
              <w:t xml:space="preserve">0.002</w:t>
            </w:r>
          </w:p>
        </w:tc>
      </w:tr>
      <w:tr>
        <w:tc>
          <w:tcPr/>
          <w:p>
            <w:pPr>
              <w:pStyle w:val="Compact"/>
            </w:pPr>
            <w:r>
              <w:t xml:space="preserve">General OB/GYN</w:t>
            </w:r>
          </w:p>
        </w:tc>
        <w:tc>
          <w:tcPr/>
          <w:p>
            <w:pPr>
              <w:pStyle w:val="Compact"/>
            </w:pPr>
            <w:r>
              <w:t xml:space="preserve">336</w:t>
            </w:r>
          </w:p>
        </w:tc>
        <w:tc>
          <w:tcPr/>
          <w:p>
            <w:pPr>
              <w:pStyle w:val="Compact"/>
            </w:pPr>
            <w:r>
              <w:t xml:space="preserve">953</w:t>
            </w:r>
          </w:p>
        </w:tc>
        <w:tc>
          <w:tcPr/>
          <w:p>
            <w:pPr>
              <w:pStyle w:val="Compact"/>
            </w:pPr>
            <w:r>
              <w:t xml:space="preserve">18,316</w:t>
            </w:r>
          </w:p>
        </w:tc>
        <w:tc>
          <w:tcPr/>
          <w:p>
            <w:pPr>
              <w:pStyle w:val="Compact"/>
            </w:pPr>
            <w:r>
              <w:t xml:space="preserve">12.4%</w:t>
            </w:r>
          </w:p>
        </w:tc>
        <w:tc>
          <w:tcPr/>
          <w:p>
            <w:pPr>
              <w:pStyle w:val="Compact"/>
            </w:pPr>
            <w:r>
              <w:t xml:space="preserve">15 (12–22)</w:t>
            </w:r>
          </w:p>
        </w:tc>
        <w:tc>
          <w:tcPr/>
          <w:p>
            <w:pPr>
              <w:pStyle w:val="Compact"/>
            </w:pPr>
            <w:r>
              <w:t xml:space="preserve">15.7%</w:t>
            </w:r>
          </w:p>
        </w:tc>
        <w:tc>
          <w:tcPr/>
          <w:p>
            <w:pPr>
              <w:pStyle w:val="Compact"/>
            </w:pPr>
            <w:r>
              <w:t xml:space="preserve">12.3%</w:t>
            </w:r>
          </w:p>
        </w:tc>
        <w:tc>
          <w:tcPr/>
          <w:p>
            <w:pPr>
              <w:pStyle w:val="Compact"/>
            </w:pPr>
            <w:r>
              <w:t xml:space="preserve">-0.41 (-0.66 to -0.17)</w:t>
            </w:r>
          </w:p>
        </w:tc>
        <w:tc>
          <w:tcPr/>
          <w:p>
            <w:pPr>
              <w:pStyle w:val="Compact"/>
            </w:pPr>
            <w:r>
              <w:t xml:space="preserve">0.004</w:t>
            </w:r>
          </w:p>
        </w:tc>
      </w:tr>
      <w:tr>
        <w:tc>
          <w:tcPr/>
          <w:p>
            <w:pPr>
              <w:pStyle w:val="Compact"/>
            </w:pPr>
            <w:r>
              <w:t xml:space="preserve">MIGS</w:t>
            </w:r>
          </w:p>
        </w:tc>
        <w:tc>
          <w:tcPr/>
          <w:p>
            <w:pPr>
              <w:pStyle w:val="Compact"/>
            </w:pPr>
            <w:r>
              <w:t xml:space="preserve">10</w:t>
            </w:r>
          </w:p>
        </w:tc>
        <w:tc>
          <w:tcPr/>
          <w:p>
            <w:pPr>
              <w:pStyle w:val="Compact"/>
            </w:pPr>
            <w:r>
              <w:t xml:space="preserve">39</w:t>
            </w:r>
          </w:p>
        </w:tc>
        <w:tc>
          <w:tcPr/>
          <w:p>
            <w:pPr>
              <w:pStyle w:val="Compact"/>
            </w:pPr>
            <w:r>
              <w:t xml:space="preserve">941</w:t>
            </w:r>
          </w:p>
        </w:tc>
        <w:tc>
          <w:tcPr/>
          <w:p>
            <w:pPr>
              <w:pStyle w:val="Compact"/>
            </w:pPr>
            <w:r>
              <w:t xml:space="preserve">0.6%</w:t>
            </w:r>
          </w:p>
        </w:tc>
        <w:tc>
          <w:tcPr/>
          <w:p>
            <w:pPr>
              <w:pStyle w:val="Compact"/>
            </w:pPr>
            <w:r>
              <w:t xml:space="preserve">16 (12–24)</w:t>
            </w:r>
          </w:p>
        </w:tc>
        <w:tc>
          <w:tcPr/>
          <w:p>
            <w:pPr>
              <w:pStyle w:val="Compact"/>
            </w:pPr>
            <w:r>
              <w:t xml:space="preserve">0.2%</w:t>
            </w:r>
          </w:p>
        </w:tc>
        <w:tc>
          <w:tcPr/>
          <w:p>
            <w:pPr>
              <w:pStyle w:val="Compact"/>
            </w:pPr>
            <w:r>
              <w:t xml:space="preserve">0.8%</w:t>
            </w:r>
          </w:p>
        </w:tc>
        <w:tc>
          <w:tcPr/>
          <w:p>
            <w:pPr>
              <w:pStyle w:val="Compact"/>
            </w:pPr>
            <w:r>
              <w:t xml:space="preserve">+0.07 (0.03 to 0.11)*</w:t>
            </w:r>
          </w:p>
        </w:tc>
        <w:tc>
          <w:tcPr/>
          <w:p>
            <w:pPr>
              <w:pStyle w:val="Compact"/>
            </w:pPr>
            <w:r>
              <w:t xml:space="preserve">0.005</w:t>
            </w:r>
          </w:p>
        </w:tc>
      </w:tr>
      <w:tr>
        <w:tc>
          <w:tcPr/>
          <w:p>
            <w:pPr>
              <w:pStyle w:val="Compact"/>
            </w:pPr>
            <w:r>
              <w:rPr>
                <w:b/>
                <w:bCs/>
              </w:rPr>
              <w:t xml:space="preserve">Total</w:t>
            </w:r>
          </w:p>
        </w:tc>
        <w:tc>
          <w:tcPr/>
          <w:p>
            <w:pPr>
              <w:pStyle w:val="Compact"/>
            </w:pPr>
            <w:r>
              <w:rPr>
                <w:b/>
                <w:bCs/>
              </w:rPr>
              <w:t xml:space="preserve">1,789</w:t>
            </w:r>
          </w:p>
        </w:tc>
        <w:tc>
          <w:tcPr/>
          <w:p>
            <w:pPr>
              <w:pStyle w:val="Compact"/>
            </w:pPr>
            <w:r>
              <w:rPr>
                <w:b/>
                <w:bCs/>
              </w:rPr>
              <w:t xml:space="preserve">6,937</w:t>
            </w:r>
          </w:p>
        </w:tc>
        <w:tc>
          <w:tcPr/>
          <w:p>
            <w:pPr>
              <w:pStyle w:val="Compact"/>
            </w:pPr>
            <w:r>
              <w:rPr>
                <w:b/>
                <w:bCs/>
              </w:rPr>
              <w:t xml:space="preserve">147,632</w:t>
            </w:r>
          </w:p>
        </w:tc>
        <w:tc>
          <w:tcPr/>
          <w:p>
            <w:pPr>
              <w:pStyle w:val="Compact"/>
            </w:pPr>
            <w:r>
              <w:rPr>
                <w:b/>
                <w:bCs/>
              </w:rPr>
              <w:t xml:space="preserve">100%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Surgeon-level procedural concentration by specialty, based on aggregate provider volume.</w:t>
      </w:r>
    </w:p>
    <w:tbl>
      <w:tblPr>
        <w:tblStyle w:val="Table"/>
        <w:tblW w:type="pct" w:w="5000"/>
        <w:tblLayout w:type="fixed"/>
        <w:tblLook w:firstRow="1" w:lastRow="0" w:firstColumn="0" w:lastColumn="0" w:noHBand="0" w:noVBand="0" w:val="0020"/>
      </w:tblPr>
      <w:tblGrid>
        <w:gridCol w:w="1908"/>
        <w:gridCol w:w="1240"/>
        <w:gridCol w:w="572"/>
        <w:gridCol w:w="1526"/>
        <w:gridCol w:w="1335"/>
        <w:gridCol w:w="1335"/>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 by top 10%</w:t>
            </w:r>
          </w:p>
        </w:tc>
        <w:tc>
          <w:tcPr/>
          <w:p>
            <w:pPr>
              <w:pStyle w:val="Compact"/>
            </w:pPr>
            <w:r>
              <w:t xml:space="preserve">% by top 20%</w:t>
            </w:r>
          </w:p>
        </w:tc>
      </w:tr>
      <w:tr>
        <w:tc>
          <w:tcPr/>
          <w:p>
            <w:pPr>
              <w:pStyle w:val="Compact"/>
            </w:pPr>
            <w:r>
              <w:t xml:space="preserve">URPS</w:t>
            </w:r>
          </w:p>
        </w:tc>
        <w:tc>
          <w:tcPr/>
          <w:p>
            <w:pPr>
              <w:pStyle w:val="Compact"/>
            </w:pPr>
            <w:r>
              <w:t xml:space="preserve">767</w:t>
            </w:r>
          </w:p>
        </w:tc>
        <w:tc>
          <w:tcPr/>
          <w:p>
            <w:pPr>
              <w:pStyle w:val="Compact"/>
            </w:pPr>
            <w:r>
              <w:t xml:space="preserve">0.52</w:t>
            </w:r>
          </w:p>
        </w:tc>
        <w:tc>
          <w:tcPr/>
          <w:p>
            <w:pPr>
              <w:pStyle w:val="Compact"/>
            </w:pPr>
            <w:r>
              <w:t xml:space="preserve">27</w:t>
            </w:r>
          </w:p>
        </w:tc>
        <w:tc>
          <w:tcPr/>
          <w:p>
            <w:pPr>
              <w:pStyle w:val="Compact"/>
            </w:pPr>
            <w:r>
              <w:t xml:space="preserve">34.4%</w:t>
            </w:r>
          </w:p>
        </w:tc>
        <w:tc>
          <w:tcPr/>
          <w:p>
            <w:pPr>
              <w:pStyle w:val="Compact"/>
            </w:pPr>
            <w:r>
              <w:t xml:space="preserve">53.9%</w:t>
            </w:r>
          </w:p>
        </w:tc>
      </w:tr>
      <w:tr>
        <w:tc>
          <w:tcPr/>
          <w:p>
            <w:pPr>
              <w:pStyle w:val="Compact"/>
            </w:pPr>
            <w:r>
              <w:t xml:space="preserve">Urology (non-URPS)</w:t>
            </w:r>
          </w:p>
        </w:tc>
        <w:tc>
          <w:tcPr/>
          <w:p>
            <w:pPr>
              <w:pStyle w:val="Compact"/>
            </w:pPr>
            <w:r>
              <w:t xml:space="preserve">689</w:t>
            </w:r>
          </w:p>
        </w:tc>
        <w:tc>
          <w:tcPr/>
          <w:p>
            <w:pPr>
              <w:pStyle w:val="Compact"/>
            </w:pPr>
            <w:r>
              <w:t xml:space="preserve">0.53</w:t>
            </w:r>
          </w:p>
        </w:tc>
        <w:tc>
          <w:tcPr/>
          <w:p>
            <w:pPr>
              <w:pStyle w:val="Compact"/>
            </w:pPr>
            <w:r>
              <w:t xml:space="preserve">35</w:t>
            </w:r>
          </w:p>
        </w:tc>
        <w:tc>
          <w:tcPr/>
          <w:p>
            <w:pPr>
              <w:pStyle w:val="Compact"/>
            </w:pPr>
            <w:r>
              <w:t xml:space="preserve">39.5%</w:t>
            </w:r>
          </w:p>
        </w:tc>
        <w:tc>
          <w:tcPr/>
          <w:p>
            <w:pPr>
              <w:pStyle w:val="Compact"/>
            </w:pPr>
            <w:r>
              <w:t xml:space="preserve">58.7%</w:t>
            </w:r>
          </w:p>
        </w:tc>
      </w:tr>
      <w:tr>
        <w:tc>
          <w:tcPr/>
          <w:p>
            <w:pPr>
              <w:pStyle w:val="Compact"/>
            </w:pPr>
            <w:r>
              <w:t xml:space="preserve">General OB/GYN</w:t>
            </w:r>
          </w:p>
        </w:tc>
        <w:tc>
          <w:tcPr/>
          <w:p>
            <w:pPr>
              <w:pStyle w:val="Compact"/>
            </w:pPr>
            <w:r>
              <w:t xml:space="preserve">336</w:t>
            </w:r>
          </w:p>
        </w:tc>
        <w:tc>
          <w:tcPr/>
          <w:p>
            <w:pPr>
              <w:pStyle w:val="Compact"/>
            </w:pPr>
            <w:r>
              <w:t xml:space="preserve">0.56</w:t>
            </w:r>
          </w:p>
        </w:tc>
        <w:tc>
          <w:tcPr/>
          <w:p>
            <w:pPr>
              <w:pStyle w:val="Compact"/>
            </w:pPr>
            <w:r>
              <w:t xml:space="preserve">89</w:t>
            </w:r>
          </w:p>
        </w:tc>
        <w:tc>
          <w:tcPr/>
          <w:p>
            <w:pPr>
              <w:pStyle w:val="Compact"/>
            </w:pPr>
            <w:r>
              <w:t xml:space="preserve">44.4%</w:t>
            </w:r>
          </w:p>
        </w:tc>
        <w:tc>
          <w:tcPr/>
          <w:p>
            <w:pPr>
              <w:pStyle w:val="Compact"/>
            </w:pPr>
            <w:r>
              <w:t xml:space="preserve">62.2%</w:t>
            </w:r>
          </w:p>
        </w:tc>
      </w:tr>
      <w:tr>
        <w:tc>
          <w:tcPr/>
          <w:p>
            <w:pPr>
              <w:pStyle w:val="Compact"/>
            </w:pPr>
            <w:r>
              <w:t xml:space="preserve">MIGS</w:t>
            </w:r>
          </w:p>
        </w:tc>
        <w:tc>
          <w:tcPr/>
          <w:p>
            <w:pPr>
              <w:pStyle w:val="Compact"/>
            </w:pPr>
            <w:r>
              <w:t xml:space="preserve">10</w:t>
            </w:r>
          </w:p>
        </w:tc>
        <w:tc>
          <w:tcPr/>
          <w:p>
            <w:pPr>
              <w:pStyle w:val="Compact"/>
            </w:pPr>
            <w:r>
              <w:t xml:space="preserve">0.61</w:t>
            </w:r>
          </w:p>
        </w:tc>
        <w:tc>
          <w:tcPr/>
          <w:p>
            <w:pPr>
              <w:pStyle w:val="Compact"/>
            </w:pPr>
            <w:r>
              <w:t xml:space="preserve">3,036</w:t>
            </w:r>
          </w:p>
        </w:tc>
        <w:tc>
          <w:tcPr/>
          <w:p>
            <w:pPr>
              <w:pStyle w:val="Compact"/>
            </w:pPr>
            <w:r>
              <w:t xml:space="preserve">49.8%</w:t>
            </w:r>
          </w:p>
        </w:tc>
        <w:tc>
          <w:tcPr/>
          <w:p>
            <w:pPr>
              <w:pStyle w:val="Compact"/>
            </w:pPr>
            <w:r>
              <w:t xml:space="preserve">69.3%</w:t>
            </w:r>
          </w:p>
        </w:tc>
      </w:tr>
    </w:tbl>
    <w:p>
      <w:pPr>
        <w:pStyle w:val="BodyText"/>
      </w:pPr>
      <w:r>
        <w:rPr>
          <w:b/>
          <w:bCs/>
        </w:rPr>
        <w:t xml:space="preserve">Table 3.</w:t>
      </w:r>
      <w:r>
        <w:t xml:space="preserve"> </w:t>
      </w:r>
      <w:r>
        <w:t xml:space="preserve">Adjusted rate ratios for annual sling volume from a Poisson GEE clustered by NPI (URPS reference; exchangeable correlation; robust standard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Urology (vs URPS)</w:t>
            </w:r>
          </w:p>
        </w:tc>
        <w:tc>
          <w:tcPr/>
          <w:p>
            <w:pPr>
              <w:pStyle w:val="Compact"/>
            </w:pPr>
            <w:r>
              <w:t xml:space="preserve">0.80 (0.70–0.92)</w:t>
            </w:r>
          </w:p>
        </w:tc>
        <w:tc>
          <w:tcPr/>
          <w:p>
            <w:pPr>
              <w:pStyle w:val="Compact"/>
            </w:pPr>
            <w:r>
              <w:t xml:space="preserve">0.001</w:t>
            </w:r>
          </w:p>
        </w:tc>
      </w:tr>
      <w:tr>
        <w:tc>
          <w:tcPr/>
          <w:p>
            <w:pPr>
              <w:pStyle w:val="Compact"/>
            </w:pPr>
            <w:r>
              <w:t xml:space="preserve">General OB/GYN (vs URPS)</w:t>
            </w:r>
          </w:p>
        </w:tc>
        <w:tc>
          <w:tcPr/>
          <w:p>
            <w:pPr>
              <w:pStyle w:val="Compact"/>
            </w:pPr>
            <w:r>
              <w:t xml:space="preserve">0.68 (0.51–0.92)</w:t>
            </w:r>
          </w:p>
        </w:tc>
        <w:tc>
          <w:tcPr/>
          <w:p>
            <w:pPr>
              <w:pStyle w:val="Compact"/>
            </w:pPr>
            <w:r>
              <w:t xml:space="preserve">0.011</w:t>
            </w:r>
          </w:p>
        </w:tc>
      </w:tr>
      <w:tr>
        <w:tc>
          <w:tcPr/>
          <w:p>
            <w:pPr>
              <w:pStyle w:val="Compact"/>
            </w:pPr>
            <w:r>
              <w:t xml:space="preserve">MIGS (vs URPS)</w:t>
            </w:r>
          </w:p>
        </w:tc>
        <w:tc>
          <w:tcPr/>
          <w:p>
            <w:pPr>
              <w:pStyle w:val="Compact"/>
            </w:pPr>
            <w:r>
              <w:t xml:space="preserve">0.56 (0.40–0.79)</w:t>
            </w:r>
          </w:p>
        </w:tc>
        <w:tc>
          <w:tcPr/>
          <w:p>
            <w:pPr>
              <w:pStyle w:val="Compact"/>
            </w:pPr>
            <w:r>
              <w:t xml:space="preserve">&lt;0.001</w:t>
            </w:r>
          </w:p>
        </w:tc>
      </w:tr>
      <w:tr>
        <w:tc>
          <w:tcPr/>
          <w:p>
            <w:pPr>
              <w:pStyle w:val="Compact"/>
            </w:pPr>
            <w:r>
              <w:t xml:space="preserve">Calendar year (per year)</w:t>
            </w:r>
          </w:p>
        </w:tc>
        <w:tc>
          <w:tcPr/>
          <w:p>
            <w:pPr>
              <w:pStyle w:val="Compact"/>
            </w:pPr>
            <w:r>
              <w:t xml:space="preserve">1.00 (0.99–1.01)</w:t>
            </w:r>
          </w:p>
        </w:tc>
        <w:tc>
          <w:tcPr/>
          <w:p>
            <w:pPr>
              <w:pStyle w:val="Compact"/>
            </w:pPr>
            <w:r>
              <w:t xml:space="preserve">0.516</w:t>
            </w:r>
          </w:p>
        </w:tc>
      </w:tr>
      <w:tr>
        <w:tc>
          <w:tcPr/>
          <w:p>
            <w:pPr>
              <w:pStyle w:val="Compact"/>
            </w:pPr>
            <w:r>
              <w:t xml:space="preserve">2020 (COVID) indicator</w:t>
            </w:r>
          </w:p>
        </w:tc>
        <w:tc>
          <w:tcPr/>
          <w:p>
            <w:pPr>
              <w:pStyle w:val="Compact"/>
            </w:pPr>
            <w:r>
              <w:t xml:space="preserve">0.88 (0.85–0.92)</w:t>
            </w:r>
          </w:p>
        </w:tc>
        <w:tc>
          <w:tcPr/>
          <w:p>
            <w:pPr>
              <w:pStyle w:val="Compact"/>
            </w:pPr>
            <w:r>
              <w:t xml:space="preserve">&lt;0.001</w:t>
            </w:r>
          </w:p>
        </w:tc>
      </w:tr>
    </w:tbl>
    <w:p>
      <w:pPr>
        <w:pStyle w:val="BodyText"/>
      </w:pPr>
      <w:r>
        <w:rPr>
          <w:b/>
          <w:bCs/>
        </w:rPr>
        <w:t xml:space="preserve">Table 4.</w:t>
      </w:r>
      <w:r>
        <w:t xml:space="preserve"> </w:t>
      </w:r>
      <w:r>
        <w:t xml:space="preserve">URPS and gynecologic market-share trends under alternative classification schemes. The schemes bracket the rate of increase: fixed membership gives the shallower slope because it counts physicians as URPS before certification, and certification-gated classification gives the steeper slope because it removes not-yet-certified physicians from the early URPS count. The 2023 levels converge. All estimated trends are positive and statistically significant.</w:t>
      </w:r>
    </w:p>
    <w:tbl>
      <w:tblPr>
        <w:tblStyle w:val="Table"/>
        <w:tblW w:type="pct" w:w="5000"/>
        <w:tblLayout w:type="fixed"/>
        <w:tblLook w:firstRow="1" w:lastRow="0" w:firstColumn="0" w:lastColumn="0" w:noHBand="0" w:noVBand="0" w:val="0020"/>
      </w:tblPr>
      <w:tblGrid>
        <w:gridCol w:w="4670"/>
        <w:gridCol w:w="1286"/>
        <w:gridCol w:w="1150"/>
        <w:gridCol w:w="812"/>
      </w:tblGrid>
      <w:tr>
        <w:trPr>
          <w:tblHeader w:val="on"/>
        </w:trPr>
        <w:tc>
          <w:tcPr/>
          <w:p>
            <w:pPr>
              <w:pStyle w:val="Compact"/>
            </w:pPr>
            <w:r>
              <w:t xml:space="preserve">Analysis</w:t>
            </w:r>
          </w:p>
        </w:tc>
        <w:tc>
          <w:tcPr/>
          <w:p>
            <w:pPr>
              <w:pStyle w:val="Compact"/>
            </w:pPr>
            <w:r>
              <w:t xml:space="preserve">2013 -&gt; 2023</w:t>
            </w:r>
          </w:p>
        </w:tc>
        <w:tc>
          <w:tcPr/>
          <w:p>
            <w:pPr>
              <w:pStyle w:val="Compact"/>
            </w:pPr>
            <w:r>
              <w:t xml:space="preserve">Slope (pp/year)</w:t>
            </w:r>
          </w:p>
        </w:tc>
        <w:tc>
          <w:tcPr/>
          <w:p>
            <w:pPr>
              <w:pStyle w:val="Compact"/>
            </w:pPr>
            <w:r>
              <w:t xml:space="preserve">p-value</w:t>
            </w:r>
          </w:p>
        </w:tc>
      </w:tr>
      <w:tr>
        <w:tc>
          <w:tcPr/>
          <w:p>
            <w:pPr>
              <w:pStyle w:val="Compact"/>
            </w:pPr>
            <w:r>
              <w:t xml:space="preserve">Fixed membership: gynecologic share (ABOG-URPS + MIGS + Gen OB/GYN)</w:t>
            </w:r>
          </w:p>
        </w:tc>
        <w:tc>
          <w:tcPr/>
          <w:p>
            <w:pPr>
              <w:pStyle w:val="Compact"/>
            </w:pPr>
            <w:r>
              <w:t xml:space="preserve">60.8% → 70.1%</w:t>
            </w:r>
          </w:p>
        </w:tc>
        <w:tc>
          <w:tcPr/>
          <w:p>
            <w:pPr>
              <w:pStyle w:val="Compact"/>
            </w:pPr>
            <w:r>
              <w:t xml:space="preserve">0.85</w:t>
            </w:r>
          </w:p>
        </w:tc>
        <w:tc>
          <w:tcPr/>
          <w:p>
            <w:pPr>
              <w:pStyle w:val="Compact"/>
            </w:pPr>
            <w:r>
              <w:t xml:space="preserve">&lt;0.001</w:t>
            </w:r>
          </w:p>
        </w:tc>
      </w:tr>
      <w:tr>
        <w:tc>
          <w:tcPr/>
          <w:p>
            <w:pPr>
              <w:pStyle w:val="Compact"/>
            </w:pPr>
            <w:r>
              <w:t xml:space="preserve">Fixed membership: combined-URPS share</w:t>
            </w:r>
          </w:p>
        </w:tc>
        <w:tc>
          <w:tcPr/>
          <w:p>
            <w:pPr>
              <w:pStyle w:val="Compact"/>
            </w:pPr>
            <w:r>
              <w:t xml:space="preserve">53.4% → 63.8%</w:t>
            </w:r>
          </w:p>
        </w:tc>
        <w:tc>
          <w:tcPr/>
          <w:p>
            <w:pPr>
              <w:pStyle w:val="Compact"/>
            </w:pPr>
            <w:r>
              <w:t xml:space="preserve">0.90</w:t>
            </w:r>
          </w:p>
        </w:tc>
        <w:tc>
          <w:tcPr/>
          <w:p>
            <w:pPr>
              <w:pStyle w:val="Compact"/>
            </w:pPr>
            <w:r>
              <w:t xml:space="preserve">&lt;0.001</w:t>
            </w:r>
          </w:p>
        </w:tc>
      </w:tr>
      <w:tr>
        <w:tc>
          <w:tcPr/>
          <w:p>
            <w:pPr>
              <w:pStyle w:val="Compact"/>
            </w:pPr>
            <w:r>
              <w:t xml:space="preserve">Modal: URPS share</w:t>
            </w:r>
          </w:p>
        </w:tc>
        <w:tc>
          <w:tcPr/>
          <w:p>
            <w:pPr>
              <w:pStyle w:val="Compact"/>
            </w:pPr>
            <w:r>
              <w:t xml:space="preserve">n/a</w:t>
            </w:r>
          </w:p>
        </w:tc>
        <w:tc>
          <w:tcPr/>
          <w:p>
            <w:pPr>
              <w:pStyle w:val="Compact"/>
            </w:pPr>
            <w:r>
              <w:t xml:space="preserve">0.97</w:t>
            </w:r>
          </w:p>
        </w:tc>
        <w:tc>
          <w:tcPr/>
          <w:p>
            <w:pPr>
              <w:pStyle w:val="Compact"/>
            </w:pPr>
            <w:r>
              <w:t xml:space="preserve">&lt;0.001</w:t>
            </w:r>
          </w:p>
        </w:tc>
      </w:tr>
      <w:tr>
        <w:tc>
          <w:tcPr/>
          <w:p>
            <w:pPr>
              <w:pStyle w:val="Compact"/>
            </w:pPr>
            <w:r>
              <w:t xml:space="preserve">Ever-URPS/MIGS: URPS share</w:t>
            </w:r>
          </w:p>
        </w:tc>
        <w:tc>
          <w:tcPr/>
          <w:p>
            <w:pPr>
              <w:pStyle w:val="Compact"/>
            </w:pPr>
            <w:r>
              <w:t xml:space="preserve">n/a</w:t>
            </w:r>
          </w:p>
        </w:tc>
        <w:tc>
          <w:tcPr/>
          <w:p>
            <w:pPr>
              <w:pStyle w:val="Compact"/>
            </w:pPr>
            <w:r>
              <w:t xml:space="preserve">0.95</w:t>
            </w:r>
          </w:p>
        </w:tc>
        <w:tc>
          <w:tcPr/>
          <w:p>
            <w:pPr>
              <w:pStyle w:val="Compact"/>
            </w:pPr>
            <w:r>
              <w:t xml:space="preserve">0.001</w:t>
            </w:r>
          </w:p>
        </w:tc>
      </w:tr>
      <w:tr>
        <w:tc>
          <w:tcPr/>
          <w:p>
            <w:pPr>
              <w:pStyle w:val="Compact"/>
            </w:pPr>
            <w:r>
              <w:rPr>
                <w:b/>
                <w:bCs/>
              </w:rPr>
              <w:t xml:space="preserve">Certification-gated: URPS share (time-varying)</w:t>
            </w:r>
          </w:p>
        </w:tc>
        <w:tc>
          <w:tcPr/>
          <w:p>
            <w:pPr>
              <w:pStyle w:val="Compact"/>
            </w:pPr>
            <w:r>
              <w:rPr>
                <w:b/>
                <w:bCs/>
              </w:rPr>
              <w:t xml:space="preserve">42.2% → 62.8%</w:t>
            </w:r>
          </w:p>
        </w:tc>
        <w:tc>
          <w:tcPr/>
          <w:p>
            <w:pPr>
              <w:pStyle w:val="Compact"/>
            </w:pPr>
            <w:r>
              <w:rPr>
                <w:b/>
                <w:bCs/>
              </w:rPr>
              <w:t xml:space="preserve">1.52</w:t>
            </w:r>
          </w:p>
        </w:tc>
        <w:tc>
          <w:tcPr/>
          <w:p>
            <w:pPr>
              <w:pStyle w:val="Compact"/>
            </w:pPr>
            <w:r>
              <w:rPr>
                <w:b/>
                <w:bCs/>
              </w:rPr>
              <w:t xml:space="preserve">&lt;0.001</w:t>
            </w:r>
          </w:p>
        </w:tc>
      </w:tr>
      <w:tr>
        <w:tc>
          <w:tcPr/>
          <w:p>
            <w:pPr>
              <w:pStyle w:val="Compact"/>
            </w:pPr>
            <w:r>
              <w:t xml:space="preserve">Certification-gated: gynecologic share (time-varying)</w:t>
            </w:r>
          </w:p>
        </w:tc>
        <w:tc>
          <w:tcPr/>
          <w:p>
            <w:pPr>
              <w:pStyle w:val="Compact"/>
            </w:pPr>
            <w:r>
              <w:t xml:space="preserve">n/a</w:t>
            </w:r>
          </w:p>
        </w:tc>
        <w:tc>
          <w:tcPr/>
          <w:p>
            <w:pPr>
              <w:pStyle w:val="Compact"/>
            </w:pPr>
            <w:r>
              <w:t xml:space="preserve">0.54</w:t>
            </w:r>
          </w:p>
        </w:tc>
        <w:tc>
          <w:tcPr/>
          <w:p>
            <w:pPr>
              <w:pStyle w:val="Compact"/>
            </w:pPr>
            <w:r>
              <w:t xml:space="preserve">&lt;0.001</w:t>
            </w:r>
          </w:p>
        </w:tc>
      </w:tr>
    </w:tbl>
    <w:p>
      <w:pPr>
        <w:pStyle w:val="BodyText"/>
      </w:pPr>
      <w:r>
        <w:rPr>
          <w:b/>
          <w:bCs/>
        </w:rPr>
        <w:t xml:space="preserve">Table 5.</w:t>
      </w:r>
      <w:r>
        <w:t xml:space="preserve"> </w:t>
      </w:r>
      <w:r>
        <w:t xml:space="preserve">Annual sling workforce dynamics using a two-year washout. Entrants were absent in both prior observable years; apparent exits were absent in both subsequent observable years. Entrant and continuing counts are undefined for the first two years, and exit counts are undefined for the last two years.</w:t>
      </w:r>
    </w:p>
    <w:tbl>
      <w:tblPr>
        <w:tblStyle w:val="Table"/>
        <w:tblW w:type="pct" w:w="5000"/>
        <w:tblLayout w:type="fixed"/>
        <w:tblLook w:firstRow="1" w:lastRow="0" w:firstColumn="0" w:lastColumn="0" w:noHBand="0" w:noVBand="0" w:val="0020"/>
      </w:tblPr>
      <w:tblGrid>
        <w:gridCol w:w="505"/>
        <w:gridCol w:w="1011"/>
        <w:gridCol w:w="842"/>
        <w:gridCol w:w="1011"/>
        <w:gridCol w:w="758"/>
        <w:gridCol w:w="1853"/>
        <w:gridCol w:w="1937"/>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812</w:t>
            </w:r>
          </w:p>
        </w:tc>
        <w:tc>
          <w:tcPr/>
          <w:p>
            <w:pPr>
              <w:pStyle w:val="Compact"/>
            </w:pPr>
            <w:r>
              <w:t xml:space="preserve">n/a</w:t>
            </w:r>
          </w:p>
        </w:tc>
        <w:tc>
          <w:tcPr/>
          <w:p>
            <w:pPr>
              <w:pStyle w:val="Compact"/>
            </w:pPr>
            <w:r>
              <w:t xml:space="preserve">n/a</w:t>
            </w:r>
          </w:p>
        </w:tc>
        <w:tc>
          <w:tcPr/>
          <w:p>
            <w:pPr>
              <w:pStyle w:val="Compact"/>
            </w:pPr>
            <w:r>
              <w:t xml:space="preserve">214</w:t>
            </w:r>
          </w:p>
        </w:tc>
        <w:tc>
          <w:tcPr/>
          <w:p>
            <w:pPr>
              <w:pStyle w:val="Compact"/>
            </w:pPr>
            <w:r>
              <w:t xml:space="preserve">n/a</w:t>
            </w:r>
          </w:p>
        </w:tc>
        <w:tc>
          <w:tcPr/>
          <w:p>
            <w:pPr>
              <w:pStyle w:val="Compact"/>
            </w:pPr>
            <w:r>
              <w:t xml:space="preserve">n/a</w:t>
            </w:r>
          </w:p>
        </w:tc>
      </w:tr>
      <w:tr>
        <w:tc>
          <w:tcPr/>
          <w:p>
            <w:pPr>
              <w:pStyle w:val="Compact"/>
            </w:pPr>
            <w:r>
              <w:t xml:space="preserve">2014</w:t>
            </w:r>
          </w:p>
        </w:tc>
        <w:tc>
          <w:tcPr/>
          <w:p>
            <w:pPr>
              <w:pStyle w:val="Compact"/>
            </w:pPr>
            <w:r>
              <w:t xml:space="preserve">685</w:t>
            </w:r>
          </w:p>
        </w:tc>
        <w:tc>
          <w:tcPr/>
          <w:p>
            <w:pPr>
              <w:pStyle w:val="Compact"/>
            </w:pPr>
            <w:r>
              <w:t xml:space="preserve">n/a</w:t>
            </w:r>
          </w:p>
        </w:tc>
        <w:tc>
          <w:tcPr/>
          <w:p>
            <w:pPr>
              <w:pStyle w:val="Compact"/>
            </w:pPr>
            <w:r>
              <w:t xml:space="preserve">n/a</w:t>
            </w:r>
          </w:p>
        </w:tc>
        <w:tc>
          <w:tcPr/>
          <w:p>
            <w:pPr>
              <w:pStyle w:val="Compact"/>
            </w:pPr>
            <w:r>
              <w:t xml:space="preserve">164</w:t>
            </w:r>
          </w:p>
        </w:tc>
        <w:tc>
          <w:tcPr/>
          <w:p>
            <w:pPr>
              <w:pStyle w:val="Compact"/>
            </w:pPr>
            <w:r>
              <w:t xml:space="preserve">n/a</w:t>
            </w:r>
          </w:p>
        </w:tc>
        <w:tc>
          <w:tcPr/>
          <w:p>
            <w:pPr>
              <w:pStyle w:val="Compact"/>
            </w:pPr>
            <w:r>
              <w:t xml:space="preserve">n/a</w:t>
            </w:r>
          </w:p>
        </w:tc>
      </w:tr>
      <w:tr>
        <w:tc>
          <w:tcPr/>
          <w:p>
            <w:pPr>
              <w:pStyle w:val="Compact"/>
            </w:pPr>
            <w:r>
              <w:t xml:space="preserve">2015</w:t>
            </w:r>
          </w:p>
        </w:tc>
        <w:tc>
          <w:tcPr/>
          <w:p>
            <w:pPr>
              <w:pStyle w:val="Compact"/>
            </w:pPr>
            <w:r>
              <w:t xml:space="preserve">655</w:t>
            </w:r>
          </w:p>
        </w:tc>
        <w:tc>
          <w:tcPr/>
          <w:p>
            <w:pPr>
              <w:pStyle w:val="Compact"/>
            </w:pPr>
            <w:r>
              <w:t xml:space="preserve">127</w:t>
            </w:r>
          </w:p>
        </w:tc>
        <w:tc>
          <w:tcPr/>
          <w:p>
            <w:pPr>
              <w:pStyle w:val="Compact"/>
            </w:pPr>
            <w:r>
              <w:t xml:space="preserve">528</w:t>
            </w:r>
          </w:p>
        </w:tc>
        <w:tc>
          <w:tcPr/>
          <w:p>
            <w:pPr>
              <w:pStyle w:val="Compact"/>
            </w:pPr>
            <w:r>
              <w:t xml:space="preserve">129</w:t>
            </w:r>
          </w:p>
        </w:tc>
        <w:tc>
          <w:tcPr/>
          <w:p>
            <w:pPr>
              <w:pStyle w:val="Compact"/>
            </w:pPr>
            <w:r>
              <w:t xml:space="preserve">14.2%</w:t>
            </w:r>
          </w:p>
        </w:tc>
        <w:tc>
          <w:tcPr/>
          <w:p>
            <w:pPr>
              <w:pStyle w:val="Compact"/>
            </w:pPr>
            <w:r>
              <w:t xml:space="preserve">13</w:t>
            </w:r>
          </w:p>
        </w:tc>
      </w:tr>
      <w:tr>
        <w:tc>
          <w:tcPr/>
          <w:p>
            <w:pPr>
              <w:pStyle w:val="Compact"/>
            </w:pPr>
            <w:r>
              <w:t xml:space="preserve">2016</w:t>
            </w:r>
          </w:p>
        </w:tc>
        <w:tc>
          <w:tcPr/>
          <w:p>
            <w:pPr>
              <w:pStyle w:val="Compact"/>
            </w:pPr>
            <w:r>
              <w:t xml:space="preserve">701</w:t>
            </w:r>
          </w:p>
        </w:tc>
        <w:tc>
          <w:tcPr/>
          <w:p>
            <w:pPr>
              <w:pStyle w:val="Compact"/>
            </w:pPr>
            <w:r>
              <w:t xml:space="preserve">158</w:t>
            </w:r>
          </w:p>
        </w:tc>
        <w:tc>
          <w:tcPr/>
          <w:p>
            <w:pPr>
              <w:pStyle w:val="Compact"/>
            </w:pPr>
            <w:r>
              <w:t xml:space="preserve">543</w:t>
            </w:r>
          </w:p>
        </w:tc>
        <w:tc>
          <w:tcPr/>
          <w:p>
            <w:pPr>
              <w:pStyle w:val="Compact"/>
            </w:pPr>
            <w:r>
              <w:t xml:space="preserve">126</w:t>
            </w:r>
          </w:p>
        </w:tc>
        <w:tc>
          <w:tcPr/>
          <w:p>
            <w:pPr>
              <w:pStyle w:val="Compact"/>
            </w:pPr>
            <w:r>
              <w:t xml:space="preserve">15.3%</w:t>
            </w:r>
          </w:p>
        </w:tc>
        <w:tc>
          <w:tcPr/>
          <w:p>
            <w:pPr>
              <w:pStyle w:val="Compact"/>
            </w:pPr>
            <w:r>
              <w:t xml:space="preserve">13</w:t>
            </w:r>
          </w:p>
        </w:tc>
      </w:tr>
      <w:tr>
        <w:tc>
          <w:tcPr/>
          <w:p>
            <w:pPr>
              <w:pStyle w:val="Compact"/>
            </w:pPr>
            <w:r>
              <w:t xml:space="preserve">2017</w:t>
            </w:r>
          </w:p>
        </w:tc>
        <w:tc>
          <w:tcPr/>
          <w:p>
            <w:pPr>
              <w:pStyle w:val="Compact"/>
            </w:pPr>
            <w:r>
              <w:t xml:space="preserve">735</w:t>
            </w:r>
          </w:p>
        </w:tc>
        <w:tc>
          <w:tcPr/>
          <w:p>
            <w:pPr>
              <w:pStyle w:val="Compact"/>
            </w:pPr>
            <w:r>
              <w:t xml:space="preserve">151</w:t>
            </w:r>
          </w:p>
        </w:tc>
        <w:tc>
          <w:tcPr/>
          <w:p>
            <w:pPr>
              <w:pStyle w:val="Compact"/>
            </w:pPr>
            <w:r>
              <w:t xml:space="preserve">584</w:t>
            </w:r>
          </w:p>
        </w:tc>
        <w:tc>
          <w:tcPr/>
          <w:p>
            <w:pPr>
              <w:pStyle w:val="Compact"/>
            </w:pPr>
            <w:r>
              <w:t xml:space="preserve">204</w:t>
            </w:r>
          </w:p>
        </w:tc>
        <w:tc>
          <w:tcPr/>
          <w:p>
            <w:pPr>
              <w:pStyle w:val="Compact"/>
            </w:pPr>
            <w:r>
              <w:t xml:space="preserve">13.9%</w:t>
            </w:r>
          </w:p>
        </w:tc>
        <w:tc>
          <w:tcPr/>
          <w:p>
            <w:pPr>
              <w:pStyle w:val="Compact"/>
            </w:pPr>
            <w:r>
              <w:t xml:space="preserve">14</w:t>
            </w:r>
          </w:p>
        </w:tc>
      </w:tr>
      <w:tr>
        <w:tc>
          <w:tcPr/>
          <w:p>
            <w:pPr>
              <w:pStyle w:val="Compact"/>
            </w:pPr>
            <w:r>
              <w:t xml:space="preserve">2018</w:t>
            </w:r>
          </w:p>
        </w:tc>
        <w:tc>
          <w:tcPr/>
          <w:p>
            <w:pPr>
              <w:pStyle w:val="Compact"/>
            </w:pPr>
            <w:r>
              <w:t xml:space="preserve">672</w:t>
            </w:r>
          </w:p>
        </w:tc>
        <w:tc>
          <w:tcPr/>
          <w:p>
            <w:pPr>
              <w:pStyle w:val="Compact"/>
            </w:pPr>
            <w:r>
              <w:t xml:space="preserve">134</w:t>
            </w:r>
          </w:p>
        </w:tc>
        <w:tc>
          <w:tcPr/>
          <w:p>
            <w:pPr>
              <w:pStyle w:val="Compact"/>
            </w:pPr>
            <w:r>
              <w:t xml:space="preserve">538</w:t>
            </w:r>
          </w:p>
        </w:tc>
        <w:tc>
          <w:tcPr/>
          <w:p>
            <w:pPr>
              <w:pStyle w:val="Compact"/>
            </w:pPr>
            <w:r>
              <w:t xml:space="preserve">154</w:t>
            </w:r>
          </w:p>
        </w:tc>
        <w:tc>
          <w:tcPr/>
          <w:p>
            <w:pPr>
              <w:pStyle w:val="Compact"/>
            </w:pPr>
            <w:r>
              <w:t xml:space="preserve">13.7%</w:t>
            </w:r>
          </w:p>
        </w:tc>
        <w:tc>
          <w:tcPr/>
          <w:p>
            <w:pPr>
              <w:pStyle w:val="Compact"/>
            </w:pPr>
            <w:r>
              <w:t xml:space="preserve">14</w:t>
            </w:r>
          </w:p>
        </w:tc>
      </w:tr>
      <w:tr>
        <w:tc>
          <w:tcPr/>
          <w:p>
            <w:pPr>
              <w:pStyle w:val="Compact"/>
            </w:pPr>
            <w:r>
              <w:t xml:space="preserve">2019</w:t>
            </w:r>
          </w:p>
        </w:tc>
        <w:tc>
          <w:tcPr/>
          <w:p>
            <w:pPr>
              <w:pStyle w:val="Compact"/>
            </w:pPr>
            <w:r>
              <w:t xml:space="preserve">650</w:t>
            </w:r>
          </w:p>
        </w:tc>
        <w:tc>
          <w:tcPr/>
          <w:p>
            <w:pPr>
              <w:pStyle w:val="Compact"/>
            </w:pPr>
            <w:r>
              <w:t xml:space="preserve">125</w:t>
            </w:r>
          </w:p>
        </w:tc>
        <w:tc>
          <w:tcPr/>
          <w:p>
            <w:pPr>
              <w:pStyle w:val="Compact"/>
            </w:pPr>
            <w:r>
              <w:t xml:space="preserve">525</w:t>
            </w:r>
          </w:p>
        </w:tc>
        <w:tc>
          <w:tcPr/>
          <w:p>
            <w:pPr>
              <w:pStyle w:val="Compact"/>
            </w:pPr>
            <w:r>
              <w:t xml:space="preserve">230</w:t>
            </w:r>
          </w:p>
        </w:tc>
        <w:tc>
          <w:tcPr/>
          <w:p>
            <w:pPr>
              <w:pStyle w:val="Compact"/>
            </w:pPr>
            <w:r>
              <w:t xml:space="preserve">12.7%</w:t>
            </w:r>
          </w:p>
        </w:tc>
        <w:tc>
          <w:tcPr/>
          <w:p>
            <w:pPr>
              <w:pStyle w:val="Compact"/>
            </w:pPr>
            <w:r>
              <w:t xml:space="preserve">13</w:t>
            </w:r>
          </w:p>
        </w:tc>
      </w:tr>
      <w:tr>
        <w:tc>
          <w:tcPr/>
          <w:p>
            <w:pPr>
              <w:pStyle w:val="Compact"/>
            </w:pPr>
            <w:r>
              <w:t xml:space="preserve">2020</w:t>
            </w:r>
          </w:p>
        </w:tc>
        <w:tc>
          <w:tcPr/>
          <w:p>
            <w:pPr>
              <w:pStyle w:val="Compact"/>
            </w:pPr>
            <w:r>
              <w:t xml:space="preserve">445</w:t>
            </w:r>
          </w:p>
        </w:tc>
        <w:tc>
          <w:tcPr/>
          <w:p>
            <w:pPr>
              <w:pStyle w:val="Compact"/>
            </w:pPr>
            <w:r>
              <w:t xml:space="preserve">48</w:t>
            </w:r>
          </w:p>
        </w:tc>
        <w:tc>
          <w:tcPr/>
          <w:p>
            <w:pPr>
              <w:pStyle w:val="Compact"/>
            </w:pPr>
            <w:r>
              <w:t xml:space="preserve">397</w:t>
            </w:r>
          </w:p>
        </w:tc>
        <w:tc>
          <w:tcPr/>
          <w:p>
            <w:pPr>
              <w:pStyle w:val="Compact"/>
            </w:pPr>
            <w:r>
              <w:t xml:space="preserve">66</w:t>
            </w:r>
          </w:p>
        </w:tc>
        <w:tc>
          <w:tcPr/>
          <w:p>
            <w:pPr>
              <w:pStyle w:val="Compact"/>
            </w:pPr>
            <w:r>
              <w:t xml:space="preserve">7.4%</w:t>
            </w:r>
          </w:p>
        </w:tc>
        <w:tc>
          <w:tcPr/>
          <w:p>
            <w:pPr>
              <w:pStyle w:val="Compact"/>
            </w:pPr>
            <w:r>
              <w:t xml:space="preserve">13</w:t>
            </w:r>
          </w:p>
        </w:tc>
      </w:tr>
      <w:tr>
        <w:tc>
          <w:tcPr/>
          <w:p>
            <w:pPr>
              <w:pStyle w:val="Compact"/>
            </w:pPr>
            <w:r>
              <w:t xml:space="preserve">2021</w:t>
            </w:r>
          </w:p>
        </w:tc>
        <w:tc>
          <w:tcPr/>
          <w:p>
            <w:pPr>
              <w:pStyle w:val="Compact"/>
            </w:pPr>
            <w:r>
              <w:t xml:space="preserve">458</w:t>
            </w:r>
          </w:p>
        </w:tc>
        <w:tc>
          <w:tcPr/>
          <w:p>
            <w:pPr>
              <w:pStyle w:val="Compact"/>
            </w:pPr>
            <w:r>
              <w:t xml:space="preserve">77</w:t>
            </w:r>
          </w:p>
        </w:tc>
        <w:tc>
          <w:tcPr/>
          <w:p>
            <w:pPr>
              <w:pStyle w:val="Compact"/>
            </w:pPr>
            <w:r>
              <w:t xml:space="preserve">381</w:t>
            </w:r>
          </w:p>
        </w:tc>
        <w:tc>
          <w:tcPr/>
          <w:p>
            <w:pPr>
              <w:pStyle w:val="Compact"/>
            </w:pPr>
            <w:r>
              <w:t xml:space="preserve">81</w:t>
            </w:r>
          </w:p>
        </w:tc>
        <w:tc>
          <w:tcPr/>
          <w:p>
            <w:pPr>
              <w:pStyle w:val="Compact"/>
            </w:pPr>
            <w:r>
              <w:t xml:space="preserve">12.1%</w:t>
            </w:r>
          </w:p>
        </w:tc>
        <w:tc>
          <w:tcPr/>
          <w:p>
            <w:pPr>
              <w:pStyle w:val="Compact"/>
            </w:pPr>
            <w:r>
              <w:t xml:space="preserve">13</w:t>
            </w:r>
          </w:p>
        </w:tc>
      </w:tr>
      <w:tr>
        <w:tc>
          <w:tcPr/>
          <w:p>
            <w:pPr>
              <w:pStyle w:val="Compact"/>
            </w:pPr>
            <w:r>
              <w:t xml:space="preserve">2022</w:t>
            </w:r>
          </w:p>
        </w:tc>
        <w:tc>
          <w:tcPr/>
          <w:p>
            <w:pPr>
              <w:pStyle w:val="Compact"/>
            </w:pPr>
            <w:r>
              <w:t xml:space="preserve">562</w:t>
            </w:r>
          </w:p>
        </w:tc>
        <w:tc>
          <w:tcPr/>
          <w:p>
            <w:pPr>
              <w:pStyle w:val="Compact"/>
            </w:pPr>
            <w:r>
              <w:t xml:space="preserve">168</w:t>
            </w:r>
          </w:p>
        </w:tc>
        <w:tc>
          <w:tcPr/>
          <w:p>
            <w:pPr>
              <w:pStyle w:val="Compact"/>
            </w:pPr>
            <w:r>
              <w:t xml:space="preserve">394</w:t>
            </w:r>
          </w:p>
        </w:tc>
        <w:tc>
          <w:tcPr/>
          <w:p>
            <w:pPr>
              <w:pStyle w:val="Compact"/>
            </w:pPr>
            <w:r>
              <w:t xml:space="preserve">n/a</w:t>
            </w:r>
          </w:p>
        </w:tc>
        <w:tc>
          <w:tcPr/>
          <w:p>
            <w:pPr>
              <w:pStyle w:val="Compact"/>
            </w:pPr>
            <w:r>
              <w:t xml:space="preserve">22.5%</w:t>
            </w:r>
          </w:p>
        </w:tc>
        <w:tc>
          <w:tcPr/>
          <w:p>
            <w:pPr>
              <w:pStyle w:val="Compact"/>
            </w:pPr>
            <w:r>
              <w:t xml:space="preserve">14</w:t>
            </w:r>
          </w:p>
        </w:tc>
      </w:tr>
      <w:tr>
        <w:tc>
          <w:tcPr/>
          <w:p>
            <w:pPr>
              <w:pStyle w:val="Compact"/>
            </w:pPr>
            <w:r>
              <w:t xml:space="preserve">2023</w:t>
            </w:r>
          </w:p>
        </w:tc>
        <w:tc>
          <w:tcPr/>
          <w:p>
            <w:pPr>
              <w:pStyle w:val="Compact"/>
            </w:pPr>
            <w:r>
              <w:t xml:space="preserve">562</w:t>
            </w:r>
          </w:p>
        </w:tc>
        <w:tc>
          <w:tcPr/>
          <w:p>
            <w:pPr>
              <w:pStyle w:val="Compact"/>
            </w:pPr>
            <w:r>
              <w:t xml:space="preserve">126</w:t>
            </w:r>
          </w:p>
        </w:tc>
        <w:tc>
          <w:tcPr/>
          <w:p>
            <w:pPr>
              <w:pStyle w:val="Compact"/>
            </w:pPr>
            <w:r>
              <w:t xml:space="preserve">436</w:t>
            </w:r>
          </w:p>
        </w:tc>
        <w:tc>
          <w:tcPr/>
          <w:p>
            <w:pPr>
              <w:pStyle w:val="Compact"/>
            </w:pPr>
            <w:r>
              <w:t xml:space="preserve">n/a</w:t>
            </w:r>
          </w:p>
        </w:tc>
        <w:tc>
          <w:tcPr/>
          <w:p>
            <w:pPr>
              <w:pStyle w:val="Compact"/>
            </w:pPr>
            <w:r>
              <w:t xml:space="preserve">15.7%</w:t>
            </w:r>
          </w:p>
        </w:tc>
        <w:tc>
          <w:tcPr/>
          <w:p>
            <w:pPr>
              <w:pStyle w:val="Compact"/>
            </w:pPr>
            <w:r>
              <w:t xml:space="preserve">13</w:t>
            </w:r>
          </w:p>
        </w:tc>
      </w:tr>
    </w:tbl>
    <w:p>
      <w:pPr>
        <w:pStyle w:val="BodyText"/>
      </w:pPr>
      <w:r>
        <w:t xml:space="preserve">Entrants by specialty: URPS, 480; urology, 421; General OB/GYN, 205; MIGS, 8.</w:t>
      </w:r>
    </w:p>
    <w:p>
      <w:r>
        <w:pict>
          <v:rect style="width:0;height:1.5pt" o:hralign="center" o:hrstd="t" o:hr="t"/>
        </w:pict>
      </w:r>
    </w:p>
    <w:bookmarkEnd w:id="32"/>
    <w:bookmarkStart w:id="48" w:name="figures"/>
    <w:p>
      <w:pPr>
        <w:pStyle w:val="Heading2"/>
      </w:pPr>
      <w:r>
        <w:t xml:space="preserve">Figures</w:t>
      </w:r>
    </w:p>
    <w:p>
      <w:pPr>
        <w:pStyle w:val="FirstParagraph"/>
      </w:pPr>
      <w:r>
        <w:drawing>
          <wp:inline>
            <wp:extent cx="5334000" cy="3333750"/>
            <wp:effectExtent b="0" l="0" r="0" t="0"/>
            <wp:docPr descr="" title="" id="34" name="Picture"/>
            <a:graphic>
              <a:graphicData uri="http://schemas.openxmlformats.org/drawingml/2006/picture">
                <pic:pic>
                  <pic:nvPicPr>
                    <pic:cNvPr descr="/Users/tylermuffly/sling-volume-patterns/output/figures/figure_1_market_share.png" id="35" name="Picture"/>
                    <pic:cNvPicPr>
                      <a:picLocks noChangeArrowheads="1" noChangeAspect="1"/>
                    </pic:cNvPicPr>
                  </pic:nvPicPr>
                  <pic:blipFill>
                    <a:blip r:embed="rId3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Market share of sling operations for stress urinary incontinence (CPT 57288) by specialty, fee-for-service Medicare PUF 2013–2023. The URPS share increased under every classification scheme. Fixed membership (URPS share 53.4% to 63.8%; +0.90 percentage points/year) and certification-gated classification (URPS share 42.2% to 62.8%; +1.52 percentage points/year) bracket the rate of increase and converge by 2023.</w:t>
      </w:r>
    </w:p>
    <w:p>
      <w:pPr>
        <w:pStyle w:val="BodyText"/>
      </w:pPr>
      <w:r>
        <w:drawing>
          <wp:inline>
            <wp:extent cx="5334000" cy="3810000"/>
            <wp:effectExtent b="0" l="0" r="0" t="0"/>
            <wp:docPr descr="" title="" id="37" name="Picture"/>
            <a:graphic>
              <a:graphicData uri="http://schemas.openxmlformats.org/drawingml/2006/picture">
                <pic:pic>
                  <pic:nvPicPr>
                    <pic:cNvPr descr="/Users/tylermuffly/sling-volume-patterns/output/figures/figure_2_volume_distribution.png" id="38" name="Picture"/>
                    <pic:cNvPicPr>
                      <a:picLocks noChangeArrowheads="1" noChangeAspect="1"/>
                    </pic:cNvPicPr>
                  </pic:nvPicPr>
                  <pic:blipFill>
                    <a:blip r:embed="rId36"/>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Annual sling service volume (CPT 57288) by specialty (violin and box plots; logarithmic scale). The minimum observable volume is 11 because of CMS cell suppression.</w:t>
      </w:r>
    </w:p>
    <w:p>
      <w:pPr>
        <w:pStyle w:val="BodyText"/>
      </w:pPr>
      <w:r>
        <w:drawing>
          <wp:inline>
            <wp:extent cx="5334000" cy="5334000"/>
            <wp:effectExtent b="0" l="0" r="0" t="0"/>
            <wp:docPr descr="" title="" id="40" name="Picture"/>
            <a:graphic>
              <a:graphicData uri="http://schemas.openxmlformats.org/drawingml/2006/picture">
                <pic:pic>
                  <pic:nvPicPr>
                    <pic:cNvPr descr="/Users/tylermuffly/sling-volume-patterns/output/figures/figure_3_lorenz_curve.png" id="41" name="Picture"/>
                    <pic:cNvPicPr>
                      <a:picLocks noChangeArrowheads="1" noChangeAspect="1"/>
                    </pic:cNvPicPr>
                  </pic:nvPicPr>
                  <pic:blipFill>
                    <a:blip r:embed="rId3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Lorenz curves of procedural concentration by specialty. Greater distance from the diagonal indicates greater concentration. URPS (Gini 0.52) is closest to equality; MIGS (0.61) is farthest.</w:t>
      </w:r>
    </w:p>
    <w:p>
      <w:pPr>
        <w:pStyle w:val="BodyText"/>
      </w:pPr>
      <w:r>
        <w:drawing>
          <wp:inline>
            <wp:extent cx="5334000" cy="4148666"/>
            <wp:effectExtent b="0" l="0" r="0" t="0"/>
            <wp:docPr descr="" title="" id="43" name="Picture"/>
            <a:graphic>
              <a:graphicData uri="http://schemas.openxmlformats.org/drawingml/2006/picture">
                <pic:pic>
                  <pic:nvPicPr>
                    <pic:cNvPr descr="/Users/tylermuffly/sling-volume-patterns/output/figures/figure_4_concentration_trends.png" id="44" name="Picture"/>
                    <pic:cNvPicPr>
                      <a:picLocks noChangeArrowheads="1" noChangeAspect="1"/>
                    </pic:cNvPicPr>
                  </pic:nvPicPr>
                  <pic:blipFill>
                    <a:blip r:embed="rId42"/>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Annual concentration by specialty, measured by Gini, HHI, top-20% share, and bottom-50% share. Within-year concentration was low and stable. MIGS was excluded because too few surgeons were observed each year for stable estimates.</w:t>
      </w:r>
    </w:p>
    <w:p>
      <w:pPr>
        <w:pStyle w:val="BodyText"/>
      </w:pPr>
      <w:r>
        <w:drawing>
          <wp:inline>
            <wp:extent cx="5334000" cy="2963333"/>
            <wp:effectExtent b="0" l="0" r="0" t="0"/>
            <wp:docPr descr="" title="" id="46" name="Picture"/>
            <a:graphic>
              <a:graphicData uri="http://schemas.openxmlformats.org/drawingml/2006/picture">
                <pic:pic>
                  <pic:nvPicPr>
                    <pic:cNvPr descr="/Users/tylermuffly/sling-volume-patterns/output/figures/figure_5_supply_trends.png" id="47" name="Picture"/>
                    <pic:cNvPicPr>
                      <a:picLocks noChangeArrowheads="1" noChangeAspect="1"/>
                    </pic:cNvPicPr>
                  </pic:nvPicPr>
                  <pic:blipFill>
                    <a:blip r:embed="rId45"/>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Observable surgeons and total procedure volume by year and specialty. The decline in the surgeon pool was concentrated in urology and General OB/GYN.</w:t>
      </w:r>
    </w:p>
    <w:p>
      <w:r>
        <w:pict>
          <v:rect style="width:0;height:1.5pt" o:hralign="center" o:hrstd="t" o:hr="t"/>
        </w:pict>
      </w:r>
    </w:p>
    <w:bookmarkEnd w:id="48"/>
    <w:bookmarkStart w:id="49" w:name="supplementary-information"/>
    <w:p>
      <w:pPr>
        <w:pStyle w:val="Heading2"/>
      </w:pPr>
      <w:r>
        <w:t xml:space="preserve">Supplementary Information</w:t>
      </w:r>
    </w:p>
    <w:p>
      <w:pPr>
        <w:pStyle w:val="FirstParagraph"/>
      </w:pPr>
      <w:r>
        <w:t xml:space="preserve">Supplementary tables are generated by pipeline step 06 from the same frozen cache as the main results, so they remain consistent with the numbers above.</w:t>
      </w:r>
    </w:p>
    <w:p>
      <w:pPr>
        <w:pStyle w:val="BodyText"/>
      </w:pPr>
      <w:r>
        <w:rPr>
          <w:b/>
          <w:bCs/>
        </w:rPr>
        <w:t xml:space="preserve">Supplementary Table S1.</w:t>
      </w:r>
      <w:r>
        <w:t xml:space="preserve"> </w:t>
      </w:r>
      <w:r>
        <w:t xml:space="preserve">Annual procedural concentration by calendar year and specialty. Total procedures, observable surgeons, median annual volume, Gini coefficient, HHI, and top-decile, top-quintile, and bottom-half shares are reported for every year. Within-year concentration was low and stable across the study period.</w:t>
      </w:r>
    </w:p>
    <w:tbl>
      <w:tblPr>
        <w:tblStyle w:val="Table"/>
        <w:tblW w:type="pct" w:w="5000"/>
        <w:tblLayout w:type="fixed"/>
        <w:tblLook w:firstRow="1" w:lastRow="0" w:firstColumn="0" w:lastColumn="0" w:noHBand="0" w:noVBand="0" w:val="0020"/>
      </w:tblPr>
      <w:tblGrid>
        <w:gridCol w:w="428"/>
        <w:gridCol w:w="1141"/>
        <w:gridCol w:w="856"/>
        <w:gridCol w:w="998"/>
        <w:gridCol w:w="1284"/>
        <w:gridCol w:w="499"/>
        <w:gridCol w:w="570"/>
        <w:gridCol w:w="642"/>
        <w:gridCol w:w="642"/>
        <w:gridCol w:w="856"/>
      </w:tblGrid>
      <w:tr>
        <w:trPr>
          <w:tblHeader w:val="on"/>
        </w:trPr>
        <w:tc>
          <w:tcPr/>
          <w:p>
            <w:pPr>
              <w:pStyle w:val="Compact"/>
            </w:pPr>
            <w:r>
              <w:t xml:space="preserve">Year</w:t>
            </w:r>
          </w:p>
        </w:tc>
        <w:tc>
          <w:tcPr/>
          <w:p>
            <w:pPr>
              <w:pStyle w:val="Compact"/>
            </w:pPr>
            <w:r>
              <w:t xml:space="preserve">Specialty</w:t>
            </w:r>
          </w:p>
        </w:tc>
        <w:tc>
          <w:tcPr/>
          <w:p>
            <w:pPr>
              <w:pStyle w:val="Compact"/>
            </w:pPr>
            <w:r>
              <w:t xml:space="preserve">N surgeons</w:t>
            </w:r>
          </w:p>
        </w:tc>
        <w:tc>
          <w:tcPr/>
          <w:p>
            <w:pPr>
              <w:pStyle w:val="Compact"/>
            </w:pPr>
            <w:r>
              <w:t xml:space="preserve">N procedures</w:t>
            </w:r>
          </w:p>
        </w:tc>
        <w:tc>
          <w:tcPr/>
          <w:p>
            <w:pPr>
              <w:pStyle w:val="Compact"/>
            </w:pPr>
            <w:r>
              <w:t xml:space="preserve">Median (p25–p75)</w:t>
            </w:r>
          </w:p>
        </w:tc>
        <w:tc>
          <w:tcPr/>
          <w:p>
            <w:pPr>
              <w:pStyle w:val="Compact"/>
            </w:pPr>
            <w:r>
              <w:t xml:space="preserve">Gini</w:t>
            </w:r>
          </w:p>
        </w:tc>
        <w:tc>
          <w:tcPr/>
          <w:p>
            <w:pPr>
              <w:pStyle w:val="Compact"/>
            </w:pPr>
            <w:r>
              <w:t xml:space="preserve">HHI</w:t>
            </w:r>
          </w:p>
        </w:tc>
        <w:tc>
          <w:tcPr/>
          <w:p>
            <w:pPr>
              <w:pStyle w:val="Compact"/>
            </w:pPr>
            <w:r>
              <w:t xml:space="preserve">Top 10%</w:t>
            </w:r>
          </w:p>
        </w:tc>
        <w:tc>
          <w:tcPr/>
          <w:p>
            <w:pPr>
              <w:pStyle w:val="Compact"/>
            </w:pPr>
            <w:r>
              <w:t xml:space="preserve">Top 20%</w:t>
            </w:r>
          </w:p>
        </w:tc>
        <w:tc>
          <w:tcPr/>
          <w:p>
            <w:pPr>
              <w:pStyle w:val="Compact"/>
            </w:pPr>
            <w:r>
              <w:t xml:space="preserve">Bottom 50%</w:t>
            </w:r>
          </w:p>
        </w:tc>
      </w:tr>
      <w:tr>
        <w:tc>
          <w:tcPr/>
          <w:p>
            <w:pPr>
              <w:pStyle w:val="Compact"/>
            </w:pPr>
            <w:r>
              <w:t xml:space="preserve">2013</w:t>
            </w:r>
          </w:p>
        </w:tc>
        <w:tc>
          <w:tcPr/>
          <w:p>
            <w:pPr>
              <w:pStyle w:val="Compact"/>
            </w:pPr>
            <w:r>
              <w:t xml:space="preserve">All</w:t>
            </w:r>
          </w:p>
        </w:tc>
        <w:tc>
          <w:tcPr/>
          <w:p>
            <w:pPr>
              <w:pStyle w:val="Compact"/>
            </w:pPr>
            <w:r>
              <w:t xml:space="preserve">812</w:t>
            </w:r>
          </w:p>
        </w:tc>
        <w:tc>
          <w:tcPr/>
          <w:p>
            <w:pPr>
              <w:pStyle w:val="Compact"/>
            </w:pPr>
            <w:r>
              <w:t xml:space="preserve">16399</w:t>
            </w:r>
          </w:p>
        </w:tc>
        <w:tc>
          <w:tcPr/>
          <w:p>
            <w:pPr>
              <w:pStyle w:val="Compact"/>
            </w:pPr>
            <w:r>
              <w:t xml:space="preserve">16 (13–23)</w:t>
            </w:r>
          </w:p>
        </w:tc>
        <w:tc>
          <w:tcPr/>
          <w:p>
            <w:pPr>
              <w:pStyle w:val="Compact"/>
            </w:pPr>
            <w:r>
              <w:t xml:space="preserve">0.272</w:t>
            </w:r>
          </w:p>
        </w:tc>
        <w:tc>
          <w:tcPr/>
          <w:p>
            <w:pPr>
              <w:pStyle w:val="Compact"/>
            </w:pPr>
            <w:r>
              <w:t xml:space="preserve">16.6</w:t>
            </w:r>
          </w:p>
        </w:tc>
        <w:tc>
          <w:tcPr/>
          <w:p>
            <w:pPr>
              <w:pStyle w:val="Compact"/>
            </w:pPr>
            <w:r>
              <w:t xml:space="preserve">24.5%</w:t>
            </w:r>
          </w:p>
        </w:tc>
        <w:tc>
          <w:tcPr/>
          <w:p>
            <w:pPr>
              <w:pStyle w:val="Compact"/>
            </w:pPr>
            <w:r>
              <w:t xml:space="preserve">39.2%</w:t>
            </w:r>
          </w:p>
        </w:tc>
        <w:tc>
          <w:tcPr/>
          <w:p>
            <w:pPr>
              <w:pStyle w:val="Compact"/>
            </w:pPr>
            <w:r>
              <w:t xml:space="preserve">31.7%</w:t>
            </w:r>
          </w:p>
        </w:tc>
      </w:tr>
      <w:tr>
        <w:tc>
          <w:tcPr/>
          <w:p>
            <w:pPr>
              <w:pStyle w:val="Compact"/>
            </w:pPr>
            <w:r>
              <w:t xml:space="preserve">2013</w:t>
            </w:r>
          </w:p>
        </w:tc>
        <w:tc>
          <w:tcPr/>
          <w:p>
            <w:pPr>
              <w:pStyle w:val="Compact"/>
            </w:pPr>
            <w:r>
              <w:t xml:space="preserve">URPS</w:t>
            </w:r>
          </w:p>
        </w:tc>
        <w:tc>
          <w:tcPr/>
          <w:p>
            <w:pPr>
              <w:pStyle w:val="Compact"/>
            </w:pPr>
            <w:r>
              <w:t xml:space="preserve">385</w:t>
            </w:r>
          </w:p>
        </w:tc>
        <w:tc>
          <w:tcPr/>
          <w:p>
            <w:pPr>
              <w:pStyle w:val="Compact"/>
            </w:pPr>
            <w:r>
              <w:t xml:space="preserve">8749</w:t>
            </w:r>
          </w:p>
        </w:tc>
        <w:tc>
          <w:tcPr/>
          <w:p>
            <w:pPr>
              <w:pStyle w:val="Compact"/>
            </w:pPr>
            <w:r>
              <w:t xml:space="preserve">19 (14–27)</w:t>
            </w:r>
          </w:p>
        </w:tc>
        <w:tc>
          <w:tcPr/>
          <w:p>
            <w:pPr>
              <w:pStyle w:val="Compact"/>
            </w:pPr>
            <w:r>
              <w:t xml:space="preserve">0.283</w:t>
            </w:r>
          </w:p>
        </w:tc>
        <w:tc>
          <w:tcPr/>
          <w:p>
            <w:pPr>
              <w:pStyle w:val="Compact"/>
            </w:pPr>
            <w:r>
              <w:t xml:space="preserve">34.8</w:t>
            </w:r>
          </w:p>
        </w:tc>
        <w:tc>
          <w:tcPr/>
          <w:p>
            <w:pPr>
              <w:pStyle w:val="Compact"/>
            </w:pPr>
            <w:r>
              <w:t xml:space="preserve">24.1%</w:t>
            </w:r>
          </w:p>
        </w:tc>
        <w:tc>
          <w:tcPr/>
          <w:p>
            <w:pPr>
              <w:pStyle w:val="Compact"/>
            </w:pPr>
            <w:r>
              <w:t xml:space="preserve">39.1%</w:t>
            </w:r>
          </w:p>
        </w:tc>
        <w:tc>
          <w:tcPr/>
          <w:p>
            <w:pPr>
              <w:pStyle w:val="Compact"/>
            </w:pPr>
            <w:r>
              <w:t xml:space="preserve">30.6%</w:t>
            </w:r>
          </w:p>
        </w:tc>
      </w:tr>
      <w:tr>
        <w:tc>
          <w:tcPr/>
          <w:p>
            <w:pPr>
              <w:pStyle w:val="Compact"/>
            </w:pPr>
            <w:r>
              <w:t xml:space="preserve">2013</w:t>
            </w:r>
          </w:p>
        </w:tc>
        <w:tc>
          <w:tcPr/>
          <w:p>
            <w:pPr>
              <w:pStyle w:val="Compact"/>
            </w:pPr>
            <w:r>
              <w:t xml:space="preserve">MIGS</w:t>
            </w:r>
          </w:p>
        </w:tc>
        <w:tc>
          <w:tcPr/>
          <w:p>
            <w:pPr>
              <w:pStyle w:val="Compact"/>
            </w:pPr>
            <w:r>
              <w:t xml:space="preserve">3</w:t>
            </w:r>
          </w:p>
        </w:tc>
        <w:tc>
          <w:tcPr/>
          <w:p>
            <w:pPr>
              <w:pStyle w:val="Compact"/>
            </w:pPr>
            <w:r>
              <w:t xml:space="preserve">35</w:t>
            </w:r>
          </w:p>
        </w:tc>
        <w:tc>
          <w:tcPr/>
          <w:p>
            <w:pPr>
              <w:pStyle w:val="Compact"/>
            </w:pPr>
            <w:r>
              <w:t xml:space="preserve">12 (12–12)</w:t>
            </w:r>
          </w:p>
        </w:tc>
        <w:tc>
          <w:tcPr/>
          <w:p>
            <w:pPr>
              <w:pStyle w:val="Compact"/>
            </w:pPr>
            <w:r>
              <w:t xml:space="preserve">0.019</w:t>
            </w:r>
          </w:p>
        </w:tc>
        <w:tc>
          <w:tcPr/>
          <w:p>
            <w:pPr>
              <w:pStyle w:val="Compact"/>
            </w:pPr>
            <w:r>
              <w:t xml:space="preserve">3338.8</w:t>
            </w:r>
          </w:p>
        </w:tc>
        <w:tc>
          <w:tcPr/>
          <w:p>
            <w:pPr>
              <w:pStyle w:val="Compact"/>
            </w:pPr>
            <w:r>
              <w:t xml:space="preserve">34.3%</w:t>
            </w:r>
          </w:p>
        </w:tc>
        <w:tc>
          <w:tcPr/>
          <w:p>
            <w:pPr>
              <w:pStyle w:val="Compact"/>
            </w:pPr>
            <w:r>
              <w:t xml:space="preserve">34.3%</w:t>
            </w:r>
          </w:p>
        </w:tc>
        <w:tc>
          <w:tcPr/>
          <w:p>
            <w:pPr>
              <w:pStyle w:val="Compact"/>
            </w:pPr>
            <w:r>
              <w:t xml:space="preserve">31.4%</w:t>
            </w:r>
          </w:p>
        </w:tc>
      </w:tr>
      <w:tr>
        <w:tc>
          <w:tcPr/>
          <w:p>
            <w:pPr>
              <w:pStyle w:val="Compact"/>
            </w:pPr>
            <w:r>
              <w:t xml:space="preserve">2013</w:t>
            </w:r>
          </w:p>
        </w:tc>
        <w:tc>
          <w:tcPr/>
          <w:p>
            <w:pPr>
              <w:pStyle w:val="Compact"/>
            </w:pPr>
            <w:r>
              <w:t xml:space="preserve">General OB/GYN</w:t>
            </w:r>
          </w:p>
        </w:tc>
        <w:tc>
          <w:tcPr/>
          <w:p>
            <w:pPr>
              <w:pStyle w:val="Compact"/>
            </w:pPr>
            <w:r>
              <w:t xml:space="preserve">142</w:t>
            </w:r>
          </w:p>
        </w:tc>
        <w:tc>
          <w:tcPr/>
          <w:p>
            <w:pPr>
              <w:pStyle w:val="Compact"/>
            </w:pPr>
            <w:r>
              <w:t xml:space="preserve">2580</w:t>
            </w:r>
          </w:p>
        </w:tc>
        <w:tc>
          <w:tcPr/>
          <w:p>
            <w:pPr>
              <w:pStyle w:val="Compact"/>
            </w:pPr>
            <w:r>
              <w:t xml:space="preserve">14 (12–20)</w:t>
            </w:r>
          </w:p>
        </w:tc>
        <w:tc>
          <w:tcPr/>
          <w:p>
            <w:pPr>
              <w:pStyle w:val="Compact"/>
            </w:pPr>
            <w:r>
              <w:t xml:space="preserve">0.257</w:t>
            </w:r>
          </w:p>
        </w:tc>
        <w:tc>
          <w:tcPr/>
          <w:p>
            <w:pPr>
              <w:pStyle w:val="Compact"/>
            </w:pPr>
            <w:r>
              <w:t xml:space="preserve">93.1</w:t>
            </w:r>
          </w:p>
        </w:tc>
        <w:tc>
          <w:tcPr/>
          <w:p>
            <w:pPr>
              <w:pStyle w:val="Compact"/>
            </w:pPr>
            <w:r>
              <w:t xml:space="preserve">25.2%</w:t>
            </w:r>
          </w:p>
        </w:tc>
        <w:tc>
          <w:tcPr/>
          <w:p>
            <w:pPr>
              <w:pStyle w:val="Compact"/>
            </w:pPr>
            <w:r>
              <w:t xml:space="preserve">39.0%</w:t>
            </w:r>
          </w:p>
        </w:tc>
        <w:tc>
          <w:tcPr/>
          <w:p>
            <w:pPr>
              <w:pStyle w:val="Compact"/>
            </w:pPr>
            <w:r>
              <w:t xml:space="preserve">33.1%</w:t>
            </w:r>
          </w:p>
        </w:tc>
      </w:tr>
      <w:tr>
        <w:tc>
          <w:tcPr/>
          <w:p>
            <w:pPr>
              <w:pStyle w:val="Compact"/>
            </w:pPr>
            <w:r>
              <w:t xml:space="preserve">2013</w:t>
            </w:r>
          </w:p>
        </w:tc>
        <w:tc>
          <w:tcPr/>
          <w:p>
            <w:pPr>
              <w:pStyle w:val="Compact"/>
            </w:pPr>
            <w:r>
              <w:t xml:space="preserve">Urology</w:t>
            </w:r>
          </w:p>
        </w:tc>
        <w:tc>
          <w:tcPr/>
          <w:p>
            <w:pPr>
              <w:pStyle w:val="Compact"/>
            </w:pPr>
            <w:r>
              <w:t xml:space="preserve">282</w:t>
            </w:r>
          </w:p>
        </w:tc>
        <w:tc>
          <w:tcPr/>
          <w:p>
            <w:pPr>
              <w:pStyle w:val="Compact"/>
            </w:pPr>
            <w:r>
              <w:t xml:space="preserve">5035</w:t>
            </w:r>
          </w:p>
        </w:tc>
        <w:tc>
          <w:tcPr/>
          <w:p>
            <w:pPr>
              <w:pStyle w:val="Compact"/>
            </w:pPr>
            <w:r>
              <w:t xml:space="preserve">15 (12–19)</w:t>
            </w:r>
          </w:p>
        </w:tc>
        <w:tc>
          <w:tcPr/>
          <w:p>
            <w:pPr>
              <w:pStyle w:val="Compact"/>
            </w:pPr>
            <w:r>
              <w:t xml:space="preserve">0.235</w:t>
            </w:r>
          </w:p>
        </w:tc>
        <w:tc>
          <w:tcPr/>
          <w:p>
            <w:pPr>
              <w:pStyle w:val="Compact"/>
            </w:pPr>
            <w:r>
              <w:t xml:space="preserve">46.1</w:t>
            </w:r>
          </w:p>
        </w:tc>
        <w:tc>
          <w:tcPr/>
          <w:p>
            <w:pPr>
              <w:pStyle w:val="Compact"/>
            </w:pPr>
            <w:r>
              <w:t xml:space="preserve">24.0%</w:t>
            </w:r>
          </w:p>
        </w:tc>
        <w:tc>
          <w:tcPr/>
          <w:p>
            <w:pPr>
              <w:pStyle w:val="Compact"/>
            </w:pPr>
            <w:r>
              <w:t xml:space="preserve">36.8%</w:t>
            </w:r>
          </w:p>
        </w:tc>
        <w:tc>
          <w:tcPr/>
          <w:p>
            <w:pPr>
              <w:pStyle w:val="Compact"/>
            </w:pPr>
            <w:r>
              <w:t xml:space="preserve">34.6%</w:t>
            </w:r>
          </w:p>
        </w:tc>
      </w:tr>
      <w:tr>
        <w:tc>
          <w:tcPr/>
          <w:p>
            <w:pPr>
              <w:pStyle w:val="Compact"/>
            </w:pPr>
            <w:r>
              <w:t xml:space="preserve">2014</w:t>
            </w:r>
          </w:p>
        </w:tc>
        <w:tc>
          <w:tcPr/>
          <w:p>
            <w:pPr>
              <w:pStyle w:val="Compact"/>
            </w:pPr>
            <w:r>
              <w:t xml:space="preserve">All</w:t>
            </w:r>
          </w:p>
        </w:tc>
        <w:tc>
          <w:tcPr/>
          <w:p>
            <w:pPr>
              <w:pStyle w:val="Compact"/>
            </w:pPr>
            <w:r>
              <w:t xml:space="preserve">685</w:t>
            </w:r>
          </w:p>
        </w:tc>
        <w:tc>
          <w:tcPr/>
          <w:p>
            <w:pPr>
              <w:pStyle w:val="Compact"/>
            </w:pPr>
            <w:r>
              <w:t xml:space="preserve">14248</w:t>
            </w:r>
          </w:p>
        </w:tc>
        <w:tc>
          <w:tcPr/>
          <w:p>
            <w:pPr>
              <w:pStyle w:val="Compact"/>
            </w:pPr>
            <w:r>
              <w:t xml:space="preserve">17 (13–24)</w:t>
            </w:r>
          </w:p>
        </w:tc>
        <w:tc>
          <w:tcPr/>
          <w:p>
            <w:pPr>
              <w:pStyle w:val="Compact"/>
            </w:pPr>
            <w:r>
              <w:t xml:space="preserve">0.267</w:t>
            </w:r>
          </w:p>
        </w:tc>
        <w:tc>
          <w:tcPr/>
          <w:p>
            <w:pPr>
              <w:pStyle w:val="Compact"/>
            </w:pPr>
            <w:r>
              <w:t xml:space="preserve">19.0</w:t>
            </w:r>
          </w:p>
        </w:tc>
        <w:tc>
          <w:tcPr/>
          <w:p>
            <w:pPr>
              <w:pStyle w:val="Compact"/>
            </w:pPr>
            <w:r>
              <w:t xml:space="preserve">23.2%</w:t>
            </w:r>
          </w:p>
        </w:tc>
        <w:tc>
          <w:tcPr/>
          <w:p>
            <w:pPr>
              <w:pStyle w:val="Compact"/>
            </w:pPr>
            <w:r>
              <w:t xml:space="preserve">38.2%</w:t>
            </w:r>
          </w:p>
        </w:tc>
        <w:tc>
          <w:tcPr/>
          <w:p>
            <w:pPr>
              <w:pStyle w:val="Compact"/>
            </w:pPr>
            <w:r>
              <w:t xml:space="preserve">31.6%</w:t>
            </w:r>
          </w:p>
        </w:tc>
      </w:tr>
      <w:tr>
        <w:tc>
          <w:tcPr/>
          <w:p>
            <w:pPr>
              <w:pStyle w:val="Compact"/>
            </w:pPr>
            <w:r>
              <w:t xml:space="preserve">2014</w:t>
            </w:r>
          </w:p>
        </w:tc>
        <w:tc>
          <w:tcPr/>
          <w:p>
            <w:pPr>
              <w:pStyle w:val="Compact"/>
            </w:pPr>
            <w:r>
              <w:t xml:space="preserve">URPS</w:t>
            </w:r>
          </w:p>
        </w:tc>
        <w:tc>
          <w:tcPr/>
          <w:p>
            <w:pPr>
              <w:pStyle w:val="Compact"/>
            </w:pPr>
            <w:r>
              <w:t xml:space="preserve">356</w:t>
            </w:r>
          </w:p>
        </w:tc>
        <w:tc>
          <w:tcPr/>
          <w:p>
            <w:pPr>
              <w:pStyle w:val="Compact"/>
            </w:pPr>
            <w:r>
              <w:t xml:space="preserve">8269</w:t>
            </w:r>
          </w:p>
        </w:tc>
        <w:tc>
          <w:tcPr/>
          <w:p>
            <w:pPr>
              <w:pStyle w:val="Compact"/>
            </w:pPr>
            <w:r>
              <w:t xml:space="preserve">19 (14–28)</w:t>
            </w:r>
          </w:p>
        </w:tc>
        <w:tc>
          <w:tcPr/>
          <w:p>
            <w:pPr>
              <w:pStyle w:val="Compact"/>
            </w:pPr>
            <w:r>
              <w:t xml:space="preserve">0.274</w:t>
            </w:r>
          </w:p>
        </w:tc>
        <w:tc>
          <w:tcPr/>
          <w:p>
            <w:pPr>
              <w:pStyle w:val="Compact"/>
            </w:pPr>
            <w:r>
              <w:t xml:space="preserve">36.4</w:t>
            </w:r>
          </w:p>
        </w:tc>
        <w:tc>
          <w:tcPr/>
          <w:p>
            <w:pPr>
              <w:pStyle w:val="Compact"/>
            </w:pPr>
            <w:r>
              <w:t xml:space="preserve">22.9%</w:t>
            </w:r>
          </w:p>
        </w:tc>
        <w:tc>
          <w:tcPr/>
          <w:p>
            <w:pPr>
              <w:pStyle w:val="Compact"/>
            </w:pPr>
            <w:r>
              <w:t xml:space="preserve">38.2%</w:t>
            </w:r>
          </w:p>
        </w:tc>
        <w:tc>
          <w:tcPr/>
          <w:p>
            <w:pPr>
              <w:pStyle w:val="Compact"/>
            </w:pPr>
            <w:r>
              <w:t xml:space="preserve">31.0%</w:t>
            </w:r>
          </w:p>
        </w:tc>
      </w:tr>
      <w:tr>
        <w:tc>
          <w:tcPr/>
          <w:p>
            <w:pPr>
              <w:pStyle w:val="Compact"/>
            </w:pPr>
            <w:r>
              <w:t xml:space="preserve">2014</w:t>
            </w:r>
          </w:p>
        </w:tc>
        <w:tc>
          <w:tcPr/>
          <w:p>
            <w:pPr>
              <w:pStyle w:val="Compact"/>
            </w:pPr>
            <w:r>
              <w:t xml:space="preserve">MIGS</w:t>
            </w:r>
          </w:p>
        </w:tc>
        <w:tc>
          <w:tcPr/>
          <w:p>
            <w:pPr>
              <w:pStyle w:val="Compact"/>
            </w:pPr>
            <w:r>
              <w:t xml:space="preserve">3</w:t>
            </w:r>
          </w:p>
        </w:tc>
        <w:tc>
          <w:tcPr/>
          <w:p>
            <w:pPr>
              <w:pStyle w:val="Compact"/>
            </w:pPr>
            <w:r>
              <w:t xml:space="preserve">41</w:t>
            </w:r>
          </w:p>
        </w:tc>
        <w:tc>
          <w:tcPr/>
          <w:p>
            <w:pPr>
              <w:pStyle w:val="Compact"/>
            </w:pPr>
            <w:r>
              <w:t xml:space="preserve">13 (12–15)</w:t>
            </w:r>
          </w:p>
        </w:tc>
        <w:tc>
          <w:tcPr/>
          <w:p>
            <w:pPr>
              <w:pStyle w:val="Compact"/>
            </w:pPr>
            <w:r>
              <w:t xml:space="preserve">0.098</w:t>
            </w:r>
          </w:p>
        </w:tc>
        <w:tc>
          <w:tcPr/>
          <w:p>
            <w:pPr>
              <w:pStyle w:val="Compact"/>
            </w:pPr>
            <w:r>
              <w:t xml:space="preserve">3444.4</w:t>
            </w:r>
          </w:p>
        </w:tc>
        <w:tc>
          <w:tcPr/>
          <w:p>
            <w:pPr>
              <w:pStyle w:val="Compact"/>
            </w:pPr>
            <w:r>
              <w:t xml:space="preserve">41.5%</w:t>
            </w:r>
          </w:p>
        </w:tc>
        <w:tc>
          <w:tcPr/>
          <w:p>
            <w:pPr>
              <w:pStyle w:val="Compact"/>
            </w:pPr>
            <w:r>
              <w:t xml:space="preserve">41.5%</w:t>
            </w:r>
          </w:p>
        </w:tc>
        <w:tc>
          <w:tcPr/>
          <w:p>
            <w:pPr>
              <w:pStyle w:val="Compact"/>
            </w:pPr>
            <w:r>
              <w:t xml:space="preserve">26.8%</w:t>
            </w:r>
          </w:p>
        </w:tc>
      </w:tr>
      <w:tr>
        <w:tc>
          <w:tcPr/>
          <w:p>
            <w:pPr>
              <w:pStyle w:val="Compact"/>
            </w:pPr>
            <w:r>
              <w:t xml:space="preserve">2014</w:t>
            </w:r>
          </w:p>
        </w:tc>
        <w:tc>
          <w:tcPr/>
          <w:p>
            <w:pPr>
              <w:pStyle w:val="Compact"/>
            </w:pPr>
            <w:r>
              <w:t xml:space="preserve">General OB/GYN</w:t>
            </w:r>
          </w:p>
        </w:tc>
        <w:tc>
          <w:tcPr/>
          <w:p>
            <w:pPr>
              <w:pStyle w:val="Compact"/>
            </w:pPr>
            <w:r>
              <w:t xml:space="preserve">114</w:t>
            </w:r>
          </w:p>
        </w:tc>
        <w:tc>
          <w:tcPr/>
          <w:p>
            <w:pPr>
              <w:pStyle w:val="Compact"/>
            </w:pPr>
            <w:r>
              <w:t xml:space="preserve">2076</w:t>
            </w:r>
          </w:p>
        </w:tc>
        <w:tc>
          <w:tcPr/>
          <w:p>
            <w:pPr>
              <w:pStyle w:val="Compact"/>
            </w:pPr>
            <w:r>
              <w:t xml:space="preserve">15 (12–21)</w:t>
            </w:r>
          </w:p>
        </w:tc>
        <w:tc>
          <w:tcPr/>
          <w:p>
            <w:pPr>
              <w:pStyle w:val="Compact"/>
            </w:pPr>
            <w:r>
              <w:t xml:space="preserve">0.239</w:t>
            </w:r>
          </w:p>
        </w:tc>
        <w:tc>
          <w:tcPr/>
          <w:p>
            <w:pPr>
              <w:pStyle w:val="Compact"/>
            </w:pPr>
            <w:r>
              <w:t xml:space="preserve">108.2</w:t>
            </w:r>
          </w:p>
        </w:tc>
        <w:tc>
          <w:tcPr/>
          <w:p>
            <w:pPr>
              <w:pStyle w:val="Compact"/>
            </w:pPr>
            <w:r>
              <w:t xml:space="preserve">22.8%</w:t>
            </w:r>
          </w:p>
        </w:tc>
        <w:tc>
          <w:tcPr/>
          <w:p>
            <w:pPr>
              <w:pStyle w:val="Compact"/>
            </w:pPr>
            <w:r>
              <w:t xml:space="preserve">36.6%</w:t>
            </w:r>
          </w:p>
        </w:tc>
        <w:tc>
          <w:tcPr/>
          <w:p>
            <w:pPr>
              <w:pStyle w:val="Compact"/>
            </w:pPr>
            <w:r>
              <w:t xml:space="preserve">33.6%</w:t>
            </w:r>
          </w:p>
        </w:tc>
      </w:tr>
      <w:tr>
        <w:tc>
          <w:tcPr/>
          <w:p>
            <w:pPr>
              <w:pStyle w:val="Compact"/>
            </w:pPr>
            <w:r>
              <w:t xml:space="preserve">2014</w:t>
            </w:r>
          </w:p>
        </w:tc>
        <w:tc>
          <w:tcPr/>
          <w:p>
            <w:pPr>
              <w:pStyle w:val="Compact"/>
            </w:pPr>
            <w:r>
              <w:t xml:space="preserve">Urology</w:t>
            </w:r>
          </w:p>
        </w:tc>
        <w:tc>
          <w:tcPr/>
          <w:p>
            <w:pPr>
              <w:pStyle w:val="Compact"/>
            </w:pPr>
            <w:r>
              <w:t xml:space="preserve">212</w:t>
            </w:r>
          </w:p>
        </w:tc>
        <w:tc>
          <w:tcPr/>
          <w:p>
            <w:pPr>
              <w:pStyle w:val="Compact"/>
            </w:pPr>
            <w:r>
              <w:t xml:space="preserve">3862</w:t>
            </w:r>
          </w:p>
        </w:tc>
        <w:tc>
          <w:tcPr/>
          <w:p>
            <w:pPr>
              <w:pStyle w:val="Compact"/>
            </w:pPr>
            <w:r>
              <w:t xml:space="preserve">15 (12–20)</w:t>
            </w:r>
          </w:p>
        </w:tc>
        <w:tc>
          <w:tcPr/>
          <w:p>
            <w:pPr>
              <w:pStyle w:val="Compact"/>
            </w:pPr>
            <w:r>
              <w:t xml:space="preserve">0.238</w:t>
            </w:r>
          </w:p>
        </w:tc>
        <w:tc>
          <w:tcPr/>
          <w:p>
            <w:pPr>
              <w:pStyle w:val="Compact"/>
            </w:pPr>
            <w:r>
              <w:t xml:space="preserve">60.3</w:t>
            </w:r>
          </w:p>
        </w:tc>
        <w:tc>
          <w:tcPr/>
          <w:p>
            <w:pPr>
              <w:pStyle w:val="Compact"/>
            </w:pPr>
            <w:r>
              <w:t xml:space="preserve">23.3%</w:t>
            </w:r>
          </w:p>
        </w:tc>
        <w:tc>
          <w:tcPr/>
          <w:p>
            <w:pPr>
              <w:pStyle w:val="Compact"/>
            </w:pPr>
            <w:r>
              <w:t xml:space="preserve">36.8%</w:t>
            </w:r>
          </w:p>
        </w:tc>
        <w:tc>
          <w:tcPr/>
          <w:p>
            <w:pPr>
              <w:pStyle w:val="Compact"/>
            </w:pPr>
            <w:r>
              <w:t xml:space="preserve">34.0%</w:t>
            </w:r>
          </w:p>
        </w:tc>
      </w:tr>
      <w:tr>
        <w:tc>
          <w:tcPr/>
          <w:p>
            <w:pPr>
              <w:pStyle w:val="Compact"/>
            </w:pPr>
            <w:r>
              <w:t xml:space="preserve">2015</w:t>
            </w:r>
          </w:p>
        </w:tc>
        <w:tc>
          <w:tcPr/>
          <w:p>
            <w:pPr>
              <w:pStyle w:val="Compact"/>
            </w:pPr>
            <w:r>
              <w:t xml:space="preserve">All</w:t>
            </w:r>
          </w:p>
        </w:tc>
        <w:tc>
          <w:tcPr/>
          <w:p>
            <w:pPr>
              <w:pStyle w:val="Compact"/>
            </w:pPr>
            <w:r>
              <w:t xml:space="preserve">655</w:t>
            </w:r>
          </w:p>
        </w:tc>
        <w:tc>
          <w:tcPr/>
          <w:p>
            <w:pPr>
              <w:pStyle w:val="Compact"/>
            </w:pPr>
            <w:r>
              <w:t xml:space="preserve">13380</w:t>
            </w:r>
          </w:p>
        </w:tc>
        <w:tc>
          <w:tcPr/>
          <w:p>
            <w:pPr>
              <w:pStyle w:val="Compact"/>
            </w:pPr>
            <w:r>
              <w:t xml:space="preserve">16 (13–24)</w:t>
            </w:r>
          </w:p>
        </w:tc>
        <w:tc>
          <w:tcPr/>
          <w:p>
            <w:pPr>
              <w:pStyle w:val="Compact"/>
            </w:pPr>
            <w:r>
              <w:t xml:space="preserve">0.268</w:t>
            </w:r>
          </w:p>
        </w:tc>
        <w:tc>
          <w:tcPr/>
          <w:p>
            <w:pPr>
              <w:pStyle w:val="Compact"/>
            </w:pPr>
            <w:r>
              <w:t xml:space="preserve">20.1</w:t>
            </w:r>
          </w:p>
        </w:tc>
        <w:tc>
          <w:tcPr/>
          <w:p>
            <w:pPr>
              <w:pStyle w:val="Compact"/>
            </w:pPr>
            <w:r>
              <w:t xml:space="preserve">23.5%</w:t>
            </w:r>
          </w:p>
        </w:tc>
        <w:tc>
          <w:tcPr/>
          <w:p>
            <w:pPr>
              <w:pStyle w:val="Compact"/>
            </w:pPr>
            <w:r>
              <w:t xml:space="preserve">38.2%</w:t>
            </w:r>
          </w:p>
        </w:tc>
        <w:tc>
          <w:tcPr/>
          <w:p>
            <w:pPr>
              <w:pStyle w:val="Compact"/>
            </w:pPr>
            <w:r>
              <w:t xml:space="preserve">31.7%</w:t>
            </w:r>
          </w:p>
        </w:tc>
      </w:tr>
      <w:tr>
        <w:tc>
          <w:tcPr/>
          <w:p>
            <w:pPr>
              <w:pStyle w:val="Compact"/>
            </w:pPr>
            <w:r>
              <w:t xml:space="preserve">2015</w:t>
            </w:r>
          </w:p>
        </w:tc>
        <w:tc>
          <w:tcPr/>
          <w:p>
            <w:pPr>
              <w:pStyle w:val="Compact"/>
            </w:pPr>
            <w:r>
              <w:t xml:space="preserve">URPS</w:t>
            </w:r>
          </w:p>
        </w:tc>
        <w:tc>
          <w:tcPr/>
          <w:p>
            <w:pPr>
              <w:pStyle w:val="Compact"/>
            </w:pPr>
            <w:r>
              <w:t xml:space="preserve">357</w:t>
            </w:r>
          </w:p>
        </w:tc>
        <w:tc>
          <w:tcPr/>
          <w:p>
            <w:pPr>
              <w:pStyle w:val="Compact"/>
            </w:pPr>
            <w:r>
              <w:t xml:space="preserve">7918</w:t>
            </w:r>
          </w:p>
        </w:tc>
        <w:tc>
          <w:tcPr/>
          <w:p>
            <w:pPr>
              <w:pStyle w:val="Compact"/>
            </w:pPr>
            <w:r>
              <w:t xml:space="preserve">18 (14–27)</w:t>
            </w:r>
          </w:p>
        </w:tc>
        <w:tc>
          <w:tcPr/>
          <w:p>
            <w:pPr>
              <w:pStyle w:val="Compact"/>
            </w:pPr>
            <w:r>
              <w:t xml:space="preserve">0.275</w:t>
            </w:r>
          </w:p>
        </w:tc>
        <w:tc>
          <w:tcPr/>
          <w:p>
            <w:pPr>
              <w:pStyle w:val="Compact"/>
            </w:pPr>
            <w:r>
              <w:t xml:space="preserve">36.7</w:t>
            </w:r>
          </w:p>
        </w:tc>
        <w:tc>
          <w:tcPr/>
          <w:p>
            <w:pPr>
              <w:pStyle w:val="Compact"/>
            </w:pPr>
            <w:r>
              <w:t xml:space="preserve">23.2%</w:t>
            </w:r>
          </w:p>
        </w:tc>
        <w:tc>
          <w:tcPr/>
          <w:p>
            <w:pPr>
              <w:pStyle w:val="Compact"/>
            </w:pPr>
            <w:r>
              <w:t xml:space="preserve">38.3%</w:t>
            </w:r>
          </w:p>
        </w:tc>
        <w:tc>
          <w:tcPr/>
          <w:p>
            <w:pPr>
              <w:pStyle w:val="Compact"/>
            </w:pPr>
            <w:r>
              <w:t xml:space="preserve">30.8%</w:t>
            </w:r>
          </w:p>
        </w:tc>
      </w:tr>
      <w:tr>
        <w:tc>
          <w:tcPr/>
          <w:p>
            <w:pPr>
              <w:pStyle w:val="Compact"/>
            </w:pPr>
            <w:r>
              <w:t xml:space="preserve">2015</w:t>
            </w:r>
          </w:p>
        </w:tc>
        <w:tc>
          <w:tcPr/>
          <w:p>
            <w:pPr>
              <w:pStyle w:val="Compact"/>
            </w:pPr>
            <w:r>
              <w:t xml:space="preserve">MIGS</w:t>
            </w:r>
          </w:p>
        </w:tc>
        <w:tc>
          <w:tcPr/>
          <w:p>
            <w:pPr>
              <w:pStyle w:val="Compact"/>
            </w:pPr>
            <w:r>
              <w:t xml:space="preserve">5</w:t>
            </w:r>
          </w:p>
        </w:tc>
        <w:tc>
          <w:tcPr/>
          <w:p>
            <w:pPr>
              <w:pStyle w:val="Compact"/>
            </w:pPr>
            <w:r>
              <w:t xml:space="preserve">66</w:t>
            </w:r>
          </w:p>
        </w:tc>
        <w:tc>
          <w:tcPr/>
          <w:p>
            <w:pPr>
              <w:pStyle w:val="Compact"/>
            </w:pPr>
            <w:r>
              <w:t xml:space="preserve">12 (11–15)</w:t>
            </w:r>
          </w:p>
        </w:tc>
        <w:tc>
          <w:tcPr/>
          <w:p>
            <w:pPr>
              <w:pStyle w:val="Compact"/>
            </w:pPr>
            <w:r>
              <w:t xml:space="preserve">0.097</w:t>
            </w:r>
          </w:p>
        </w:tc>
        <w:tc>
          <w:tcPr/>
          <w:p>
            <w:pPr>
              <w:pStyle w:val="Compact"/>
            </w:pPr>
            <w:r>
              <w:t xml:space="preserve">2066.1</w:t>
            </w:r>
          </w:p>
        </w:tc>
        <w:tc>
          <w:tcPr/>
          <w:p>
            <w:pPr>
              <w:pStyle w:val="Compact"/>
            </w:pPr>
            <w:r>
              <w:t xml:space="preserve">25.8%</w:t>
            </w:r>
          </w:p>
        </w:tc>
        <w:tc>
          <w:tcPr/>
          <w:p>
            <w:pPr>
              <w:pStyle w:val="Compact"/>
            </w:pPr>
            <w:r>
              <w:t xml:space="preserve">25.8%</w:t>
            </w:r>
          </w:p>
        </w:tc>
        <w:tc>
          <w:tcPr/>
          <w:p>
            <w:pPr>
              <w:pStyle w:val="Compact"/>
            </w:pPr>
            <w:r>
              <w:t xml:space="preserve">33.3%</w:t>
            </w:r>
          </w:p>
        </w:tc>
      </w:tr>
      <w:tr>
        <w:tc>
          <w:tcPr/>
          <w:p>
            <w:pPr>
              <w:pStyle w:val="Compact"/>
            </w:pPr>
            <w:r>
              <w:t xml:space="preserve">2015</w:t>
            </w:r>
          </w:p>
        </w:tc>
        <w:tc>
          <w:tcPr/>
          <w:p>
            <w:pPr>
              <w:pStyle w:val="Compact"/>
            </w:pPr>
            <w:r>
              <w:t xml:space="preserve">General OB/GYN</w:t>
            </w:r>
          </w:p>
        </w:tc>
        <w:tc>
          <w:tcPr/>
          <w:p>
            <w:pPr>
              <w:pStyle w:val="Compact"/>
            </w:pPr>
            <w:r>
              <w:t xml:space="preserve">95</w:t>
            </w:r>
          </w:p>
        </w:tc>
        <w:tc>
          <w:tcPr/>
          <w:p>
            <w:pPr>
              <w:pStyle w:val="Compact"/>
            </w:pPr>
            <w:r>
              <w:t xml:space="preserve">1774</w:t>
            </w:r>
          </w:p>
        </w:tc>
        <w:tc>
          <w:tcPr/>
          <w:p>
            <w:pPr>
              <w:pStyle w:val="Compact"/>
            </w:pPr>
            <w:r>
              <w:t xml:space="preserve">15 (12–20)</w:t>
            </w:r>
          </w:p>
        </w:tc>
        <w:tc>
          <w:tcPr/>
          <w:p>
            <w:pPr>
              <w:pStyle w:val="Compact"/>
            </w:pPr>
            <w:r>
              <w:t xml:space="preserve">0.248</w:t>
            </w:r>
          </w:p>
        </w:tc>
        <w:tc>
          <w:tcPr/>
          <w:p>
            <w:pPr>
              <w:pStyle w:val="Compact"/>
            </w:pPr>
            <w:r>
              <w:t xml:space="preserve">135.5</w:t>
            </w:r>
          </w:p>
        </w:tc>
        <w:tc>
          <w:tcPr/>
          <w:p>
            <w:pPr>
              <w:pStyle w:val="Compact"/>
            </w:pPr>
            <w:r>
              <w:t xml:space="preserve">23.7%</w:t>
            </w:r>
          </w:p>
        </w:tc>
        <w:tc>
          <w:tcPr/>
          <w:p>
            <w:pPr>
              <w:pStyle w:val="Compact"/>
            </w:pPr>
            <w:r>
              <w:t xml:space="preserve">37.8%</w:t>
            </w:r>
          </w:p>
        </w:tc>
        <w:tc>
          <w:tcPr/>
          <w:p>
            <w:pPr>
              <w:pStyle w:val="Compact"/>
            </w:pPr>
            <w:r>
              <w:t xml:space="preserve">33.1%</w:t>
            </w:r>
          </w:p>
        </w:tc>
      </w:tr>
      <w:tr>
        <w:tc>
          <w:tcPr/>
          <w:p>
            <w:pPr>
              <w:pStyle w:val="Compact"/>
            </w:pPr>
            <w:r>
              <w:t xml:space="preserve">2015</w:t>
            </w:r>
          </w:p>
        </w:tc>
        <w:tc>
          <w:tcPr/>
          <w:p>
            <w:pPr>
              <w:pStyle w:val="Compact"/>
            </w:pPr>
            <w:r>
              <w:t xml:space="preserve">Urology</w:t>
            </w:r>
          </w:p>
        </w:tc>
        <w:tc>
          <w:tcPr/>
          <w:p>
            <w:pPr>
              <w:pStyle w:val="Compact"/>
            </w:pPr>
            <w:r>
              <w:t xml:space="preserve">198</w:t>
            </w:r>
          </w:p>
        </w:tc>
        <w:tc>
          <w:tcPr/>
          <w:p>
            <w:pPr>
              <w:pStyle w:val="Compact"/>
            </w:pPr>
            <w:r>
              <w:t xml:space="preserve">3622</w:t>
            </w:r>
          </w:p>
        </w:tc>
        <w:tc>
          <w:tcPr/>
          <w:p>
            <w:pPr>
              <w:pStyle w:val="Compact"/>
            </w:pPr>
            <w:r>
              <w:t xml:space="preserve">15 (12–20)</w:t>
            </w:r>
          </w:p>
        </w:tc>
        <w:tc>
          <w:tcPr/>
          <w:p>
            <w:pPr>
              <w:pStyle w:val="Compact"/>
            </w:pPr>
            <w:r>
              <w:t xml:space="preserve">0.244</w:t>
            </w:r>
          </w:p>
        </w:tc>
        <w:tc>
          <w:tcPr/>
          <w:p>
            <w:pPr>
              <w:pStyle w:val="Compact"/>
            </w:pPr>
            <w:r>
              <w:t xml:space="preserve">66.1</w:t>
            </w:r>
          </w:p>
        </w:tc>
        <w:tc>
          <w:tcPr/>
          <w:p>
            <w:pPr>
              <w:pStyle w:val="Compact"/>
            </w:pPr>
            <w:r>
              <w:t xml:space="preserve">23.2%</w:t>
            </w:r>
          </w:p>
        </w:tc>
        <w:tc>
          <w:tcPr/>
          <w:p>
            <w:pPr>
              <w:pStyle w:val="Compact"/>
            </w:pPr>
            <w:r>
              <w:t xml:space="preserve">37.2%</w:t>
            </w:r>
          </w:p>
        </w:tc>
        <w:tc>
          <w:tcPr/>
          <w:p>
            <w:pPr>
              <w:pStyle w:val="Compact"/>
            </w:pPr>
            <w:r>
              <w:t xml:space="preserve">33.7%</w:t>
            </w:r>
          </w:p>
        </w:tc>
      </w:tr>
      <w:tr>
        <w:tc>
          <w:tcPr/>
          <w:p>
            <w:pPr>
              <w:pStyle w:val="Compact"/>
            </w:pPr>
            <w:r>
              <w:t xml:space="preserve">2016</w:t>
            </w:r>
          </w:p>
        </w:tc>
        <w:tc>
          <w:tcPr/>
          <w:p>
            <w:pPr>
              <w:pStyle w:val="Compact"/>
            </w:pPr>
            <w:r>
              <w:t xml:space="preserve">All</w:t>
            </w:r>
          </w:p>
        </w:tc>
        <w:tc>
          <w:tcPr/>
          <w:p>
            <w:pPr>
              <w:pStyle w:val="Compact"/>
            </w:pPr>
            <w:r>
              <w:t xml:space="preserve">701</w:t>
            </w:r>
          </w:p>
        </w:tc>
        <w:tc>
          <w:tcPr/>
          <w:p>
            <w:pPr>
              <w:pStyle w:val="Compact"/>
            </w:pPr>
            <w:r>
              <w:t xml:space="preserve">14935</w:t>
            </w:r>
          </w:p>
        </w:tc>
        <w:tc>
          <w:tcPr/>
          <w:p>
            <w:pPr>
              <w:pStyle w:val="Compact"/>
            </w:pPr>
            <w:r>
              <w:t xml:space="preserve">18 (13–25)</w:t>
            </w:r>
          </w:p>
        </w:tc>
        <w:tc>
          <w:tcPr/>
          <w:p>
            <w:pPr>
              <w:pStyle w:val="Compact"/>
            </w:pPr>
            <w:r>
              <w:t xml:space="preserve">0.268</w:t>
            </w:r>
          </w:p>
        </w:tc>
        <w:tc>
          <w:tcPr/>
          <w:p>
            <w:pPr>
              <w:pStyle w:val="Compact"/>
            </w:pPr>
            <w:r>
              <w:t xml:space="preserve">18.8</w:t>
            </w:r>
          </w:p>
        </w:tc>
        <w:tc>
          <w:tcPr/>
          <w:p>
            <w:pPr>
              <w:pStyle w:val="Compact"/>
            </w:pPr>
            <w:r>
              <w:t xml:space="preserve">23.7%</w:t>
            </w:r>
          </w:p>
        </w:tc>
        <w:tc>
          <w:tcPr/>
          <w:p>
            <w:pPr>
              <w:pStyle w:val="Compact"/>
            </w:pPr>
            <w:r>
              <w:t xml:space="preserve">38.0%</w:t>
            </w:r>
          </w:p>
        </w:tc>
        <w:tc>
          <w:tcPr/>
          <w:p>
            <w:pPr>
              <w:pStyle w:val="Compact"/>
            </w:pPr>
            <w:r>
              <w:t xml:space="preserve">31.7%</w:t>
            </w:r>
          </w:p>
        </w:tc>
      </w:tr>
      <w:tr>
        <w:tc>
          <w:tcPr/>
          <w:p>
            <w:pPr>
              <w:pStyle w:val="Compact"/>
            </w:pPr>
            <w:r>
              <w:t xml:space="preserve">2016</w:t>
            </w:r>
          </w:p>
        </w:tc>
        <w:tc>
          <w:tcPr/>
          <w:p>
            <w:pPr>
              <w:pStyle w:val="Compact"/>
            </w:pPr>
            <w:r>
              <w:t xml:space="preserve">URPS</w:t>
            </w:r>
          </w:p>
        </w:tc>
        <w:tc>
          <w:tcPr/>
          <w:p>
            <w:pPr>
              <w:pStyle w:val="Compact"/>
            </w:pPr>
            <w:r>
              <w:t xml:space="preserve">386</w:t>
            </w:r>
          </w:p>
        </w:tc>
        <w:tc>
          <w:tcPr/>
          <w:p>
            <w:pPr>
              <w:pStyle w:val="Compact"/>
            </w:pPr>
            <w:r>
              <w:t xml:space="preserve">9105</w:t>
            </w:r>
          </w:p>
        </w:tc>
        <w:tc>
          <w:tcPr/>
          <w:p>
            <w:pPr>
              <w:pStyle w:val="Compact"/>
            </w:pPr>
            <w:r>
              <w:t xml:space="preserve">19 (14–28)</w:t>
            </w:r>
          </w:p>
        </w:tc>
        <w:tc>
          <w:tcPr/>
          <w:p>
            <w:pPr>
              <w:pStyle w:val="Compact"/>
            </w:pPr>
            <w:r>
              <w:t xml:space="preserve">0.279</w:t>
            </w:r>
          </w:p>
        </w:tc>
        <w:tc>
          <w:tcPr/>
          <w:p>
            <w:pPr>
              <w:pStyle w:val="Compact"/>
            </w:pPr>
            <w:r>
              <w:t xml:space="preserve">34.1</w:t>
            </w:r>
          </w:p>
        </w:tc>
        <w:tc>
          <w:tcPr/>
          <w:p>
            <w:pPr>
              <w:pStyle w:val="Compact"/>
            </w:pPr>
            <w:r>
              <w:t xml:space="preserve">23.5%</w:t>
            </w:r>
          </w:p>
        </w:tc>
        <w:tc>
          <w:tcPr/>
          <w:p>
            <w:pPr>
              <w:pStyle w:val="Compact"/>
            </w:pPr>
            <w:r>
              <w:t xml:space="preserve">38.6%</w:t>
            </w:r>
          </w:p>
        </w:tc>
        <w:tc>
          <w:tcPr/>
          <w:p>
            <w:pPr>
              <w:pStyle w:val="Compact"/>
            </w:pPr>
            <w:r>
              <w:t xml:space="preserve">30.8%</w:t>
            </w:r>
          </w:p>
        </w:tc>
      </w:tr>
      <w:tr>
        <w:tc>
          <w:tcPr/>
          <w:p>
            <w:pPr>
              <w:pStyle w:val="Compact"/>
            </w:pPr>
            <w:r>
              <w:t xml:space="preserve">2016</w:t>
            </w:r>
          </w:p>
        </w:tc>
        <w:tc>
          <w:tcPr/>
          <w:p>
            <w:pPr>
              <w:pStyle w:val="Compact"/>
            </w:pPr>
            <w:r>
              <w:t xml:space="preserve">MIGS</w:t>
            </w:r>
          </w:p>
        </w:tc>
        <w:tc>
          <w:tcPr/>
          <w:p>
            <w:pPr>
              <w:pStyle w:val="Compact"/>
            </w:pPr>
            <w:r>
              <w:t xml:space="preserve">4</w:t>
            </w:r>
          </w:p>
        </w:tc>
        <w:tc>
          <w:tcPr/>
          <w:p>
            <w:pPr>
              <w:pStyle w:val="Compact"/>
            </w:pPr>
            <w:r>
              <w:t xml:space="preserve">62</w:t>
            </w:r>
          </w:p>
        </w:tc>
        <w:tc>
          <w:tcPr/>
          <w:p>
            <w:pPr>
              <w:pStyle w:val="Compact"/>
            </w:pPr>
            <w:r>
              <w:t xml:space="preserve">14 (12–18)</w:t>
            </w:r>
          </w:p>
        </w:tc>
        <w:tc>
          <w:tcPr/>
          <w:p>
            <w:pPr>
              <w:pStyle w:val="Compact"/>
            </w:pPr>
            <w:r>
              <w:t xml:space="preserve">0.161</w:t>
            </w:r>
          </w:p>
        </w:tc>
        <w:tc>
          <w:tcPr/>
          <w:p>
            <w:pPr>
              <w:pStyle w:val="Compact"/>
            </w:pPr>
            <w:r>
              <w:t xml:space="preserve">2731.5</w:t>
            </w:r>
          </w:p>
        </w:tc>
        <w:tc>
          <w:tcPr/>
          <w:p>
            <w:pPr>
              <w:pStyle w:val="Compact"/>
            </w:pPr>
            <w:r>
              <w:t xml:space="preserve">37.1%</w:t>
            </w:r>
          </w:p>
        </w:tc>
        <w:tc>
          <w:tcPr/>
          <w:p>
            <w:pPr>
              <w:pStyle w:val="Compact"/>
            </w:pPr>
            <w:r>
              <w:t xml:space="preserve">37.1%</w:t>
            </w:r>
          </w:p>
        </w:tc>
        <w:tc>
          <w:tcPr/>
          <w:p>
            <w:pPr>
              <w:pStyle w:val="Compact"/>
            </w:pPr>
            <w:r>
              <w:t xml:space="preserve">37.1%</w:t>
            </w:r>
          </w:p>
        </w:tc>
      </w:tr>
      <w:tr>
        <w:tc>
          <w:tcPr/>
          <w:p>
            <w:pPr>
              <w:pStyle w:val="Compact"/>
            </w:pPr>
            <w:r>
              <w:t xml:space="preserve">2016</w:t>
            </w:r>
          </w:p>
        </w:tc>
        <w:tc>
          <w:tcPr/>
          <w:p>
            <w:pPr>
              <w:pStyle w:val="Compact"/>
            </w:pPr>
            <w:r>
              <w:t xml:space="preserve">General OB/GYN</w:t>
            </w:r>
          </w:p>
        </w:tc>
        <w:tc>
          <w:tcPr/>
          <w:p>
            <w:pPr>
              <w:pStyle w:val="Compact"/>
            </w:pPr>
            <w:r>
              <w:t xml:space="preserve">97</w:t>
            </w:r>
          </w:p>
        </w:tc>
        <w:tc>
          <w:tcPr/>
          <w:p>
            <w:pPr>
              <w:pStyle w:val="Compact"/>
            </w:pPr>
            <w:r>
              <w:t xml:space="preserve">1858</w:t>
            </w:r>
          </w:p>
        </w:tc>
        <w:tc>
          <w:tcPr/>
          <w:p>
            <w:pPr>
              <w:pStyle w:val="Compact"/>
            </w:pPr>
            <w:r>
              <w:t xml:space="preserve">15 (13–22)</w:t>
            </w:r>
          </w:p>
        </w:tc>
        <w:tc>
          <w:tcPr/>
          <w:p>
            <w:pPr>
              <w:pStyle w:val="Compact"/>
            </w:pPr>
            <w:r>
              <w:t xml:space="preserve">0.247</w:t>
            </w:r>
          </w:p>
        </w:tc>
        <w:tc>
          <w:tcPr/>
          <w:p>
            <w:pPr>
              <w:pStyle w:val="Compact"/>
            </w:pPr>
            <w:r>
              <w:t xml:space="preserve">133.1</w:t>
            </w:r>
          </w:p>
        </w:tc>
        <w:tc>
          <w:tcPr/>
          <w:p>
            <w:pPr>
              <w:pStyle w:val="Compact"/>
            </w:pPr>
            <w:r>
              <w:t xml:space="preserve">23.1%</w:t>
            </w:r>
          </w:p>
        </w:tc>
        <w:tc>
          <w:tcPr/>
          <w:p>
            <w:pPr>
              <w:pStyle w:val="Compact"/>
            </w:pPr>
            <w:r>
              <w:t xml:space="preserve">37.7%</w:t>
            </w:r>
          </w:p>
        </w:tc>
        <w:tc>
          <w:tcPr/>
          <w:p>
            <w:pPr>
              <w:pStyle w:val="Compact"/>
            </w:pPr>
            <w:r>
              <w:t xml:space="preserve">32.7%</w:t>
            </w:r>
          </w:p>
        </w:tc>
      </w:tr>
      <w:tr>
        <w:tc>
          <w:tcPr/>
          <w:p>
            <w:pPr>
              <w:pStyle w:val="Compact"/>
            </w:pPr>
            <w:r>
              <w:t xml:space="preserve">2016</w:t>
            </w:r>
          </w:p>
        </w:tc>
        <w:tc>
          <w:tcPr/>
          <w:p>
            <w:pPr>
              <w:pStyle w:val="Compact"/>
            </w:pPr>
            <w:r>
              <w:t xml:space="preserve">Urology</w:t>
            </w:r>
          </w:p>
        </w:tc>
        <w:tc>
          <w:tcPr/>
          <w:p>
            <w:pPr>
              <w:pStyle w:val="Compact"/>
            </w:pPr>
            <w:r>
              <w:t xml:space="preserve">214</w:t>
            </w:r>
          </w:p>
        </w:tc>
        <w:tc>
          <w:tcPr/>
          <w:p>
            <w:pPr>
              <w:pStyle w:val="Compact"/>
            </w:pPr>
            <w:r>
              <w:t xml:space="preserve">3910</w:t>
            </w:r>
          </w:p>
        </w:tc>
        <w:tc>
          <w:tcPr/>
          <w:p>
            <w:pPr>
              <w:pStyle w:val="Compact"/>
            </w:pPr>
            <w:r>
              <w:t xml:space="preserve">16 (13–21)</w:t>
            </w:r>
          </w:p>
        </w:tc>
        <w:tc>
          <w:tcPr/>
          <w:p>
            <w:pPr>
              <w:pStyle w:val="Compact"/>
            </w:pPr>
            <w:r>
              <w:t xml:space="preserve">0.222</w:t>
            </w:r>
          </w:p>
        </w:tc>
        <w:tc>
          <w:tcPr/>
          <w:p>
            <w:pPr>
              <w:pStyle w:val="Compact"/>
            </w:pPr>
            <w:r>
              <w:t xml:space="preserve">58.5</w:t>
            </w:r>
          </w:p>
        </w:tc>
        <w:tc>
          <w:tcPr/>
          <w:p>
            <w:pPr>
              <w:pStyle w:val="Compact"/>
            </w:pPr>
            <w:r>
              <w:t xml:space="preserve">21.7%</w:t>
            </w:r>
          </w:p>
        </w:tc>
        <w:tc>
          <w:tcPr/>
          <w:p>
            <w:pPr>
              <w:pStyle w:val="Compact"/>
            </w:pPr>
            <w:r>
              <w:t xml:space="preserve">34.5%</w:t>
            </w:r>
          </w:p>
        </w:tc>
        <w:tc>
          <w:tcPr/>
          <w:p>
            <w:pPr>
              <w:pStyle w:val="Compact"/>
            </w:pPr>
            <w:r>
              <w:t xml:space="preserve">34.9%</w:t>
            </w:r>
          </w:p>
        </w:tc>
      </w:tr>
      <w:tr>
        <w:tc>
          <w:tcPr/>
          <w:p>
            <w:pPr>
              <w:pStyle w:val="Compact"/>
            </w:pPr>
            <w:r>
              <w:t xml:space="preserve">2017</w:t>
            </w:r>
          </w:p>
        </w:tc>
        <w:tc>
          <w:tcPr/>
          <w:p>
            <w:pPr>
              <w:pStyle w:val="Compact"/>
            </w:pPr>
            <w:r>
              <w:t xml:space="preserve">All</w:t>
            </w:r>
          </w:p>
        </w:tc>
        <w:tc>
          <w:tcPr/>
          <w:p>
            <w:pPr>
              <w:pStyle w:val="Compact"/>
            </w:pPr>
            <w:r>
              <w:t xml:space="preserve">735</w:t>
            </w:r>
          </w:p>
        </w:tc>
        <w:tc>
          <w:tcPr/>
          <w:p>
            <w:pPr>
              <w:pStyle w:val="Compact"/>
            </w:pPr>
            <w:r>
              <w:t xml:space="preserve">15995</w:t>
            </w:r>
          </w:p>
        </w:tc>
        <w:tc>
          <w:tcPr/>
          <w:p>
            <w:pPr>
              <w:pStyle w:val="Compact"/>
            </w:pPr>
            <w:r>
              <w:t xml:space="preserve">18 (13–25)</w:t>
            </w:r>
          </w:p>
        </w:tc>
        <w:tc>
          <w:tcPr/>
          <w:p>
            <w:pPr>
              <w:pStyle w:val="Compact"/>
            </w:pPr>
            <w:r>
              <w:t xml:space="preserve">0.278</w:t>
            </w:r>
          </w:p>
        </w:tc>
        <w:tc>
          <w:tcPr/>
          <w:p>
            <w:pPr>
              <w:pStyle w:val="Compact"/>
            </w:pPr>
            <w:r>
              <w:t xml:space="preserve">18.1</w:t>
            </w:r>
          </w:p>
        </w:tc>
        <w:tc>
          <w:tcPr/>
          <w:p>
            <w:pPr>
              <w:pStyle w:val="Compact"/>
            </w:pPr>
            <w:r>
              <w:t xml:space="preserve">23.8%</w:t>
            </w:r>
          </w:p>
        </w:tc>
        <w:tc>
          <w:tcPr/>
          <w:p>
            <w:pPr>
              <w:pStyle w:val="Compact"/>
            </w:pPr>
            <w:r>
              <w:t xml:space="preserve">38.7%</w:t>
            </w:r>
          </w:p>
        </w:tc>
        <w:tc>
          <w:tcPr/>
          <w:p>
            <w:pPr>
              <w:pStyle w:val="Compact"/>
            </w:pPr>
            <w:r>
              <w:t xml:space="preserve">31.0%</w:t>
            </w:r>
          </w:p>
        </w:tc>
      </w:tr>
      <w:tr>
        <w:tc>
          <w:tcPr/>
          <w:p>
            <w:pPr>
              <w:pStyle w:val="Compact"/>
            </w:pPr>
            <w:r>
              <w:t xml:space="preserve">2017</w:t>
            </w:r>
          </w:p>
        </w:tc>
        <w:tc>
          <w:tcPr/>
          <w:p>
            <w:pPr>
              <w:pStyle w:val="Compact"/>
            </w:pPr>
            <w:r>
              <w:t xml:space="preserve">URPS</w:t>
            </w:r>
          </w:p>
        </w:tc>
        <w:tc>
          <w:tcPr/>
          <w:p>
            <w:pPr>
              <w:pStyle w:val="Compact"/>
            </w:pPr>
            <w:r>
              <w:t xml:space="preserve">415</w:t>
            </w:r>
          </w:p>
        </w:tc>
        <w:tc>
          <w:tcPr/>
          <w:p>
            <w:pPr>
              <w:pStyle w:val="Compact"/>
            </w:pPr>
            <w:r>
              <w:t xml:space="preserve">9740</w:t>
            </w:r>
          </w:p>
        </w:tc>
        <w:tc>
          <w:tcPr/>
          <w:p>
            <w:pPr>
              <w:pStyle w:val="Compact"/>
            </w:pPr>
            <w:r>
              <w:t xml:space="preserve">19 (14–29)</w:t>
            </w:r>
          </w:p>
        </w:tc>
        <w:tc>
          <w:tcPr/>
          <w:p>
            <w:pPr>
              <w:pStyle w:val="Compact"/>
            </w:pPr>
            <w:r>
              <w:t xml:space="preserve">0.281</w:t>
            </w:r>
          </w:p>
        </w:tc>
        <w:tc>
          <w:tcPr/>
          <w:p>
            <w:pPr>
              <w:pStyle w:val="Compact"/>
            </w:pPr>
            <w:r>
              <w:t xml:space="preserve">31.4</w:t>
            </w:r>
          </w:p>
        </w:tc>
        <w:tc>
          <w:tcPr/>
          <w:p>
            <w:pPr>
              <w:pStyle w:val="Compact"/>
            </w:pPr>
            <w:r>
              <w:t xml:space="preserve">22.9%</w:t>
            </w:r>
          </w:p>
        </w:tc>
        <w:tc>
          <w:tcPr/>
          <w:p>
            <w:pPr>
              <w:pStyle w:val="Compact"/>
            </w:pPr>
            <w:r>
              <w:t xml:space="preserve">38.3%</w:t>
            </w:r>
          </w:p>
        </w:tc>
        <w:tc>
          <w:tcPr/>
          <w:p>
            <w:pPr>
              <w:pStyle w:val="Compact"/>
            </w:pPr>
            <w:r>
              <w:t xml:space="preserve">30.3%</w:t>
            </w:r>
          </w:p>
        </w:tc>
      </w:tr>
      <w:tr>
        <w:tc>
          <w:tcPr/>
          <w:p>
            <w:pPr>
              <w:pStyle w:val="Compact"/>
            </w:pPr>
            <w:r>
              <w:t xml:space="preserve">2017</w:t>
            </w:r>
          </w:p>
        </w:tc>
        <w:tc>
          <w:tcPr/>
          <w:p>
            <w:pPr>
              <w:pStyle w:val="Compact"/>
            </w:pPr>
            <w:r>
              <w:t xml:space="preserve">MIGS</w:t>
            </w:r>
          </w:p>
        </w:tc>
        <w:tc>
          <w:tcPr/>
          <w:p>
            <w:pPr>
              <w:pStyle w:val="Compact"/>
            </w:pPr>
            <w:r>
              <w:t xml:space="preserve">3</w:t>
            </w:r>
          </w:p>
        </w:tc>
        <w:tc>
          <w:tcPr/>
          <w:p>
            <w:pPr>
              <w:pStyle w:val="Compact"/>
            </w:pPr>
            <w:r>
              <w:t xml:space="preserve">79</w:t>
            </w:r>
          </w:p>
        </w:tc>
        <w:tc>
          <w:tcPr/>
          <w:p>
            <w:pPr>
              <w:pStyle w:val="Compact"/>
            </w:pPr>
            <w:r>
              <w:t xml:space="preserve">15 (14–34)</w:t>
            </w:r>
          </w:p>
        </w:tc>
        <w:tc>
          <w:tcPr/>
          <w:p>
            <w:pPr>
              <w:pStyle w:val="Compact"/>
            </w:pPr>
            <w:r>
              <w:t xml:space="preserve">0.338</w:t>
            </w:r>
          </w:p>
        </w:tc>
        <w:tc>
          <w:tcPr/>
          <w:p>
            <w:pPr>
              <w:pStyle w:val="Compact"/>
            </w:pPr>
            <w:r>
              <w:t xml:space="preserve">4923.9</w:t>
            </w:r>
          </w:p>
        </w:tc>
        <w:tc>
          <w:tcPr/>
          <w:p>
            <w:pPr>
              <w:pStyle w:val="Compact"/>
            </w:pPr>
            <w:r>
              <w:t xml:space="preserve">65.8%</w:t>
            </w:r>
          </w:p>
        </w:tc>
        <w:tc>
          <w:tcPr/>
          <w:p>
            <w:pPr>
              <w:pStyle w:val="Compact"/>
            </w:pPr>
            <w:r>
              <w:t xml:space="preserve">65.8%</w:t>
            </w:r>
          </w:p>
        </w:tc>
        <w:tc>
          <w:tcPr/>
          <w:p>
            <w:pPr>
              <w:pStyle w:val="Compact"/>
            </w:pPr>
            <w:r>
              <w:t xml:space="preserve">15.2%</w:t>
            </w:r>
          </w:p>
        </w:tc>
      </w:tr>
      <w:tr>
        <w:tc>
          <w:tcPr/>
          <w:p>
            <w:pPr>
              <w:pStyle w:val="Compact"/>
            </w:pPr>
            <w:r>
              <w:t xml:space="preserve">2017</w:t>
            </w:r>
          </w:p>
        </w:tc>
        <w:tc>
          <w:tcPr/>
          <w:p>
            <w:pPr>
              <w:pStyle w:val="Compact"/>
            </w:pPr>
            <w:r>
              <w:t xml:space="preserve">General OB/GYN</w:t>
            </w:r>
          </w:p>
        </w:tc>
        <w:tc>
          <w:tcPr/>
          <w:p>
            <w:pPr>
              <w:pStyle w:val="Compact"/>
            </w:pPr>
            <w:r>
              <w:t xml:space="preserve">95</w:t>
            </w:r>
          </w:p>
        </w:tc>
        <w:tc>
          <w:tcPr/>
          <w:p>
            <w:pPr>
              <w:pStyle w:val="Compact"/>
            </w:pPr>
            <w:r>
              <w:t xml:space="preserve">1925</w:t>
            </w:r>
          </w:p>
        </w:tc>
        <w:tc>
          <w:tcPr/>
          <w:p>
            <w:pPr>
              <w:pStyle w:val="Compact"/>
            </w:pPr>
            <w:r>
              <w:t xml:space="preserve">16 (13–24)</w:t>
            </w:r>
          </w:p>
        </w:tc>
        <w:tc>
          <w:tcPr/>
          <w:p>
            <w:pPr>
              <w:pStyle w:val="Compact"/>
            </w:pPr>
            <w:r>
              <w:t xml:space="preserve">0.269</w:t>
            </w:r>
          </w:p>
        </w:tc>
        <w:tc>
          <w:tcPr/>
          <w:p>
            <w:pPr>
              <w:pStyle w:val="Compact"/>
            </w:pPr>
            <w:r>
              <w:t xml:space="preserve">143.0</w:t>
            </w:r>
          </w:p>
        </w:tc>
        <w:tc>
          <w:tcPr/>
          <w:p>
            <w:pPr>
              <w:pStyle w:val="Compact"/>
            </w:pPr>
            <w:r>
              <w:t xml:space="preserve">25.4%</w:t>
            </w:r>
          </w:p>
        </w:tc>
        <w:tc>
          <w:tcPr/>
          <w:p>
            <w:pPr>
              <w:pStyle w:val="Compact"/>
            </w:pPr>
            <w:r>
              <w:t xml:space="preserve">38.4%</w:t>
            </w:r>
          </w:p>
        </w:tc>
        <w:tc>
          <w:tcPr/>
          <w:p>
            <w:pPr>
              <w:pStyle w:val="Compact"/>
            </w:pPr>
            <w:r>
              <w:t xml:space="preserve">31.5%</w:t>
            </w:r>
          </w:p>
        </w:tc>
      </w:tr>
      <w:tr>
        <w:tc>
          <w:tcPr/>
          <w:p>
            <w:pPr>
              <w:pStyle w:val="Compact"/>
            </w:pPr>
            <w:r>
              <w:t xml:space="preserve">2017</w:t>
            </w:r>
          </w:p>
        </w:tc>
        <w:tc>
          <w:tcPr/>
          <w:p>
            <w:pPr>
              <w:pStyle w:val="Compact"/>
            </w:pPr>
            <w:r>
              <w:t xml:space="preserve">Urology</w:t>
            </w:r>
          </w:p>
        </w:tc>
        <w:tc>
          <w:tcPr/>
          <w:p>
            <w:pPr>
              <w:pStyle w:val="Compact"/>
            </w:pPr>
            <w:r>
              <w:t xml:space="preserve">222</w:t>
            </w:r>
          </w:p>
        </w:tc>
        <w:tc>
          <w:tcPr/>
          <w:p>
            <w:pPr>
              <w:pStyle w:val="Compact"/>
            </w:pPr>
            <w:r>
              <w:t xml:space="preserve">4251</w:t>
            </w:r>
          </w:p>
        </w:tc>
        <w:tc>
          <w:tcPr/>
          <w:p>
            <w:pPr>
              <w:pStyle w:val="Compact"/>
            </w:pPr>
            <w:r>
              <w:t xml:space="preserve">16 (12–21)</w:t>
            </w:r>
          </w:p>
        </w:tc>
        <w:tc>
          <w:tcPr/>
          <w:p>
            <w:pPr>
              <w:pStyle w:val="Compact"/>
            </w:pPr>
            <w:r>
              <w:t xml:space="preserve">0.250</w:t>
            </w:r>
          </w:p>
        </w:tc>
        <w:tc>
          <w:tcPr/>
          <w:p>
            <w:pPr>
              <w:pStyle w:val="Compact"/>
            </w:pPr>
            <w:r>
              <w:t xml:space="preserve">60.1</w:t>
            </w:r>
          </w:p>
        </w:tc>
        <w:tc>
          <w:tcPr/>
          <w:p>
            <w:pPr>
              <w:pStyle w:val="Compact"/>
            </w:pPr>
            <w:r>
              <w:t xml:space="preserve">23.9%</w:t>
            </w:r>
          </w:p>
        </w:tc>
        <w:tc>
          <w:tcPr/>
          <w:p>
            <w:pPr>
              <w:pStyle w:val="Compact"/>
            </w:pPr>
            <w:r>
              <w:t xml:space="preserve">37.5%</w:t>
            </w:r>
          </w:p>
        </w:tc>
        <w:tc>
          <w:tcPr/>
          <w:p>
            <w:pPr>
              <w:pStyle w:val="Compact"/>
            </w:pPr>
            <w:r>
              <w:t xml:space="preserve">33.3%</w:t>
            </w:r>
          </w:p>
        </w:tc>
      </w:tr>
      <w:tr>
        <w:tc>
          <w:tcPr/>
          <w:p>
            <w:pPr>
              <w:pStyle w:val="Compact"/>
            </w:pPr>
            <w:r>
              <w:t xml:space="preserve">2018</w:t>
            </w:r>
          </w:p>
        </w:tc>
        <w:tc>
          <w:tcPr/>
          <w:p>
            <w:pPr>
              <w:pStyle w:val="Compact"/>
            </w:pPr>
            <w:r>
              <w:t xml:space="preserve">All</w:t>
            </w:r>
          </w:p>
        </w:tc>
        <w:tc>
          <w:tcPr/>
          <w:p>
            <w:pPr>
              <w:pStyle w:val="Compact"/>
            </w:pPr>
            <w:r>
              <w:t xml:space="preserve">672</w:t>
            </w:r>
          </w:p>
        </w:tc>
        <w:tc>
          <w:tcPr/>
          <w:p>
            <w:pPr>
              <w:pStyle w:val="Compact"/>
            </w:pPr>
            <w:r>
              <w:t xml:space="preserve">15002</w:t>
            </w:r>
          </w:p>
        </w:tc>
        <w:tc>
          <w:tcPr/>
          <w:p>
            <w:pPr>
              <w:pStyle w:val="Compact"/>
            </w:pPr>
            <w:r>
              <w:t xml:space="preserve">18 (14–27)</w:t>
            </w:r>
          </w:p>
        </w:tc>
        <w:tc>
          <w:tcPr/>
          <w:p>
            <w:pPr>
              <w:pStyle w:val="Compact"/>
            </w:pPr>
            <w:r>
              <w:t xml:space="preserve">0.274</w:t>
            </w:r>
          </w:p>
        </w:tc>
        <w:tc>
          <w:tcPr/>
          <w:p>
            <w:pPr>
              <w:pStyle w:val="Compact"/>
            </w:pPr>
            <w:r>
              <w:t xml:space="preserve">19.4</w:t>
            </w:r>
          </w:p>
        </w:tc>
        <w:tc>
          <w:tcPr/>
          <w:p>
            <w:pPr>
              <w:pStyle w:val="Compact"/>
            </w:pPr>
            <w:r>
              <w:t xml:space="preserve">23.1%</w:t>
            </w:r>
          </w:p>
        </w:tc>
        <w:tc>
          <w:tcPr/>
          <w:p>
            <w:pPr>
              <w:pStyle w:val="Compact"/>
            </w:pPr>
            <w:r>
              <w:t xml:space="preserve">38.1%</w:t>
            </w:r>
          </w:p>
        </w:tc>
        <w:tc>
          <w:tcPr/>
          <w:p>
            <w:pPr>
              <w:pStyle w:val="Compact"/>
            </w:pPr>
            <w:r>
              <w:t xml:space="preserve">31.2%</w:t>
            </w:r>
          </w:p>
        </w:tc>
      </w:tr>
      <w:tr>
        <w:tc>
          <w:tcPr/>
          <w:p>
            <w:pPr>
              <w:pStyle w:val="Compact"/>
            </w:pPr>
            <w:r>
              <w:t xml:space="preserve">2018</w:t>
            </w:r>
          </w:p>
        </w:tc>
        <w:tc>
          <w:tcPr/>
          <w:p>
            <w:pPr>
              <w:pStyle w:val="Compact"/>
            </w:pPr>
            <w:r>
              <w:t xml:space="preserve">URPS</w:t>
            </w:r>
          </w:p>
        </w:tc>
        <w:tc>
          <w:tcPr/>
          <w:p>
            <w:pPr>
              <w:pStyle w:val="Compact"/>
            </w:pPr>
            <w:r>
              <w:t xml:space="preserve">387</w:t>
            </w:r>
          </w:p>
        </w:tc>
        <w:tc>
          <w:tcPr/>
          <w:p>
            <w:pPr>
              <w:pStyle w:val="Compact"/>
            </w:pPr>
            <w:r>
              <w:t xml:space="preserve">9239</w:t>
            </w:r>
          </w:p>
        </w:tc>
        <w:tc>
          <w:tcPr/>
          <w:p>
            <w:pPr>
              <w:pStyle w:val="Compact"/>
            </w:pPr>
            <w:r>
              <w:t xml:space="preserve">20 (15–30)</w:t>
            </w:r>
          </w:p>
        </w:tc>
        <w:tc>
          <w:tcPr/>
          <w:p>
            <w:pPr>
              <w:pStyle w:val="Compact"/>
            </w:pPr>
            <w:r>
              <w:t xml:space="preserve">0.277</w:t>
            </w:r>
          </w:p>
        </w:tc>
        <w:tc>
          <w:tcPr/>
          <w:p>
            <w:pPr>
              <w:pStyle w:val="Compact"/>
            </w:pPr>
            <w:r>
              <w:t xml:space="preserve">33.4</w:t>
            </w:r>
          </w:p>
        </w:tc>
        <w:tc>
          <w:tcPr/>
          <w:p>
            <w:pPr>
              <w:pStyle w:val="Compact"/>
            </w:pPr>
            <w:r>
              <w:t xml:space="preserve">22.4%</w:t>
            </w:r>
          </w:p>
        </w:tc>
        <w:tc>
          <w:tcPr/>
          <w:p>
            <w:pPr>
              <w:pStyle w:val="Compact"/>
            </w:pPr>
            <w:r>
              <w:t xml:space="preserve">37.6%</w:t>
            </w:r>
          </w:p>
        </w:tc>
        <w:tc>
          <w:tcPr/>
          <w:p>
            <w:pPr>
              <w:pStyle w:val="Compact"/>
            </w:pPr>
            <w:r>
              <w:t xml:space="preserve">30.5%</w:t>
            </w:r>
          </w:p>
        </w:tc>
      </w:tr>
      <w:tr>
        <w:tc>
          <w:tcPr/>
          <w:p>
            <w:pPr>
              <w:pStyle w:val="Compact"/>
            </w:pPr>
            <w:r>
              <w:t xml:space="preserve">2018</w:t>
            </w:r>
          </w:p>
        </w:tc>
        <w:tc>
          <w:tcPr/>
          <w:p>
            <w:pPr>
              <w:pStyle w:val="Compact"/>
            </w:pPr>
            <w:r>
              <w:t xml:space="preserve">MIGS</w:t>
            </w:r>
          </w:p>
        </w:tc>
        <w:tc>
          <w:tcPr/>
          <w:p>
            <w:pPr>
              <w:pStyle w:val="Compact"/>
            </w:pPr>
            <w:r>
              <w:t xml:space="preserve">4</w:t>
            </w:r>
          </w:p>
        </w:tc>
        <w:tc>
          <w:tcPr/>
          <w:p>
            <w:pPr>
              <w:pStyle w:val="Compact"/>
            </w:pPr>
            <w:r>
              <w:t xml:space="preserve">126</w:t>
            </w:r>
          </w:p>
        </w:tc>
        <w:tc>
          <w:tcPr/>
          <w:p>
            <w:pPr>
              <w:pStyle w:val="Compact"/>
            </w:pPr>
            <w:r>
              <w:t xml:space="preserve">21 (20–33)</w:t>
            </w:r>
          </w:p>
        </w:tc>
        <w:tc>
          <w:tcPr/>
          <w:p>
            <w:pPr>
              <w:pStyle w:val="Compact"/>
            </w:pPr>
            <w:r>
              <w:t xml:space="preserve">0.278</w:t>
            </w:r>
          </w:p>
        </w:tc>
        <w:tc>
          <w:tcPr/>
          <w:p>
            <w:pPr>
              <w:pStyle w:val="Compact"/>
            </w:pPr>
            <w:r>
              <w:t xml:space="preserve">3445.5</w:t>
            </w:r>
          </w:p>
        </w:tc>
        <w:tc>
          <w:tcPr/>
          <w:p>
            <w:pPr>
              <w:pStyle w:val="Compact"/>
            </w:pPr>
            <w:r>
              <w:t xml:space="preserve">51.6%</w:t>
            </w:r>
          </w:p>
        </w:tc>
        <w:tc>
          <w:tcPr/>
          <w:p>
            <w:pPr>
              <w:pStyle w:val="Compact"/>
            </w:pPr>
            <w:r>
              <w:t xml:space="preserve">51.6%</w:t>
            </w:r>
          </w:p>
        </w:tc>
        <w:tc>
          <w:tcPr/>
          <w:p>
            <w:pPr>
              <w:pStyle w:val="Compact"/>
            </w:pPr>
            <w:r>
              <w:t xml:space="preserve">31.0%</w:t>
            </w:r>
          </w:p>
        </w:tc>
      </w:tr>
      <w:tr>
        <w:tc>
          <w:tcPr/>
          <w:p>
            <w:pPr>
              <w:pStyle w:val="Compact"/>
            </w:pPr>
            <w:r>
              <w:t xml:space="preserve">2018</w:t>
            </w:r>
          </w:p>
        </w:tc>
        <w:tc>
          <w:tcPr/>
          <w:p>
            <w:pPr>
              <w:pStyle w:val="Compact"/>
            </w:pPr>
            <w:r>
              <w:t xml:space="preserve">General OB/GYN</w:t>
            </w:r>
          </w:p>
        </w:tc>
        <w:tc>
          <w:tcPr/>
          <w:p>
            <w:pPr>
              <w:pStyle w:val="Compact"/>
            </w:pPr>
            <w:r>
              <w:t xml:space="preserve">82</w:t>
            </w:r>
          </w:p>
        </w:tc>
        <w:tc>
          <w:tcPr/>
          <w:p>
            <w:pPr>
              <w:pStyle w:val="Compact"/>
            </w:pPr>
            <w:r>
              <w:t xml:space="preserve">1611</w:t>
            </w:r>
          </w:p>
        </w:tc>
        <w:tc>
          <w:tcPr/>
          <w:p>
            <w:pPr>
              <w:pStyle w:val="Compact"/>
            </w:pPr>
            <w:r>
              <w:t xml:space="preserve">18 (13–23)</w:t>
            </w:r>
          </w:p>
        </w:tc>
        <w:tc>
          <w:tcPr/>
          <w:p>
            <w:pPr>
              <w:pStyle w:val="Compact"/>
            </w:pPr>
            <w:r>
              <w:t xml:space="preserve">0.241</w:t>
            </w:r>
          </w:p>
        </w:tc>
        <w:tc>
          <w:tcPr/>
          <w:p>
            <w:pPr>
              <w:pStyle w:val="Compact"/>
            </w:pPr>
            <w:r>
              <w:t xml:space="preserve">155.3</w:t>
            </w:r>
          </w:p>
        </w:tc>
        <w:tc>
          <w:tcPr/>
          <w:p>
            <w:pPr>
              <w:pStyle w:val="Compact"/>
            </w:pPr>
            <w:r>
              <w:t xml:space="preserve">23.5%</w:t>
            </w:r>
          </w:p>
        </w:tc>
        <w:tc>
          <w:tcPr/>
          <w:p>
            <w:pPr>
              <w:pStyle w:val="Compact"/>
            </w:pPr>
            <w:r>
              <w:t xml:space="preserve">36.2%</w:t>
            </w:r>
          </w:p>
        </w:tc>
        <w:tc>
          <w:tcPr/>
          <w:p>
            <w:pPr>
              <w:pStyle w:val="Compact"/>
            </w:pPr>
            <w:r>
              <w:t xml:space="preserve">33.5%</w:t>
            </w:r>
          </w:p>
        </w:tc>
      </w:tr>
      <w:tr>
        <w:tc>
          <w:tcPr/>
          <w:p>
            <w:pPr>
              <w:pStyle w:val="Compact"/>
            </w:pPr>
            <w:r>
              <w:t xml:space="preserve">2018</w:t>
            </w:r>
          </w:p>
        </w:tc>
        <w:tc>
          <w:tcPr/>
          <w:p>
            <w:pPr>
              <w:pStyle w:val="Compact"/>
            </w:pPr>
            <w:r>
              <w:t xml:space="preserve">Urology</w:t>
            </w:r>
          </w:p>
        </w:tc>
        <w:tc>
          <w:tcPr/>
          <w:p>
            <w:pPr>
              <w:pStyle w:val="Compact"/>
            </w:pPr>
            <w:r>
              <w:t xml:space="preserve">199</w:t>
            </w:r>
          </w:p>
        </w:tc>
        <w:tc>
          <w:tcPr/>
          <w:p>
            <w:pPr>
              <w:pStyle w:val="Compact"/>
            </w:pPr>
            <w:r>
              <w:t xml:space="preserve">4026</w:t>
            </w:r>
          </w:p>
        </w:tc>
        <w:tc>
          <w:tcPr/>
          <w:p>
            <w:pPr>
              <w:pStyle w:val="Compact"/>
            </w:pPr>
            <w:r>
              <w:t xml:space="preserve">16 (13–23)</w:t>
            </w:r>
          </w:p>
        </w:tc>
        <w:tc>
          <w:tcPr/>
          <w:p>
            <w:pPr>
              <w:pStyle w:val="Compact"/>
            </w:pPr>
            <w:r>
              <w:t xml:space="preserve">0.260</w:t>
            </w:r>
          </w:p>
        </w:tc>
        <w:tc>
          <w:tcPr/>
          <w:p>
            <w:pPr>
              <w:pStyle w:val="Compact"/>
            </w:pPr>
            <w:r>
              <w:t xml:space="preserve">65.5</w:t>
            </w:r>
          </w:p>
        </w:tc>
        <w:tc>
          <w:tcPr/>
          <w:p>
            <w:pPr>
              <w:pStyle w:val="Compact"/>
            </w:pPr>
            <w:r>
              <w:t xml:space="preserve">23.4%</w:t>
            </w:r>
          </w:p>
        </w:tc>
        <w:tc>
          <w:tcPr/>
          <w:p>
            <w:pPr>
              <w:pStyle w:val="Compact"/>
            </w:pPr>
            <w:r>
              <w:t xml:space="preserve">37.7%</w:t>
            </w:r>
          </w:p>
        </w:tc>
        <w:tc>
          <w:tcPr/>
          <w:p>
            <w:pPr>
              <w:pStyle w:val="Compact"/>
            </w:pPr>
            <w:r>
              <w:t xml:space="preserve">32.2%</w:t>
            </w:r>
          </w:p>
        </w:tc>
      </w:tr>
      <w:tr>
        <w:tc>
          <w:tcPr/>
          <w:p>
            <w:pPr>
              <w:pStyle w:val="Compact"/>
            </w:pPr>
            <w:r>
              <w:t xml:space="preserve">2019</w:t>
            </w:r>
          </w:p>
        </w:tc>
        <w:tc>
          <w:tcPr/>
          <w:p>
            <w:pPr>
              <w:pStyle w:val="Compact"/>
            </w:pPr>
            <w:r>
              <w:t xml:space="preserve">All</w:t>
            </w:r>
          </w:p>
        </w:tc>
        <w:tc>
          <w:tcPr/>
          <w:p>
            <w:pPr>
              <w:pStyle w:val="Compact"/>
            </w:pPr>
            <w:r>
              <w:t xml:space="preserve">650</w:t>
            </w:r>
          </w:p>
        </w:tc>
        <w:tc>
          <w:tcPr/>
          <w:p>
            <w:pPr>
              <w:pStyle w:val="Compact"/>
            </w:pPr>
            <w:r>
              <w:t xml:space="preserve">14618</w:t>
            </w:r>
          </w:p>
        </w:tc>
        <w:tc>
          <w:tcPr/>
          <w:p>
            <w:pPr>
              <w:pStyle w:val="Compact"/>
            </w:pPr>
            <w:r>
              <w:t xml:space="preserve">18 (14–27)</w:t>
            </w:r>
          </w:p>
        </w:tc>
        <w:tc>
          <w:tcPr/>
          <w:p>
            <w:pPr>
              <w:pStyle w:val="Compact"/>
            </w:pPr>
            <w:r>
              <w:t xml:space="preserve">0.274</w:t>
            </w:r>
          </w:p>
        </w:tc>
        <w:tc>
          <w:tcPr/>
          <w:p>
            <w:pPr>
              <w:pStyle w:val="Compact"/>
            </w:pPr>
            <w:r>
              <w:t xml:space="preserve">20.1</w:t>
            </w:r>
          </w:p>
        </w:tc>
        <w:tc>
          <w:tcPr/>
          <w:p>
            <w:pPr>
              <w:pStyle w:val="Compact"/>
            </w:pPr>
            <w:r>
              <w:t xml:space="preserve">23.4%</w:t>
            </w:r>
          </w:p>
        </w:tc>
        <w:tc>
          <w:tcPr/>
          <w:p>
            <w:pPr>
              <w:pStyle w:val="Compact"/>
            </w:pPr>
            <w:r>
              <w:t xml:space="preserve">38.0%</w:t>
            </w:r>
          </w:p>
        </w:tc>
        <w:tc>
          <w:tcPr/>
          <w:p>
            <w:pPr>
              <w:pStyle w:val="Compact"/>
            </w:pPr>
            <w:r>
              <w:t xml:space="preserve">31.2%</w:t>
            </w:r>
          </w:p>
        </w:tc>
      </w:tr>
      <w:tr>
        <w:tc>
          <w:tcPr/>
          <w:p>
            <w:pPr>
              <w:pStyle w:val="Compact"/>
            </w:pPr>
            <w:r>
              <w:t xml:space="preserve">2019</w:t>
            </w:r>
          </w:p>
        </w:tc>
        <w:tc>
          <w:tcPr/>
          <w:p>
            <w:pPr>
              <w:pStyle w:val="Compact"/>
            </w:pPr>
            <w:r>
              <w:t xml:space="preserve">URPS</w:t>
            </w:r>
          </w:p>
        </w:tc>
        <w:tc>
          <w:tcPr/>
          <w:p>
            <w:pPr>
              <w:pStyle w:val="Compact"/>
            </w:pPr>
            <w:r>
              <w:t xml:space="preserve">386</w:t>
            </w:r>
          </w:p>
        </w:tc>
        <w:tc>
          <w:tcPr/>
          <w:p>
            <w:pPr>
              <w:pStyle w:val="Compact"/>
            </w:pPr>
            <w:r>
              <w:t xml:space="preserve">9174</w:t>
            </w:r>
          </w:p>
        </w:tc>
        <w:tc>
          <w:tcPr/>
          <w:p>
            <w:pPr>
              <w:pStyle w:val="Compact"/>
            </w:pPr>
            <w:r>
              <w:t xml:space="preserve">20 (15–28)</w:t>
            </w:r>
          </w:p>
        </w:tc>
        <w:tc>
          <w:tcPr/>
          <w:p>
            <w:pPr>
              <w:pStyle w:val="Compact"/>
            </w:pPr>
            <w:r>
              <w:t xml:space="preserve">0.275</w:t>
            </w:r>
          </w:p>
        </w:tc>
        <w:tc>
          <w:tcPr/>
          <w:p>
            <w:pPr>
              <w:pStyle w:val="Compact"/>
            </w:pPr>
            <w:r>
              <w:t xml:space="preserve">33.5</w:t>
            </w:r>
          </w:p>
        </w:tc>
        <w:tc>
          <w:tcPr/>
          <w:p>
            <w:pPr>
              <w:pStyle w:val="Compact"/>
            </w:pPr>
            <w:r>
              <w:t xml:space="preserve">23.1%</w:t>
            </w:r>
          </w:p>
        </w:tc>
        <w:tc>
          <w:tcPr/>
          <w:p>
            <w:pPr>
              <w:pStyle w:val="Compact"/>
            </w:pPr>
            <w:r>
              <w:t xml:space="preserve">38.2%</w:t>
            </w:r>
          </w:p>
        </w:tc>
        <w:tc>
          <w:tcPr/>
          <w:p>
            <w:pPr>
              <w:pStyle w:val="Compact"/>
            </w:pPr>
            <w:r>
              <w:t xml:space="preserve">31.2%</w:t>
            </w:r>
          </w:p>
        </w:tc>
      </w:tr>
      <w:tr>
        <w:tc>
          <w:tcPr/>
          <w:p>
            <w:pPr>
              <w:pStyle w:val="Compact"/>
            </w:pPr>
            <w:r>
              <w:t xml:space="preserve">2019</w:t>
            </w:r>
          </w:p>
        </w:tc>
        <w:tc>
          <w:tcPr/>
          <w:p>
            <w:pPr>
              <w:pStyle w:val="Compact"/>
            </w:pPr>
            <w:r>
              <w:t xml:space="preserve">MIGS</w:t>
            </w:r>
          </w:p>
        </w:tc>
        <w:tc>
          <w:tcPr/>
          <w:p>
            <w:pPr>
              <w:pStyle w:val="Compact"/>
            </w:pPr>
            <w:r>
              <w:t xml:space="preserve">5</w:t>
            </w:r>
          </w:p>
        </w:tc>
        <w:tc>
          <w:tcPr/>
          <w:p>
            <w:pPr>
              <w:pStyle w:val="Compact"/>
            </w:pPr>
            <w:r>
              <w:t xml:space="preserve">168</w:t>
            </w:r>
          </w:p>
        </w:tc>
        <w:tc>
          <w:tcPr/>
          <w:p>
            <w:pPr>
              <w:pStyle w:val="Compact"/>
            </w:pPr>
            <w:r>
              <w:t xml:space="preserve">25 (16–34)</w:t>
            </w:r>
          </w:p>
        </w:tc>
        <w:tc>
          <w:tcPr/>
          <w:p>
            <w:pPr>
              <w:pStyle w:val="Compact"/>
            </w:pPr>
            <w:r>
              <w:t xml:space="preserve">0.333</w:t>
            </w:r>
          </w:p>
        </w:tc>
        <w:tc>
          <w:tcPr/>
          <w:p>
            <w:pPr>
              <w:pStyle w:val="Compact"/>
            </w:pPr>
            <w:r>
              <w:t xml:space="preserve">2913.1</w:t>
            </w:r>
          </w:p>
        </w:tc>
        <w:tc>
          <w:tcPr/>
          <w:p>
            <w:pPr>
              <w:pStyle w:val="Compact"/>
            </w:pPr>
            <w:r>
              <w:t xml:space="preserve">45.8%</w:t>
            </w:r>
          </w:p>
        </w:tc>
        <w:tc>
          <w:tcPr/>
          <w:p>
            <w:pPr>
              <w:pStyle w:val="Compact"/>
            </w:pPr>
            <w:r>
              <w:t xml:space="preserve">45.8%</w:t>
            </w:r>
          </w:p>
        </w:tc>
        <w:tc>
          <w:tcPr/>
          <w:p>
            <w:pPr>
              <w:pStyle w:val="Compact"/>
            </w:pPr>
            <w:r>
              <w:t xml:space="preserve">19.0%</w:t>
            </w:r>
          </w:p>
        </w:tc>
      </w:tr>
      <w:tr>
        <w:tc>
          <w:tcPr/>
          <w:p>
            <w:pPr>
              <w:pStyle w:val="Compact"/>
            </w:pPr>
            <w:r>
              <w:t xml:space="preserve">2019</w:t>
            </w:r>
          </w:p>
        </w:tc>
        <w:tc>
          <w:tcPr/>
          <w:p>
            <w:pPr>
              <w:pStyle w:val="Compact"/>
            </w:pPr>
            <w:r>
              <w:t xml:space="preserve">General OB/GYN</w:t>
            </w:r>
          </w:p>
        </w:tc>
        <w:tc>
          <w:tcPr/>
          <w:p>
            <w:pPr>
              <w:pStyle w:val="Compact"/>
            </w:pPr>
            <w:r>
              <w:t xml:space="preserve">85</w:t>
            </w:r>
          </w:p>
        </w:tc>
        <w:tc>
          <w:tcPr/>
          <w:p>
            <w:pPr>
              <w:pStyle w:val="Compact"/>
            </w:pPr>
            <w:r>
              <w:t xml:space="preserve">1757</w:t>
            </w:r>
          </w:p>
        </w:tc>
        <w:tc>
          <w:tcPr/>
          <w:p>
            <w:pPr>
              <w:pStyle w:val="Compact"/>
            </w:pPr>
            <w:r>
              <w:t xml:space="preserve">17 (13–25)</w:t>
            </w:r>
          </w:p>
        </w:tc>
        <w:tc>
          <w:tcPr/>
          <w:p>
            <w:pPr>
              <w:pStyle w:val="Compact"/>
            </w:pPr>
            <w:r>
              <w:t xml:space="preserve">0.275</w:t>
            </w:r>
          </w:p>
        </w:tc>
        <w:tc>
          <w:tcPr/>
          <w:p>
            <w:pPr>
              <w:pStyle w:val="Compact"/>
            </w:pPr>
            <w:r>
              <w:t xml:space="preserve">156.8</w:t>
            </w:r>
          </w:p>
        </w:tc>
        <w:tc>
          <w:tcPr/>
          <w:p>
            <w:pPr>
              <w:pStyle w:val="Compact"/>
            </w:pPr>
            <w:r>
              <w:t xml:space="preserve">24.6%</w:t>
            </w:r>
          </w:p>
        </w:tc>
        <w:tc>
          <w:tcPr/>
          <w:p>
            <w:pPr>
              <w:pStyle w:val="Compact"/>
            </w:pPr>
            <w:r>
              <w:t xml:space="preserve">38.6%</w:t>
            </w:r>
          </w:p>
        </w:tc>
        <w:tc>
          <w:tcPr/>
          <w:p>
            <w:pPr>
              <w:pStyle w:val="Compact"/>
            </w:pPr>
            <w:r>
              <w:t xml:space="preserve">30.6%</w:t>
            </w:r>
          </w:p>
        </w:tc>
      </w:tr>
      <w:tr>
        <w:tc>
          <w:tcPr/>
          <w:p>
            <w:pPr>
              <w:pStyle w:val="Compact"/>
            </w:pPr>
            <w:r>
              <w:t xml:space="preserve">2019</w:t>
            </w:r>
          </w:p>
        </w:tc>
        <w:tc>
          <w:tcPr/>
          <w:p>
            <w:pPr>
              <w:pStyle w:val="Compact"/>
            </w:pPr>
            <w:r>
              <w:t xml:space="preserve">Urology</w:t>
            </w:r>
          </w:p>
        </w:tc>
        <w:tc>
          <w:tcPr/>
          <w:p>
            <w:pPr>
              <w:pStyle w:val="Compact"/>
            </w:pPr>
            <w:r>
              <w:t xml:space="preserve">174</w:t>
            </w:r>
          </w:p>
        </w:tc>
        <w:tc>
          <w:tcPr/>
          <w:p>
            <w:pPr>
              <w:pStyle w:val="Compact"/>
            </w:pPr>
            <w:r>
              <w:t xml:space="preserve">3519</w:t>
            </w:r>
          </w:p>
        </w:tc>
        <w:tc>
          <w:tcPr/>
          <w:p>
            <w:pPr>
              <w:pStyle w:val="Compact"/>
            </w:pPr>
            <w:r>
              <w:t xml:space="preserve">16 (13–24)</w:t>
            </w:r>
          </w:p>
        </w:tc>
        <w:tc>
          <w:tcPr/>
          <w:p>
            <w:pPr>
              <w:pStyle w:val="Compact"/>
            </w:pPr>
            <w:r>
              <w:t xml:space="preserve">0.251</w:t>
            </w:r>
          </w:p>
        </w:tc>
        <w:tc>
          <w:tcPr/>
          <w:p>
            <w:pPr>
              <w:pStyle w:val="Compact"/>
            </w:pPr>
            <w:r>
              <w:t xml:space="preserve">73.4</w:t>
            </w:r>
          </w:p>
        </w:tc>
        <w:tc>
          <w:tcPr/>
          <w:p>
            <w:pPr>
              <w:pStyle w:val="Compact"/>
            </w:pPr>
            <w:r>
              <w:t xml:space="preserve">23.0%</w:t>
            </w:r>
          </w:p>
        </w:tc>
        <w:tc>
          <w:tcPr/>
          <w:p>
            <w:pPr>
              <w:pStyle w:val="Compact"/>
            </w:pPr>
            <w:r>
              <w:t xml:space="preserve">36.6%</w:t>
            </w:r>
          </w:p>
        </w:tc>
        <w:tc>
          <w:tcPr/>
          <w:p>
            <w:pPr>
              <w:pStyle w:val="Compact"/>
            </w:pPr>
            <w:r>
              <w:t xml:space="preserve">32.7%</w:t>
            </w:r>
          </w:p>
        </w:tc>
      </w:tr>
      <w:tr>
        <w:tc>
          <w:tcPr/>
          <w:p>
            <w:pPr>
              <w:pStyle w:val="Compact"/>
            </w:pPr>
            <w:r>
              <w:t xml:space="preserve">2020</w:t>
            </w:r>
          </w:p>
        </w:tc>
        <w:tc>
          <w:tcPr/>
          <w:p>
            <w:pPr>
              <w:pStyle w:val="Compact"/>
            </w:pPr>
            <w:r>
              <w:t xml:space="preserve">All</w:t>
            </w:r>
          </w:p>
        </w:tc>
        <w:tc>
          <w:tcPr/>
          <w:p>
            <w:pPr>
              <w:pStyle w:val="Compact"/>
            </w:pPr>
            <w:r>
              <w:t xml:space="preserve">445</w:t>
            </w:r>
          </w:p>
        </w:tc>
        <w:tc>
          <w:tcPr/>
          <w:p>
            <w:pPr>
              <w:pStyle w:val="Compact"/>
            </w:pPr>
            <w:r>
              <w:t xml:space="preserve">9228</w:t>
            </w:r>
          </w:p>
        </w:tc>
        <w:tc>
          <w:tcPr/>
          <w:p>
            <w:pPr>
              <w:pStyle w:val="Compact"/>
            </w:pPr>
            <w:r>
              <w:t xml:space="preserve">17 (13–24)</w:t>
            </w:r>
          </w:p>
        </w:tc>
        <w:tc>
          <w:tcPr/>
          <w:p>
            <w:pPr>
              <w:pStyle w:val="Compact"/>
            </w:pPr>
            <w:r>
              <w:t xml:space="preserve">0.256</w:t>
            </w:r>
          </w:p>
        </w:tc>
        <w:tc>
          <w:tcPr/>
          <w:p>
            <w:pPr>
              <w:pStyle w:val="Compact"/>
            </w:pPr>
            <w:r>
              <w:t xml:space="preserve">28.7</w:t>
            </w:r>
          </w:p>
        </w:tc>
        <w:tc>
          <w:tcPr/>
          <w:p>
            <w:pPr>
              <w:pStyle w:val="Compact"/>
            </w:pPr>
            <w:r>
              <w:t xml:space="preserve">22.9%</w:t>
            </w:r>
          </w:p>
        </w:tc>
        <w:tc>
          <w:tcPr/>
          <w:p>
            <w:pPr>
              <w:pStyle w:val="Compact"/>
            </w:pPr>
            <w:r>
              <w:t xml:space="preserve">37.0%</w:t>
            </w:r>
          </w:p>
        </w:tc>
        <w:tc>
          <w:tcPr/>
          <w:p>
            <w:pPr>
              <w:pStyle w:val="Compact"/>
            </w:pPr>
            <w:r>
              <w:t xml:space="preserve">32.5%</w:t>
            </w:r>
          </w:p>
        </w:tc>
      </w:tr>
      <w:tr>
        <w:tc>
          <w:tcPr/>
          <w:p>
            <w:pPr>
              <w:pStyle w:val="Compact"/>
            </w:pPr>
            <w:r>
              <w:t xml:space="preserve">2020</w:t>
            </w:r>
          </w:p>
        </w:tc>
        <w:tc>
          <w:tcPr/>
          <w:p>
            <w:pPr>
              <w:pStyle w:val="Compact"/>
            </w:pPr>
            <w:r>
              <w:t xml:space="preserve">URPS</w:t>
            </w:r>
          </w:p>
        </w:tc>
        <w:tc>
          <w:tcPr/>
          <w:p>
            <w:pPr>
              <w:pStyle w:val="Compact"/>
            </w:pPr>
            <w:r>
              <w:t xml:space="preserve">280</w:t>
            </w:r>
          </w:p>
        </w:tc>
        <w:tc>
          <w:tcPr/>
          <w:p>
            <w:pPr>
              <w:pStyle w:val="Compact"/>
            </w:pPr>
            <w:r>
              <w:t xml:space="preserve">6051</w:t>
            </w:r>
          </w:p>
        </w:tc>
        <w:tc>
          <w:tcPr/>
          <w:p>
            <w:pPr>
              <w:pStyle w:val="Compact"/>
            </w:pPr>
            <w:r>
              <w:t xml:space="preserve">18 (14–25)</w:t>
            </w:r>
          </w:p>
        </w:tc>
        <w:tc>
          <w:tcPr/>
          <w:p>
            <w:pPr>
              <w:pStyle w:val="Compact"/>
            </w:pPr>
            <w:r>
              <w:t xml:space="preserve">0.262</w:t>
            </w:r>
          </w:p>
        </w:tc>
        <w:tc>
          <w:tcPr/>
          <w:p>
            <w:pPr>
              <w:pStyle w:val="Compact"/>
            </w:pPr>
            <w:r>
              <w:t xml:space="preserve">45.7</w:t>
            </w:r>
          </w:p>
        </w:tc>
        <w:tc>
          <w:tcPr/>
          <w:p>
            <w:pPr>
              <w:pStyle w:val="Compact"/>
            </w:pPr>
            <w:r>
              <w:t xml:space="preserve">22.7%</w:t>
            </w:r>
          </w:p>
        </w:tc>
        <w:tc>
          <w:tcPr/>
          <w:p>
            <w:pPr>
              <w:pStyle w:val="Compact"/>
            </w:pPr>
            <w:r>
              <w:t xml:space="preserve">37.4%</w:t>
            </w:r>
          </w:p>
        </w:tc>
        <w:tc>
          <w:tcPr/>
          <w:p>
            <w:pPr>
              <w:pStyle w:val="Compact"/>
            </w:pPr>
            <w:r>
              <w:t xml:space="preserve">32.1%</w:t>
            </w:r>
          </w:p>
        </w:tc>
      </w:tr>
      <w:tr>
        <w:tc>
          <w:tcPr/>
          <w:p>
            <w:pPr>
              <w:pStyle w:val="Compact"/>
            </w:pPr>
            <w:r>
              <w:t xml:space="preserve">2020</w:t>
            </w:r>
          </w:p>
        </w:tc>
        <w:tc>
          <w:tcPr/>
          <w:p>
            <w:pPr>
              <w:pStyle w:val="Compact"/>
            </w:pPr>
            <w:r>
              <w:t xml:space="preserve">MIGS</w:t>
            </w:r>
          </w:p>
        </w:tc>
        <w:tc>
          <w:tcPr/>
          <w:p>
            <w:pPr>
              <w:pStyle w:val="Compact"/>
            </w:pPr>
            <w:r>
              <w:t xml:space="preserve">2</w:t>
            </w:r>
          </w:p>
        </w:tc>
        <w:tc>
          <w:tcPr/>
          <w:p>
            <w:pPr>
              <w:pStyle w:val="Compact"/>
            </w:pPr>
            <w:r>
              <w:t xml:space="preserve">81</w:t>
            </w:r>
          </w:p>
        </w:tc>
        <w:tc>
          <w:tcPr/>
          <w:p>
            <w:pPr>
              <w:pStyle w:val="Compact"/>
            </w:pPr>
            <w:r>
              <w:t xml:space="preserve">40 (34–47)</w:t>
            </w:r>
          </w:p>
        </w:tc>
        <w:tc>
          <w:tcPr/>
          <w:p>
            <w:pPr>
              <w:pStyle w:val="Compact"/>
            </w:pPr>
            <w:r>
              <w:t xml:space="preserve">0.154</w:t>
            </w:r>
          </w:p>
        </w:tc>
        <w:tc>
          <w:tcPr/>
          <w:p>
            <w:pPr>
              <w:pStyle w:val="Compact"/>
            </w:pPr>
            <w:r>
              <w:t xml:space="preserve">5476.3</w:t>
            </w:r>
          </w:p>
        </w:tc>
        <w:tc>
          <w:tcPr/>
          <w:p>
            <w:pPr>
              <w:pStyle w:val="Compact"/>
            </w:pPr>
            <w:r>
              <w:t xml:space="preserve">65.4%</w:t>
            </w:r>
          </w:p>
        </w:tc>
        <w:tc>
          <w:tcPr/>
          <w:p>
            <w:pPr>
              <w:pStyle w:val="Compact"/>
            </w:pPr>
            <w:r>
              <w:t xml:space="preserve">65.4%</w:t>
            </w:r>
          </w:p>
        </w:tc>
        <w:tc>
          <w:tcPr/>
          <w:p>
            <w:pPr>
              <w:pStyle w:val="Compact"/>
            </w:pPr>
            <w:r>
              <w:t xml:space="preserve">34.6%</w:t>
            </w:r>
          </w:p>
        </w:tc>
      </w:tr>
      <w:tr>
        <w:tc>
          <w:tcPr/>
          <w:p>
            <w:pPr>
              <w:pStyle w:val="Compact"/>
            </w:pPr>
            <w:r>
              <w:t xml:space="preserve">2020</w:t>
            </w:r>
          </w:p>
        </w:tc>
        <w:tc>
          <w:tcPr/>
          <w:p>
            <w:pPr>
              <w:pStyle w:val="Compact"/>
            </w:pPr>
            <w:r>
              <w:t xml:space="preserve">General OB/GYN</w:t>
            </w:r>
          </w:p>
        </w:tc>
        <w:tc>
          <w:tcPr/>
          <w:p>
            <w:pPr>
              <w:pStyle w:val="Compact"/>
            </w:pPr>
            <w:r>
              <w:t xml:space="preserve">46</w:t>
            </w:r>
          </w:p>
        </w:tc>
        <w:tc>
          <w:tcPr/>
          <w:p>
            <w:pPr>
              <w:pStyle w:val="Compact"/>
            </w:pPr>
            <w:r>
              <w:t xml:space="preserve">941</w:t>
            </w:r>
          </w:p>
        </w:tc>
        <w:tc>
          <w:tcPr/>
          <w:p>
            <w:pPr>
              <w:pStyle w:val="Compact"/>
            </w:pPr>
            <w:r>
              <w:t xml:space="preserve">17 (13–24)</w:t>
            </w:r>
          </w:p>
        </w:tc>
        <w:tc>
          <w:tcPr/>
          <w:p>
            <w:pPr>
              <w:pStyle w:val="Compact"/>
            </w:pPr>
            <w:r>
              <w:t xml:space="preserve">0.250</w:t>
            </w:r>
          </w:p>
        </w:tc>
        <w:tc>
          <w:tcPr/>
          <w:p>
            <w:pPr>
              <w:pStyle w:val="Compact"/>
            </w:pPr>
            <w:r>
              <w:t xml:space="preserve">274.4</w:t>
            </w:r>
          </w:p>
        </w:tc>
        <w:tc>
          <w:tcPr/>
          <w:p>
            <w:pPr>
              <w:pStyle w:val="Compact"/>
            </w:pPr>
            <w:r>
              <w:t xml:space="preserve">23.5%</w:t>
            </w:r>
          </w:p>
        </w:tc>
        <w:tc>
          <w:tcPr/>
          <w:p>
            <w:pPr>
              <w:pStyle w:val="Compact"/>
            </w:pPr>
            <w:r>
              <w:t xml:space="preserve">38.8%</w:t>
            </w:r>
          </w:p>
        </w:tc>
        <w:tc>
          <w:tcPr/>
          <w:p>
            <w:pPr>
              <w:pStyle w:val="Compact"/>
            </w:pPr>
            <w:r>
              <w:t xml:space="preserve">33.3%</w:t>
            </w:r>
          </w:p>
        </w:tc>
      </w:tr>
      <w:tr>
        <w:tc>
          <w:tcPr/>
          <w:p>
            <w:pPr>
              <w:pStyle w:val="Compact"/>
            </w:pPr>
            <w:r>
              <w:t xml:space="preserve">2020</w:t>
            </w:r>
          </w:p>
        </w:tc>
        <w:tc>
          <w:tcPr/>
          <w:p>
            <w:pPr>
              <w:pStyle w:val="Compact"/>
            </w:pPr>
            <w:r>
              <w:t xml:space="preserve">Urology</w:t>
            </w:r>
          </w:p>
        </w:tc>
        <w:tc>
          <w:tcPr/>
          <w:p>
            <w:pPr>
              <w:pStyle w:val="Compact"/>
            </w:pPr>
            <w:r>
              <w:t xml:space="preserve">117</w:t>
            </w:r>
          </w:p>
        </w:tc>
        <w:tc>
          <w:tcPr/>
          <w:p>
            <w:pPr>
              <w:pStyle w:val="Compact"/>
            </w:pPr>
            <w:r>
              <w:t xml:space="preserve">2155</w:t>
            </w:r>
          </w:p>
        </w:tc>
        <w:tc>
          <w:tcPr/>
          <w:p>
            <w:pPr>
              <w:pStyle w:val="Compact"/>
            </w:pPr>
            <w:r>
              <w:t xml:space="preserve">15 (13–21)</w:t>
            </w:r>
          </w:p>
        </w:tc>
        <w:tc>
          <w:tcPr/>
          <w:p>
            <w:pPr>
              <w:pStyle w:val="Compact"/>
            </w:pPr>
            <w:r>
              <w:t xml:space="preserve">0.225</w:t>
            </w:r>
          </w:p>
        </w:tc>
        <w:tc>
          <w:tcPr/>
          <w:p>
            <w:pPr>
              <w:pStyle w:val="Compact"/>
            </w:pPr>
            <w:r>
              <w:t xml:space="preserve">105.6</w:t>
            </w:r>
          </w:p>
        </w:tc>
        <w:tc>
          <w:tcPr/>
          <w:p>
            <w:pPr>
              <w:pStyle w:val="Compact"/>
            </w:pPr>
            <w:r>
              <w:t xml:space="preserve">21.4%</w:t>
            </w:r>
          </w:p>
        </w:tc>
        <w:tc>
          <w:tcPr/>
          <w:p>
            <w:pPr>
              <w:pStyle w:val="Compact"/>
            </w:pPr>
            <w:r>
              <w:t xml:space="preserve">36.0%</w:t>
            </w:r>
          </w:p>
        </w:tc>
        <w:tc>
          <w:tcPr/>
          <w:p>
            <w:pPr>
              <w:pStyle w:val="Compact"/>
            </w:pPr>
            <w:r>
              <w:t xml:space="preserve">34.4%</w:t>
            </w:r>
          </w:p>
        </w:tc>
      </w:tr>
      <w:tr>
        <w:tc>
          <w:tcPr/>
          <w:p>
            <w:pPr>
              <w:pStyle w:val="Compact"/>
            </w:pPr>
            <w:r>
              <w:t xml:space="preserve">2021</w:t>
            </w:r>
          </w:p>
        </w:tc>
        <w:tc>
          <w:tcPr/>
          <w:p>
            <w:pPr>
              <w:pStyle w:val="Compact"/>
            </w:pPr>
            <w:r>
              <w:t xml:space="preserve">All</w:t>
            </w:r>
          </w:p>
        </w:tc>
        <w:tc>
          <w:tcPr/>
          <w:p>
            <w:pPr>
              <w:pStyle w:val="Compact"/>
            </w:pPr>
            <w:r>
              <w:t xml:space="preserve">458</w:t>
            </w:r>
          </w:p>
        </w:tc>
        <w:tc>
          <w:tcPr/>
          <w:p>
            <w:pPr>
              <w:pStyle w:val="Compact"/>
            </w:pPr>
            <w:r>
              <w:t xml:space="preserve">9551</w:t>
            </w:r>
          </w:p>
        </w:tc>
        <w:tc>
          <w:tcPr/>
          <w:p>
            <w:pPr>
              <w:pStyle w:val="Compact"/>
            </w:pPr>
            <w:r>
              <w:t xml:space="preserve">17 (13–24)</w:t>
            </w:r>
          </w:p>
        </w:tc>
        <w:tc>
          <w:tcPr/>
          <w:p>
            <w:pPr>
              <w:pStyle w:val="Compact"/>
            </w:pPr>
            <w:r>
              <w:t xml:space="preserve">0.265</w:t>
            </w:r>
          </w:p>
        </w:tc>
        <w:tc>
          <w:tcPr/>
          <w:p>
            <w:pPr>
              <w:pStyle w:val="Compact"/>
            </w:pPr>
            <w:r>
              <w:t xml:space="preserve">28.1</w:t>
            </w:r>
          </w:p>
        </w:tc>
        <w:tc>
          <w:tcPr/>
          <w:p>
            <w:pPr>
              <w:pStyle w:val="Compact"/>
            </w:pPr>
            <w:r>
              <w:t xml:space="preserve">22.9%</w:t>
            </w:r>
          </w:p>
        </w:tc>
        <w:tc>
          <w:tcPr/>
          <w:p>
            <w:pPr>
              <w:pStyle w:val="Compact"/>
            </w:pPr>
            <w:r>
              <w:t xml:space="preserve">38.0%</w:t>
            </w:r>
          </w:p>
        </w:tc>
        <w:tc>
          <w:tcPr/>
          <w:p>
            <w:pPr>
              <w:pStyle w:val="Compact"/>
            </w:pPr>
            <w:r>
              <w:t xml:space="preserve">31.9%</w:t>
            </w:r>
          </w:p>
        </w:tc>
      </w:tr>
      <w:tr>
        <w:tc>
          <w:tcPr/>
          <w:p>
            <w:pPr>
              <w:pStyle w:val="Compact"/>
            </w:pPr>
            <w:r>
              <w:t xml:space="preserve">2021</w:t>
            </w:r>
          </w:p>
        </w:tc>
        <w:tc>
          <w:tcPr/>
          <w:p>
            <w:pPr>
              <w:pStyle w:val="Compact"/>
            </w:pPr>
            <w:r>
              <w:t xml:space="preserve">URPS</w:t>
            </w:r>
          </w:p>
        </w:tc>
        <w:tc>
          <w:tcPr/>
          <w:p>
            <w:pPr>
              <w:pStyle w:val="Compact"/>
            </w:pPr>
            <w:r>
              <w:t xml:space="preserve">282</w:t>
            </w:r>
          </w:p>
        </w:tc>
        <w:tc>
          <w:tcPr/>
          <w:p>
            <w:pPr>
              <w:pStyle w:val="Compact"/>
            </w:pPr>
            <w:r>
              <w:t xml:space="preserve">6114</w:t>
            </w:r>
          </w:p>
        </w:tc>
        <w:tc>
          <w:tcPr/>
          <w:p>
            <w:pPr>
              <w:pStyle w:val="Compact"/>
            </w:pPr>
            <w:r>
              <w:t xml:space="preserve">18 (13–25)</w:t>
            </w:r>
          </w:p>
        </w:tc>
        <w:tc>
          <w:tcPr/>
          <w:p>
            <w:pPr>
              <w:pStyle w:val="Compact"/>
            </w:pPr>
            <w:r>
              <w:t xml:space="preserve">0.270</w:t>
            </w:r>
          </w:p>
        </w:tc>
        <w:tc>
          <w:tcPr/>
          <w:p>
            <w:pPr>
              <w:pStyle w:val="Compact"/>
            </w:pPr>
            <w:r>
              <w:t xml:space="preserve">45.6</w:t>
            </w:r>
          </w:p>
        </w:tc>
        <w:tc>
          <w:tcPr/>
          <w:p>
            <w:pPr>
              <w:pStyle w:val="Compact"/>
            </w:pPr>
            <w:r>
              <w:t xml:space="preserve">23.3%</w:t>
            </w:r>
          </w:p>
        </w:tc>
        <w:tc>
          <w:tcPr/>
          <w:p>
            <w:pPr>
              <w:pStyle w:val="Compact"/>
            </w:pPr>
            <w:r>
              <w:t xml:space="preserve">38.3%</w:t>
            </w:r>
          </w:p>
        </w:tc>
        <w:tc>
          <w:tcPr/>
          <w:p>
            <w:pPr>
              <w:pStyle w:val="Compact"/>
            </w:pPr>
            <w:r>
              <w:t xml:space="preserve">31.5%</w:t>
            </w:r>
          </w:p>
        </w:tc>
      </w:tr>
      <w:tr>
        <w:tc>
          <w:tcPr/>
          <w:p>
            <w:pPr>
              <w:pStyle w:val="Compact"/>
            </w:pPr>
            <w:r>
              <w:t xml:space="preserve">2021</w:t>
            </w:r>
          </w:p>
        </w:tc>
        <w:tc>
          <w:tcPr/>
          <w:p>
            <w:pPr>
              <w:pStyle w:val="Compact"/>
            </w:pPr>
            <w:r>
              <w:t xml:space="preserve">MIGS</w:t>
            </w:r>
          </w:p>
        </w:tc>
        <w:tc>
          <w:tcPr/>
          <w:p>
            <w:pPr>
              <w:pStyle w:val="Compact"/>
            </w:pPr>
            <w:r>
              <w:t xml:space="preserve">3</w:t>
            </w:r>
          </w:p>
        </w:tc>
        <w:tc>
          <w:tcPr/>
          <w:p>
            <w:pPr>
              <w:pStyle w:val="Compact"/>
            </w:pPr>
            <w:r>
              <w:t xml:space="preserve">97</w:t>
            </w:r>
          </w:p>
        </w:tc>
        <w:tc>
          <w:tcPr/>
          <w:p>
            <w:pPr>
              <w:pStyle w:val="Compact"/>
            </w:pPr>
            <w:r>
              <w:t xml:space="preserve">18 (16–41)</w:t>
            </w:r>
          </w:p>
        </w:tc>
        <w:tc>
          <w:tcPr/>
          <w:p>
            <w:pPr>
              <w:pStyle w:val="Compact"/>
            </w:pPr>
            <w:r>
              <w:t xml:space="preserve">0.337</w:t>
            </w:r>
          </w:p>
        </w:tc>
        <w:tc>
          <w:tcPr/>
          <w:p>
            <w:pPr>
              <w:pStyle w:val="Compact"/>
            </w:pPr>
            <w:r>
              <w:t xml:space="preserve">4936.8</w:t>
            </w:r>
          </w:p>
        </w:tc>
        <w:tc>
          <w:tcPr/>
          <w:p>
            <w:pPr>
              <w:pStyle w:val="Compact"/>
            </w:pPr>
            <w:r>
              <w:t xml:space="preserve">66.0%</w:t>
            </w:r>
          </w:p>
        </w:tc>
        <w:tc>
          <w:tcPr/>
          <w:p>
            <w:pPr>
              <w:pStyle w:val="Compact"/>
            </w:pPr>
            <w:r>
              <w:t xml:space="preserve">66.0%</w:t>
            </w:r>
          </w:p>
        </w:tc>
        <w:tc>
          <w:tcPr/>
          <w:p>
            <w:pPr>
              <w:pStyle w:val="Compact"/>
            </w:pPr>
            <w:r>
              <w:t xml:space="preserve">15.5%</w:t>
            </w:r>
          </w:p>
        </w:tc>
      </w:tr>
      <w:tr>
        <w:tc>
          <w:tcPr/>
          <w:p>
            <w:pPr>
              <w:pStyle w:val="Compact"/>
            </w:pPr>
            <w:r>
              <w:t xml:space="preserve">2021</w:t>
            </w:r>
          </w:p>
        </w:tc>
        <w:tc>
          <w:tcPr/>
          <w:p>
            <w:pPr>
              <w:pStyle w:val="Compact"/>
            </w:pPr>
            <w:r>
              <w:t xml:space="preserve">General OB/GYN</w:t>
            </w:r>
          </w:p>
        </w:tc>
        <w:tc>
          <w:tcPr/>
          <w:p>
            <w:pPr>
              <w:pStyle w:val="Compact"/>
            </w:pPr>
            <w:r>
              <w:t xml:space="preserve">58</w:t>
            </w:r>
          </w:p>
        </w:tc>
        <w:tc>
          <w:tcPr/>
          <w:p>
            <w:pPr>
              <w:pStyle w:val="Compact"/>
            </w:pPr>
            <w:r>
              <w:t xml:space="preserve">1076</w:t>
            </w:r>
          </w:p>
        </w:tc>
        <w:tc>
          <w:tcPr/>
          <w:p>
            <w:pPr>
              <w:pStyle w:val="Compact"/>
            </w:pPr>
            <w:r>
              <w:t xml:space="preserve">15 (12–20)</w:t>
            </w:r>
          </w:p>
        </w:tc>
        <w:tc>
          <w:tcPr/>
          <w:p>
            <w:pPr>
              <w:pStyle w:val="Compact"/>
            </w:pPr>
            <w:r>
              <w:t xml:space="preserve">0.268</w:t>
            </w:r>
          </w:p>
        </w:tc>
        <w:tc>
          <w:tcPr/>
          <w:p>
            <w:pPr>
              <w:pStyle w:val="Compact"/>
            </w:pPr>
            <w:r>
              <w:t xml:space="preserve">238.9</w:t>
            </w:r>
          </w:p>
        </w:tc>
        <w:tc>
          <w:tcPr/>
          <w:p>
            <w:pPr>
              <w:pStyle w:val="Compact"/>
            </w:pPr>
            <w:r>
              <w:t xml:space="preserve">25.8%</w:t>
            </w:r>
          </w:p>
        </w:tc>
        <w:tc>
          <w:tcPr/>
          <w:p>
            <w:pPr>
              <w:pStyle w:val="Compact"/>
            </w:pPr>
            <w:r>
              <w:t xml:space="preserve">40.6%</w:t>
            </w:r>
          </w:p>
        </w:tc>
        <w:tc>
          <w:tcPr/>
          <w:p>
            <w:pPr>
              <w:pStyle w:val="Compact"/>
            </w:pPr>
            <w:r>
              <w:t xml:space="preserve">32.6%</w:t>
            </w:r>
          </w:p>
        </w:tc>
      </w:tr>
      <w:tr>
        <w:tc>
          <w:tcPr/>
          <w:p>
            <w:pPr>
              <w:pStyle w:val="Compact"/>
            </w:pPr>
            <w:r>
              <w:t xml:space="preserve">2021</w:t>
            </w:r>
          </w:p>
        </w:tc>
        <w:tc>
          <w:tcPr/>
          <w:p>
            <w:pPr>
              <w:pStyle w:val="Compact"/>
            </w:pPr>
            <w:r>
              <w:t xml:space="preserve">Urology</w:t>
            </w:r>
          </w:p>
        </w:tc>
        <w:tc>
          <w:tcPr/>
          <w:p>
            <w:pPr>
              <w:pStyle w:val="Compact"/>
            </w:pPr>
            <w:r>
              <w:t xml:space="preserve">115</w:t>
            </w:r>
          </w:p>
        </w:tc>
        <w:tc>
          <w:tcPr/>
          <w:p>
            <w:pPr>
              <w:pStyle w:val="Compact"/>
            </w:pPr>
            <w:r>
              <w:t xml:space="preserve">2264</w:t>
            </w:r>
          </w:p>
        </w:tc>
        <w:tc>
          <w:tcPr/>
          <w:p>
            <w:pPr>
              <w:pStyle w:val="Compact"/>
            </w:pPr>
            <w:r>
              <w:t xml:space="preserve">17 (13–24)</w:t>
            </w:r>
          </w:p>
        </w:tc>
        <w:tc>
          <w:tcPr/>
          <w:p>
            <w:pPr>
              <w:pStyle w:val="Compact"/>
            </w:pPr>
            <w:r>
              <w:t xml:space="preserve">0.232</w:t>
            </w:r>
          </w:p>
        </w:tc>
        <w:tc>
          <w:tcPr/>
          <w:p>
            <w:pPr>
              <w:pStyle w:val="Compact"/>
            </w:pPr>
            <w:r>
              <w:t xml:space="preserve">104.8</w:t>
            </w:r>
          </w:p>
        </w:tc>
        <w:tc>
          <w:tcPr/>
          <w:p>
            <w:pPr>
              <w:pStyle w:val="Compact"/>
            </w:pPr>
            <w:r>
              <w:t xml:space="preserve">21.1%</w:t>
            </w:r>
          </w:p>
        </w:tc>
        <w:tc>
          <w:tcPr/>
          <w:p>
            <w:pPr>
              <w:pStyle w:val="Compact"/>
            </w:pPr>
            <w:r>
              <w:t xml:space="preserve">34.9%</w:t>
            </w:r>
          </w:p>
        </w:tc>
        <w:tc>
          <w:tcPr/>
          <w:p>
            <w:pPr>
              <w:pStyle w:val="Compact"/>
            </w:pPr>
            <w:r>
              <w:t xml:space="preserve">33.6%</w:t>
            </w:r>
          </w:p>
        </w:tc>
      </w:tr>
      <w:tr>
        <w:tc>
          <w:tcPr/>
          <w:p>
            <w:pPr>
              <w:pStyle w:val="Compact"/>
            </w:pPr>
            <w:r>
              <w:t xml:space="preserve">2022</w:t>
            </w:r>
          </w:p>
        </w:tc>
        <w:tc>
          <w:tcPr/>
          <w:p>
            <w:pPr>
              <w:pStyle w:val="Compact"/>
            </w:pPr>
            <w:r>
              <w:t xml:space="preserve">All</w:t>
            </w:r>
          </w:p>
        </w:tc>
        <w:tc>
          <w:tcPr/>
          <w:p>
            <w:pPr>
              <w:pStyle w:val="Compact"/>
            </w:pPr>
            <w:r>
              <w:t xml:space="preserve">562</w:t>
            </w:r>
          </w:p>
        </w:tc>
        <w:tc>
          <w:tcPr/>
          <w:p>
            <w:pPr>
              <w:pStyle w:val="Compact"/>
            </w:pPr>
            <w:r>
              <w:t xml:space="preserve">12053</w:t>
            </w:r>
          </w:p>
        </w:tc>
        <w:tc>
          <w:tcPr/>
          <w:p>
            <w:pPr>
              <w:pStyle w:val="Compact"/>
            </w:pPr>
            <w:r>
              <w:t xml:space="preserve">17 (13–25)</w:t>
            </w:r>
          </w:p>
        </w:tc>
        <w:tc>
          <w:tcPr/>
          <w:p>
            <w:pPr>
              <w:pStyle w:val="Compact"/>
            </w:pPr>
            <w:r>
              <w:t xml:space="preserve">0.275</w:t>
            </w:r>
          </w:p>
        </w:tc>
        <w:tc>
          <w:tcPr/>
          <w:p>
            <w:pPr>
              <w:pStyle w:val="Compact"/>
            </w:pPr>
            <w:r>
              <w:t xml:space="preserve">23.6</w:t>
            </w:r>
          </w:p>
        </w:tc>
        <w:tc>
          <w:tcPr/>
          <w:p>
            <w:pPr>
              <w:pStyle w:val="Compact"/>
            </w:pPr>
            <w:r>
              <w:t xml:space="preserve">24.2%</w:t>
            </w:r>
          </w:p>
        </w:tc>
        <w:tc>
          <w:tcPr/>
          <w:p>
            <w:pPr>
              <w:pStyle w:val="Compact"/>
            </w:pPr>
            <w:r>
              <w:t xml:space="preserve">39.1%</w:t>
            </w:r>
          </w:p>
        </w:tc>
        <w:tc>
          <w:tcPr/>
          <w:p>
            <w:pPr>
              <w:pStyle w:val="Compact"/>
            </w:pPr>
            <w:r>
              <w:t xml:space="preserve">31.4%</w:t>
            </w:r>
          </w:p>
        </w:tc>
      </w:tr>
      <w:tr>
        <w:tc>
          <w:tcPr/>
          <w:p>
            <w:pPr>
              <w:pStyle w:val="Compact"/>
            </w:pPr>
            <w:r>
              <w:t xml:space="preserve">2022</w:t>
            </w:r>
          </w:p>
        </w:tc>
        <w:tc>
          <w:tcPr/>
          <w:p>
            <w:pPr>
              <w:pStyle w:val="Compact"/>
            </w:pPr>
            <w:r>
              <w:t xml:space="preserve">URPS</w:t>
            </w:r>
          </w:p>
        </w:tc>
        <w:tc>
          <w:tcPr/>
          <w:p>
            <w:pPr>
              <w:pStyle w:val="Compact"/>
            </w:pPr>
            <w:r>
              <w:t xml:space="preserve">341</w:t>
            </w:r>
          </w:p>
        </w:tc>
        <w:tc>
          <w:tcPr/>
          <w:p>
            <w:pPr>
              <w:pStyle w:val="Compact"/>
            </w:pPr>
            <w:r>
              <w:t xml:space="preserve">7612</w:t>
            </w:r>
          </w:p>
        </w:tc>
        <w:tc>
          <w:tcPr/>
          <w:p>
            <w:pPr>
              <w:pStyle w:val="Compact"/>
            </w:pPr>
            <w:r>
              <w:t xml:space="preserve">18 (14–26)</w:t>
            </w:r>
          </w:p>
        </w:tc>
        <w:tc>
          <w:tcPr/>
          <w:p>
            <w:pPr>
              <w:pStyle w:val="Compact"/>
            </w:pPr>
            <w:r>
              <w:t xml:space="preserve">0.280</w:t>
            </w:r>
          </w:p>
        </w:tc>
        <w:tc>
          <w:tcPr/>
          <w:p>
            <w:pPr>
              <w:pStyle w:val="Compact"/>
            </w:pPr>
            <w:r>
              <w:t xml:space="preserve">38.9</w:t>
            </w:r>
          </w:p>
        </w:tc>
        <w:tc>
          <w:tcPr/>
          <w:p>
            <w:pPr>
              <w:pStyle w:val="Compact"/>
            </w:pPr>
            <w:r>
              <w:t xml:space="preserve">24.3%</w:t>
            </w:r>
          </w:p>
        </w:tc>
        <w:tc>
          <w:tcPr/>
          <w:p>
            <w:pPr>
              <w:pStyle w:val="Compact"/>
            </w:pPr>
            <w:r>
              <w:t xml:space="preserve">39.4%</w:t>
            </w:r>
          </w:p>
        </w:tc>
        <w:tc>
          <w:tcPr/>
          <w:p>
            <w:pPr>
              <w:pStyle w:val="Compact"/>
            </w:pPr>
            <w:r>
              <w:t xml:space="preserve">30.9%</w:t>
            </w:r>
          </w:p>
        </w:tc>
      </w:tr>
      <w:tr>
        <w:tc>
          <w:tcPr/>
          <w:p>
            <w:pPr>
              <w:pStyle w:val="Compact"/>
            </w:pPr>
            <w:r>
              <w:t xml:space="preserve">2022</w:t>
            </w:r>
          </w:p>
        </w:tc>
        <w:tc>
          <w:tcPr/>
          <w:p>
            <w:pPr>
              <w:pStyle w:val="Compact"/>
            </w:pPr>
            <w:r>
              <w:t xml:space="preserve">MIGS</w:t>
            </w:r>
          </w:p>
        </w:tc>
        <w:tc>
          <w:tcPr/>
          <w:p>
            <w:pPr>
              <w:pStyle w:val="Compact"/>
            </w:pPr>
            <w:r>
              <w:t xml:space="preserve">3</w:t>
            </w:r>
          </w:p>
        </w:tc>
        <w:tc>
          <w:tcPr/>
          <w:p>
            <w:pPr>
              <w:pStyle w:val="Compact"/>
            </w:pPr>
            <w:r>
              <w:t xml:space="preserve">87</w:t>
            </w:r>
          </w:p>
        </w:tc>
        <w:tc>
          <w:tcPr/>
          <w:p>
            <w:pPr>
              <w:pStyle w:val="Compact"/>
            </w:pPr>
            <w:r>
              <w:t xml:space="preserve">17 (14–38)</w:t>
            </w:r>
          </w:p>
        </w:tc>
        <w:tc>
          <w:tcPr/>
          <w:p>
            <w:pPr>
              <w:pStyle w:val="Compact"/>
            </w:pPr>
            <w:r>
              <w:t xml:space="preserve">0.352</w:t>
            </w:r>
          </w:p>
        </w:tc>
        <w:tc>
          <w:tcPr/>
          <w:p>
            <w:pPr>
              <w:pStyle w:val="Compact"/>
            </w:pPr>
            <w:r>
              <w:t xml:space="preserve">5016.5</w:t>
            </w:r>
          </w:p>
        </w:tc>
        <w:tc>
          <w:tcPr/>
          <w:p>
            <w:pPr>
              <w:pStyle w:val="Compact"/>
            </w:pPr>
            <w:r>
              <w:t xml:space="preserve">66.7%</w:t>
            </w:r>
          </w:p>
        </w:tc>
        <w:tc>
          <w:tcPr/>
          <w:p>
            <w:pPr>
              <w:pStyle w:val="Compact"/>
            </w:pPr>
            <w:r>
              <w:t xml:space="preserve">66.7%</w:t>
            </w:r>
          </w:p>
        </w:tc>
        <w:tc>
          <w:tcPr/>
          <w:p>
            <w:pPr>
              <w:pStyle w:val="Compact"/>
            </w:pPr>
            <w:r>
              <w:t xml:space="preserve">13.8%</w:t>
            </w:r>
          </w:p>
        </w:tc>
      </w:tr>
      <w:tr>
        <w:tc>
          <w:tcPr/>
          <w:p>
            <w:pPr>
              <w:pStyle w:val="Compact"/>
            </w:pPr>
            <w:r>
              <w:t xml:space="preserve">2022</w:t>
            </w:r>
          </w:p>
        </w:tc>
        <w:tc>
          <w:tcPr/>
          <w:p>
            <w:pPr>
              <w:pStyle w:val="Compact"/>
            </w:pPr>
            <w:r>
              <w:t xml:space="preserve">General OB/GYN</w:t>
            </w:r>
          </w:p>
        </w:tc>
        <w:tc>
          <w:tcPr/>
          <w:p>
            <w:pPr>
              <w:pStyle w:val="Compact"/>
            </w:pPr>
            <w:r>
              <w:t xml:space="preserve">63</w:t>
            </w:r>
          </w:p>
        </w:tc>
        <w:tc>
          <w:tcPr/>
          <w:p>
            <w:pPr>
              <w:pStyle w:val="Compact"/>
            </w:pPr>
            <w:r>
              <w:t xml:space="preserve">1218</w:t>
            </w:r>
          </w:p>
        </w:tc>
        <w:tc>
          <w:tcPr/>
          <w:p>
            <w:pPr>
              <w:pStyle w:val="Compact"/>
            </w:pPr>
            <w:r>
              <w:t xml:space="preserve">15 (13–21)</w:t>
            </w:r>
          </w:p>
        </w:tc>
        <w:tc>
          <w:tcPr/>
          <w:p>
            <w:pPr>
              <w:pStyle w:val="Compact"/>
            </w:pPr>
            <w:r>
              <w:t xml:space="preserve">0.257</w:t>
            </w:r>
          </w:p>
        </w:tc>
        <w:tc>
          <w:tcPr/>
          <w:p>
            <w:pPr>
              <w:pStyle w:val="Compact"/>
            </w:pPr>
            <w:r>
              <w:t xml:space="preserve">206.2</w:t>
            </w:r>
          </w:p>
        </w:tc>
        <w:tc>
          <w:tcPr/>
          <w:p>
            <w:pPr>
              <w:pStyle w:val="Compact"/>
            </w:pPr>
            <w:r>
              <w:t xml:space="preserve">25.5%</w:t>
            </w:r>
          </w:p>
        </w:tc>
        <w:tc>
          <w:tcPr/>
          <w:p>
            <w:pPr>
              <w:pStyle w:val="Compact"/>
            </w:pPr>
            <w:r>
              <w:t xml:space="preserve">39.0%</w:t>
            </w:r>
          </w:p>
        </w:tc>
        <w:tc>
          <w:tcPr/>
          <w:p>
            <w:pPr>
              <w:pStyle w:val="Compact"/>
            </w:pPr>
            <w:r>
              <w:t xml:space="preserve">32.2%</w:t>
            </w:r>
          </w:p>
        </w:tc>
      </w:tr>
      <w:tr>
        <w:tc>
          <w:tcPr/>
          <w:p>
            <w:pPr>
              <w:pStyle w:val="Compact"/>
            </w:pPr>
            <w:r>
              <w:t xml:space="preserve">2022</w:t>
            </w:r>
          </w:p>
        </w:tc>
        <w:tc>
          <w:tcPr/>
          <w:p>
            <w:pPr>
              <w:pStyle w:val="Compact"/>
            </w:pPr>
            <w:r>
              <w:t xml:space="preserve">Urology</w:t>
            </w:r>
          </w:p>
        </w:tc>
        <w:tc>
          <w:tcPr/>
          <w:p>
            <w:pPr>
              <w:pStyle w:val="Compact"/>
            </w:pPr>
            <w:r>
              <w:t xml:space="preserve">155</w:t>
            </w:r>
          </w:p>
        </w:tc>
        <w:tc>
          <w:tcPr/>
          <w:p>
            <w:pPr>
              <w:pStyle w:val="Compact"/>
            </w:pPr>
            <w:r>
              <w:t xml:space="preserve">3136</w:t>
            </w:r>
          </w:p>
        </w:tc>
        <w:tc>
          <w:tcPr/>
          <w:p>
            <w:pPr>
              <w:pStyle w:val="Compact"/>
            </w:pPr>
            <w:r>
              <w:t xml:space="preserve">16 (13–24)</w:t>
            </w:r>
          </w:p>
        </w:tc>
        <w:tc>
          <w:tcPr/>
          <w:p>
            <w:pPr>
              <w:pStyle w:val="Compact"/>
            </w:pPr>
            <w:r>
              <w:t xml:space="preserve">0.261</w:t>
            </w:r>
          </w:p>
        </w:tc>
        <w:tc>
          <w:tcPr/>
          <w:p>
            <w:pPr>
              <w:pStyle w:val="Compact"/>
            </w:pPr>
            <w:r>
              <w:t xml:space="preserve">83.9</w:t>
            </w:r>
          </w:p>
        </w:tc>
        <w:tc>
          <w:tcPr/>
          <w:p>
            <w:pPr>
              <w:pStyle w:val="Compact"/>
            </w:pPr>
            <w:r>
              <w:t xml:space="preserve">23.7%</w:t>
            </w:r>
          </w:p>
        </w:tc>
        <w:tc>
          <w:tcPr/>
          <w:p>
            <w:pPr>
              <w:pStyle w:val="Compact"/>
            </w:pPr>
            <w:r>
              <w:t xml:space="preserve">37.9%</w:t>
            </w:r>
          </w:p>
        </w:tc>
        <w:tc>
          <w:tcPr/>
          <w:p>
            <w:pPr>
              <w:pStyle w:val="Compact"/>
            </w:pPr>
            <w:r>
              <w:t xml:space="preserve">32.2%</w:t>
            </w:r>
          </w:p>
        </w:tc>
      </w:tr>
      <w:tr>
        <w:tc>
          <w:tcPr/>
          <w:p>
            <w:pPr>
              <w:pStyle w:val="Compact"/>
            </w:pPr>
            <w:r>
              <w:t xml:space="preserve">2023</w:t>
            </w:r>
          </w:p>
        </w:tc>
        <w:tc>
          <w:tcPr/>
          <w:p>
            <w:pPr>
              <w:pStyle w:val="Compact"/>
            </w:pPr>
            <w:r>
              <w:t xml:space="preserve">All</w:t>
            </w:r>
          </w:p>
        </w:tc>
        <w:tc>
          <w:tcPr/>
          <w:p>
            <w:pPr>
              <w:pStyle w:val="Compact"/>
            </w:pPr>
            <w:r>
              <w:t xml:space="preserve">562</w:t>
            </w:r>
          </w:p>
        </w:tc>
        <w:tc>
          <w:tcPr/>
          <w:p>
            <w:pPr>
              <w:pStyle w:val="Compact"/>
            </w:pPr>
            <w:r>
              <w:t xml:space="preserve">12223</w:t>
            </w:r>
          </w:p>
        </w:tc>
        <w:tc>
          <w:tcPr/>
          <w:p>
            <w:pPr>
              <w:pStyle w:val="Compact"/>
            </w:pPr>
            <w:r>
              <w:t xml:space="preserve">18 (13–25)</w:t>
            </w:r>
          </w:p>
        </w:tc>
        <w:tc>
          <w:tcPr/>
          <w:p>
            <w:pPr>
              <w:pStyle w:val="Compact"/>
            </w:pPr>
            <w:r>
              <w:t xml:space="preserve">0.268</w:t>
            </w:r>
          </w:p>
        </w:tc>
        <w:tc>
          <w:tcPr/>
          <w:p>
            <w:pPr>
              <w:pStyle w:val="Compact"/>
            </w:pPr>
            <w:r>
              <w:t xml:space="preserve">23.1</w:t>
            </w:r>
          </w:p>
        </w:tc>
        <w:tc>
          <w:tcPr/>
          <w:p>
            <w:pPr>
              <w:pStyle w:val="Compact"/>
            </w:pPr>
            <w:r>
              <w:t xml:space="preserve">23.2%</w:t>
            </w:r>
          </w:p>
        </w:tc>
        <w:tc>
          <w:tcPr/>
          <w:p>
            <w:pPr>
              <w:pStyle w:val="Compact"/>
            </w:pPr>
            <w:r>
              <w:t xml:space="preserve">37.9%</w:t>
            </w:r>
          </w:p>
        </w:tc>
        <w:tc>
          <w:tcPr/>
          <w:p>
            <w:pPr>
              <w:pStyle w:val="Compact"/>
            </w:pPr>
            <w:r>
              <w:t xml:space="preserve">31.6%</w:t>
            </w:r>
          </w:p>
        </w:tc>
      </w:tr>
      <w:tr>
        <w:tc>
          <w:tcPr/>
          <w:p>
            <w:pPr>
              <w:pStyle w:val="Compact"/>
            </w:pPr>
            <w:r>
              <w:t xml:space="preserve">2023</w:t>
            </w:r>
          </w:p>
        </w:tc>
        <w:tc>
          <w:tcPr/>
          <w:p>
            <w:pPr>
              <w:pStyle w:val="Compact"/>
            </w:pPr>
            <w:r>
              <w:t xml:space="preserve">URPS</w:t>
            </w:r>
          </w:p>
        </w:tc>
        <w:tc>
          <w:tcPr/>
          <w:p>
            <w:pPr>
              <w:pStyle w:val="Compact"/>
            </w:pPr>
            <w:r>
              <w:t xml:space="preserve">338</w:t>
            </w:r>
          </w:p>
        </w:tc>
        <w:tc>
          <w:tcPr/>
          <w:p>
            <w:pPr>
              <w:pStyle w:val="Compact"/>
            </w:pPr>
            <w:r>
              <w:t xml:space="preserve">7802</w:t>
            </w:r>
          </w:p>
        </w:tc>
        <w:tc>
          <w:tcPr/>
          <w:p>
            <w:pPr>
              <w:pStyle w:val="Compact"/>
            </w:pPr>
            <w:r>
              <w:t xml:space="preserve">19 (14–27)</w:t>
            </w:r>
          </w:p>
        </w:tc>
        <w:tc>
          <w:tcPr/>
          <w:p>
            <w:pPr>
              <w:pStyle w:val="Compact"/>
            </w:pPr>
            <w:r>
              <w:t xml:space="preserve">0.272</w:t>
            </w:r>
          </w:p>
        </w:tc>
        <w:tc>
          <w:tcPr/>
          <w:p>
            <w:pPr>
              <w:pStyle w:val="Compact"/>
            </w:pPr>
            <w:r>
              <w:t xml:space="preserve">38.3</w:t>
            </w:r>
          </w:p>
        </w:tc>
        <w:tc>
          <w:tcPr/>
          <w:p>
            <w:pPr>
              <w:pStyle w:val="Compact"/>
            </w:pPr>
            <w:r>
              <w:t xml:space="preserve">22.8%</w:t>
            </w:r>
          </w:p>
        </w:tc>
        <w:tc>
          <w:tcPr/>
          <w:p>
            <w:pPr>
              <w:pStyle w:val="Compact"/>
            </w:pPr>
            <w:r>
              <w:t xml:space="preserve">38.2%</w:t>
            </w:r>
          </w:p>
        </w:tc>
        <w:tc>
          <w:tcPr/>
          <w:p>
            <w:pPr>
              <w:pStyle w:val="Compact"/>
            </w:pPr>
            <w:r>
              <w:t xml:space="preserve">31.4%</w:t>
            </w:r>
          </w:p>
        </w:tc>
      </w:tr>
      <w:tr>
        <w:tc>
          <w:tcPr/>
          <w:p>
            <w:pPr>
              <w:pStyle w:val="Compact"/>
            </w:pPr>
            <w:r>
              <w:t xml:space="preserve">2023</w:t>
            </w:r>
          </w:p>
        </w:tc>
        <w:tc>
          <w:tcPr/>
          <w:p>
            <w:pPr>
              <w:pStyle w:val="Compact"/>
            </w:pPr>
            <w:r>
              <w:t xml:space="preserve">MIGS</w:t>
            </w:r>
          </w:p>
        </w:tc>
        <w:tc>
          <w:tcPr/>
          <w:p>
            <w:pPr>
              <w:pStyle w:val="Compact"/>
            </w:pPr>
            <w:r>
              <w:t xml:space="preserve">4</w:t>
            </w:r>
          </w:p>
        </w:tc>
        <w:tc>
          <w:tcPr/>
          <w:p>
            <w:pPr>
              <w:pStyle w:val="Compact"/>
            </w:pPr>
            <w:r>
              <w:t xml:space="preserve">99</w:t>
            </w:r>
          </w:p>
        </w:tc>
        <w:tc>
          <w:tcPr/>
          <w:p>
            <w:pPr>
              <w:pStyle w:val="Compact"/>
            </w:pPr>
            <w:r>
              <w:t xml:space="preserve">14 (12–27)</w:t>
            </w:r>
          </w:p>
        </w:tc>
        <w:tc>
          <w:tcPr/>
          <w:p>
            <w:pPr>
              <w:pStyle w:val="Compact"/>
            </w:pPr>
            <w:r>
              <w:t xml:space="preserve">0.381</w:t>
            </w:r>
          </w:p>
        </w:tc>
        <w:tc>
          <w:tcPr/>
          <w:p>
            <w:pPr>
              <w:pStyle w:val="Compact"/>
            </w:pPr>
            <w:r>
              <w:t xml:space="preserve">4204.7</w:t>
            </w:r>
          </w:p>
        </w:tc>
        <w:tc>
          <w:tcPr/>
          <w:p>
            <w:pPr>
              <w:pStyle w:val="Compact"/>
            </w:pPr>
            <w:r>
              <w:t xml:space="preserve">60.6%</w:t>
            </w:r>
          </w:p>
        </w:tc>
        <w:tc>
          <w:tcPr/>
          <w:p>
            <w:pPr>
              <w:pStyle w:val="Compact"/>
            </w:pPr>
            <w:r>
              <w:t xml:space="preserve">60.6%</w:t>
            </w:r>
          </w:p>
        </w:tc>
        <w:tc>
          <w:tcPr/>
          <w:p>
            <w:pPr>
              <w:pStyle w:val="Compact"/>
            </w:pPr>
            <w:r>
              <w:t xml:space="preserve">23.2%</w:t>
            </w:r>
          </w:p>
        </w:tc>
      </w:tr>
      <w:tr>
        <w:tc>
          <w:tcPr/>
          <w:p>
            <w:pPr>
              <w:pStyle w:val="Compact"/>
            </w:pPr>
            <w:r>
              <w:t xml:space="preserve">2023</w:t>
            </w:r>
          </w:p>
        </w:tc>
        <w:tc>
          <w:tcPr/>
          <w:p>
            <w:pPr>
              <w:pStyle w:val="Compact"/>
            </w:pPr>
            <w:r>
              <w:t xml:space="preserve">General OB/GYN</w:t>
            </w:r>
          </w:p>
        </w:tc>
        <w:tc>
          <w:tcPr/>
          <w:p>
            <w:pPr>
              <w:pStyle w:val="Compact"/>
            </w:pPr>
            <w:r>
              <w:t xml:space="preserve">76</w:t>
            </w:r>
          </w:p>
        </w:tc>
        <w:tc>
          <w:tcPr/>
          <w:p>
            <w:pPr>
              <w:pStyle w:val="Compact"/>
            </w:pPr>
            <w:r>
              <w:t xml:space="preserve">1500</w:t>
            </w:r>
          </w:p>
        </w:tc>
        <w:tc>
          <w:tcPr/>
          <w:p>
            <w:pPr>
              <w:pStyle w:val="Compact"/>
            </w:pPr>
            <w:r>
              <w:t xml:space="preserve">16 (13–23)</w:t>
            </w:r>
          </w:p>
        </w:tc>
        <w:tc>
          <w:tcPr/>
          <w:p>
            <w:pPr>
              <w:pStyle w:val="Compact"/>
            </w:pPr>
            <w:r>
              <w:t xml:space="preserve">0.248</w:t>
            </w:r>
          </w:p>
        </w:tc>
        <w:tc>
          <w:tcPr/>
          <w:p>
            <w:pPr>
              <w:pStyle w:val="Compact"/>
            </w:pPr>
            <w:r>
              <w:t xml:space="preserve">163.9</w:t>
            </w:r>
          </w:p>
        </w:tc>
        <w:tc>
          <w:tcPr/>
          <w:p>
            <w:pPr>
              <w:pStyle w:val="Compact"/>
            </w:pPr>
            <w:r>
              <w:t xml:space="preserve">22.7%</w:t>
            </w:r>
          </w:p>
        </w:tc>
        <w:tc>
          <w:tcPr/>
          <w:p>
            <w:pPr>
              <w:pStyle w:val="Compact"/>
            </w:pPr>
            <w:r>
              <w:t xml:space="preserve">37.7%</w:t>
            </w:r>
          </w:p>
        </w:tc>
        <w:tc>
          <w:tcPr/>
          <w:p>
            <w:pPr>
              <w:pStyle w:val="Compact"/>
            </w:pPr>
            <w:r>
              <w:t xml:space="preserve">32.7%</w:t>
            </w:r>
          </w:p>
        </w:tc>
      </w:tr>
      <w:tr>
        <w:tc>
          <w:tcPr/>
          <w:p>
            <w:pPr>
              <w:pStyle w:val="Compact"/>
            </w:pPr>
            <w:r>
              <w:t xml:space="preserve">2023</w:t>
            </w:r>
          </w:p>
        </w:tc>
        <w:tc>
          <w:tcPr/>
          <w:p>
            <w:pPr>
              <w:pStyle w:val="Compact"/>
            </w:pPr>
            <w:r>
              <w:t xml:space="preserve">Urology</w:t>
            </w:r>
          </w:p>
        </w:tc>
        <w:tc>
          <w:tcPr/>
          <w:p>
            <w:pPr>
              <w:pStyle w:val="Compact"/>
            </w:pPr>
            <w:r>
              <w:t xml:space="preserve">144</w:t>
            </w:r>
          </w:p>
        </w:tc>
        <w:tc>
          <w:tcPr/>
          <w:p>
            <w:pPr>
              <w:pStyle w:val="Compact"/>
            </w:pPr>
            <w:r>
              <w:t xml:space="preserve">2822</w:t>
            </w:r>
          </w:p>
        </w:tc>
        <w:tc>
          <w:tcPr/>
          <w:p>
            <w:pPr>
              <w:pStyle w:val="Compact"/>
            </w:pPr>
            <w:r>
              <w:t xml:space="preserve">16 (13–23)</w:t>
            </w:r>
          </w:p>
        </w:tc>
        <w:tc>
          <w:tcPr/>
          <w:p>
            <w:pPr>
              <w:pStyle w:val="Compact"/>
            </w:pPr>
            <w:r>
              <w:t xml:space="preserve">0.248</w:t>
            </w:r>
          </w:p>
        </w:tc>
        <w:tc>
          <w:tcPr/>
          <w:p>
            <w:pPr>
              <w:pStyle w:val="Compact"/>
            </w:pPr>
            <w:r>
              <w:t xml:space="preserve">88.7</w:t>
            </w:r>
          </w:p>
        </w:tc>
        <w:tc>
          <w:tcPr/>
          <w:p>
            <w:pPr>
              <w:pStyle w:val="Compact"/>
            </w:pPr>
            <w:r>
              <w:t xml:space="preserve">22.7%</w:t>
            </w:r>
          </w:p>
        </w:tc>
        <w:tc>
          <w:tcPr/>
          <w:p>
            <w:pPr>
              <w:pStyle w:val="Compact"/>
            </w:pPr>
            <w:r>
              <w:t xml:space="preserve">36.2%</w:t>
            </w:r>
          </w:p>
        </w:tc>
        <w:tc>
          <w:tcPr/>
          <w:p>
            <w:pPr>
              <w:pStyle w:val="Compact"/>
            </w:pPr>
            <w:r>
              <w:t xml:space="preserve">32.9%</w:t>
            </w:r>
          </w:p>
        </w:tc>
      </w:tr>
    </w:tbl>
    <w:p>
      <w:pPr>
        <w:pStyle w:val="BodyText"/>
      </w:pPr>
      <w:r>
        <w:rPr>
          <w:b/>
          <w:bCs/>
        </w:rPr>
        <w:t xml:space="preserve">Supplementary Table S2.</w:t>
      </w:r>
      <w:r>
        <w:t xml:space="preserve"> </w:t>
      </w:r>
      <w:r>
        <w:t xml:space="preserve">Trend regressions for annual concentration and volume measures on calendar year, overall and by specialty (ordinary least squares).</w:t>
      </w:r>
    </w:p>
    <w:tbl>
      <w:tblPr>
        <w:tblStyle w:val="Table"/>
        <w:tblW w:type="pct" w:w="5000"/>
        <w:tblLayout w:type="fixed"/>
        <w:tblLook w:firstRow="1" w:lastRow="0" w:firstColumn="0" w:lastColumn="0" w:noHBand="0" w:noVBand="0" w:val="0020"/>
      </w:tblPr>
      <w:tblGrid>
        <w:gridCol w:w="2041"/>
        <w:gridCol w:w="1306"/>
        <w:gridCol w:w="898"/>
        <w:gridCol w:w="898"/>
        <w:gridCol w:w="1143"/>
        <w:gridCol w:w="898"/>
        <w:gridCol w:w="734"/>
      </w:tblGrid>
      <w:tr>
        <w:trPr>
          <w:tblHeader w:val="on"/>
        </w:trPr>
        <w:tc>
          <w:tcPr/>
          <w:p>
            <w:pPr>
              <w:pStyle w:val="Compact"/>
            </w:pPr>
            <w:r>
              <w:t xml:space="preserve">Measure</w:t>
            </w:r>
          </w:p>
        </w:tc>
        <w:tc>
          <w:tcPr/>
          <w:p>
            <w:pPr>
              <w:pStyle w:val="Compact"/>
            </w:pPr>
            <w:r>
              <w:t xml:space="preserve">Specialty</w:t>
            </w:r>
          </w:p>
        </w:tc>
        <w:tc>
          <w:tcPr/>
          <w:p>
            <w:pPr>
              <w:pStyle w:val="Compact"/>
            </w:pPr>
            <w:r>
              <w:t xml:space="preserve">Start</w:t>
            </w:r>
          </w:p>
        </w:tc>
        <w:tc>
          <w:tcPr/>
          <w:p>
            <w:pPr>
              <w:pStyle w:val="Compact"/>
            </w:pPr>
            <w:r>
              <w:t xml:space="preserve">End</w:t>
            </w:r>
          </w:p>
        </w:tc>
        <w:tc>
          <w:tcPr/>
          <w:p>
            <w:pPr>
              <w:pStyle w:val="Compact"/>
            </w:pPr>
            <w:r>
              <w:t xml:space="preserve">Slope / year</w:t>
            </w:r>
          </w:p>
        </w:tc>
        <w:tc>
          <w:tcPr/>
          <w:p>
            <w:pPr>
              <w:pStyle w:val="Compact"/>
            </w:pPr>
            <w:r>
              <w:t xml:space="preserve">R-squared</w:t>
            </w:r>
          </w:p>
        </w:tc>
        <w:tc>
          <w:tcPr/>
          <w:p>
            <w:pPr>
              <w:pStyle w:val="Compact"/>
            </w:pPr>
            <w:r>
              <w:t xml:space="preserve">p-value</w:t>
            </w:r>
          </w:p>
        </w:tc>
      </w:tr>
      <w:tr>
        <w:tc>
          <w:tcPr/>
          <w:p>
            <w:pPr>
              <w:pStyle w:val="Compact"/>
            </w:pPr>
            <w:r>
              <w:t xml:space="preserve">Total procedures</w:t>
            </w:r>
          </w:p>
        </w:tc>
        <w:tc>
          <w:tcPr/>
          <w:p>
            <w:pPr>
              <w:pStyle w:val="Compact"/>
            </w:pPr>
            <w:r>
              <w:t xml:space="preserve">All</w:t>
            </w:r>
          </w:p>
        </w:tc>
        <w:tc>
          <w:tcPr/>
          <w:p>
            <w:pPr>
              <w:pStyle w:val="Compact"/>
            </w:pPr>
            <w:r>
              <w:t xml:space="preserve">16399.000</w:t>
            </w:r>
          </w:p>
        </w:tc>
        <w:tc>
          <w:tcPr/>
          <w:p>
            <w:pPr>
              <w:pStyle w:val="Compact"/>
            </w:pPr>
            <w:r>
              <w:t xml:space="preserve">12223.000</w:t>
            </w:r>
          </w:p>
        </w:tc>
        <w:tc>
          <w:tcPr/>
          <w:p>
            <w:pPr>
              <w:pStyle w:val="Compact"/>
            </w:pPr>
            <w:r>
              <w:t xml:space="preserve">-490.345</w:t>
            </w:r>
          </w:p>
        </w:tc>
        <w:tc>
          <w:tcPr/>
          <w:p>
            <w:pPr>
              <w:pStyle w:val="Compact"/>
            </w:pPr>
            <w:r>
              <w:t xml:space="preserve">0.454</w:t>
            </w:r>
          </w:p>
        </w:tc>
        <w:tc>
          <w:tcPr/>
          <w:p>
            <w:pPr>
              <w:pStyle w:val="Compact"/>
            </w:pPr>
            <w:r>
              <w:t xml:space="preserve">0.020</w:t>
            </w:r>
          </w:p>
        </w:tc>
      </w:tr>
      <w:tr>
        <w:tc>
          <w:tcPr/>
          <w:p>
            <w:pPr>
              <w:pStyle w:val="Compact"/>
            </w:pPr>
            <w:r>
              <w:t xml:space="preserve">Total procedures</w:t>
            </w:r>
          </w:p>
        </w:tc>
        <w:tc>
          <w:tcPr/>
          <w:p>
            <w:pPr>
              <w:pStyle w:val="Compact"/>
            </w:pPr>
            <w:r>
              <w:t xml:space="preserve">General OB/GYN</w:t>
            </w:r>
          </w:p>
        </w:tc>
        <w:tc>
          <w:tcPr/>
          <w:p>
            <w:pPr>
              <w:pStyle w:val="Compact"/>
            </w:pPr>
            <w:r>
              <w:t xml:space="preserve">2580.000</w:t>
            </w:r>
          </w:p>
        </w:tc>
        <w:tc>
          <w:tcPr/>
          <w:p>
            <w:pPr>
              <w:pStyle w:val="Compact"/>
            </w:pPr>
            <w:r>
              <w:t xml:space="preserve">1500.000</w:t>
            </w:r>
          </w:p>
        </w:tc>
        <w:tc>
          <w:tcPr/>
          <w:p>
            <w:pPr>
              <w:pStyle w:val="Compact"/>
            </w:pPr>
            <w:r>
              <w:t xml:space="preserve">-117.527</w:t>
            </w:r>
          </w:p>
        </w:tc>
        <w:tc>
          <w:tcPr/>
          <w:p>
            <w:pPr>
              <w:pStyle w:val="Compact"/>
            </w:pPr>
            <w:r>
              <w:t xml:space="preserve">0.681</w:t>
            </w:r>
          </w:p>
        </w:tc>
        <w:tc>
          <w:tcPr/>
          <w:p>
            <w:pPr>
              <w:pStyle w:val="Compact"/>
            </w:pPr>
            <w:r>
              <w:t xml:space="preserve">0.002</w:t>
            </w:r>
          </w:p>
        </w:tc>
      </w:tr>
      <w:tr>
        <w:tc>
          <w:tcPr/>
          <w:p>
            <w:pPr>
              <w:pStyle w:val="Compact"/>
            </w:pPr>
            <w:r>
              <w:t xml:space="preserve">Total procedures</w:t>
            </w:r>
          </w:p>
        </w:tc>
        <w:tc>
          <w:tcPr/>
          <w:p>
            <w:pPr>
              <w:pStyle w:val="Compact"/>
            </w:pPr>
            <w:r>
              <w:t xml:space="preserve">MIGS</w:t>
            </w:r>
          </w:p>
        </w:tc>
        <w:tc>
          <w:tcPr/>
          <w:p>
            <w:pPr>
              <w:pStyle w:val="Compact"/>
            </w:pPr>
            <w:r>
              <w:t xml:space="preserve">35.000</w:t>
            </w:r>
          </w:p>
        </w:tc>
        <w:tc>
          <w:tcPr/>
          <w:p>
            <w:pPr>
              <w:pStyle w:val="Compact"/>
            </w:pPr>
            <w:r>
              <w:t xml:space="preserve">99.000</w:t>
            </w:r>
          </w:p>
        </w:tc>
        <w:tc>
          <w:tcPr/>
          <w:p>
            <w:pPr>
              <w:pStyle w:val="Compact"/>
            </w:pPr>
            <w:r>
              <w:t xml:space="preserve">6.582</w:t>
            </w:r>
          </w:p>
        </w:tc>
        <w:tc>
          <w:tcPr/>
          <w:p>
            <w:pPr>
              <w:pStyle w:val="Compact"/>
            </w:pPr>
            <w:r>
              <w:t xml:space="preserve">0.333</w:t>
            </w:r>
          </w:p>
        </w:tc>
        <w:tc>
          <w:tcPr/>
          <w:p>
            <w:pPr>
              <w:pStyle w:val="Compact"/>
            </w:pPr>
            <w:r>
              <w:t xml:space="preserve">0.060</w:t>
            </w:r>
          </w:p>
        </w:tc>
      </w:tr>
      <w:tr>
        <w:tc>
          <w:tcPr/>
          <w:p>
            <w:pPr>
              <w:pStyle w:val="Compact"/>
            </w:pPr>
            <w:r>
              <w:t xml:space="preserve">Total procedures</w:t>
            </w:r>
          </w:p>
        </w:tc>
        <w:tc>
          <w:tcPr/>
          <w:p>
            <w:pPr>
              <w:pStyle w:val="Compact"/>
            </w:pPr>
            <w:r>
              <w:t xml:space="preserve">URPS</w:t>
            </w:r>
          </w:p>
        </w:tc>
        <w:tc>
          <w:tcPr/>
          <w:p>
            <w:pPr>
              <w:pStyle w:val="Compact"/>
            </w:pPr>
            <w:r>
              <w:t xml:space="preserve">8749.000</w:t>
            </w:r>
          </w:p>
        </w:tc>
        <w:tc>
          <w:tcPr/>
          <w:p>
            <w:pPr>
              <w:pStyle w:val="Compact"/>
            </w:pPr>
            <w:r>
              <w:t xml:space="preserve">7802.000</w:t>
            </w:r>
          </w:p>
        </w:tc>
        <w:tc>
          <w:tcPr/>
          <w:p>
            <w:pPr>
              <w:pStyle w:val="Compact"/>
            </w:pPr>
            <w:r>
              <w:t xml:space="preserve">-176.809</w:t>
            </w:r>
          </w:p>
        </w:tc>
        <w:tc>
          <w:tcPr/>
          <w:p>
            <w:pPr>
              <w:pStyle w:val="Compact"/>
            </w:pPr>
            <w:r>
              <w:t xml:space="preserve">0.228</w:t>
            </w:r>
          </w:p>
        </w:tc>
        <w:tc>
          <w:tcPr/>
          <w:p>
            <w:pPr>
              <w:pStyle w:val="Compact"/>
            </w:pPr>
            <w:r>
              <w:t xml:space="preserve">0.140</w:t>
            </w:r>
          </w:p>
        </w:tc>
      </w:tr>
      <w:tr>
        <w:tc>
          <w:tcPr/>
          <w:p>
            <w:pPr>
              <w:pStyle w:val="Compact"/>
            </w:pPr>
            <w:r>
              <w:t xml:space="preserve">Total procedures</w:t>
            </w:r>
          </w:p>
        </w:tc>
        <w:tc>
          <w:tcPr/>
          <w:p>
            <w:pPr>
              <w:pStyle w:val="Compact"/>
            </w:pPr>
            <w:r>
              <w:t xml:space="preserve">Urology</w:t>
            </w:r>
          </w:p>
        </w:tc>
        <w:tc>
          <w:tcPr/>
          <w:p>
            <w:pPr>
              <w:pStyle w:val="Compact"/>
            </w:pPr>
            <w:r>
              <w:t xml:space="preserve">5035.000</w:t>
            </w:r>
          </w:p>
        </w:tc>
        <w:tc>
          <w:tcPr/>
          <w:p>
            <w:pPr>
              <w:pStyle w:val="Compact"/>
            </w:pPr>
            <w:r>
              <w:t xml:space="preserve">2822.000</w:t>
            </w:r>
          </w:p>
        </w:tc>
        <w:tc>
          <w:tcPr/>
          <w:p>
            <w:pPr>
              <w:pStyle w:val="Compact"/>
            </w:pPr>
            <w:r>
              <w:t xml:space="preserve">-202.591</w:t>
            </w:r>
          </w:p>
        </w:tc>
        <w:tc>
          <w:tcPr/>
          <w:p>
            <w:pPr>
              <w:pStyle w:val="Compact"/>
            </w:pPr>
            <w:r>
              <w:t xml:space="preserve">0.607</w:t>
            </w:r>
          </w:p>
        </w:tc>
        <w:tc>
          <w:tcPr/>
          <w:p>
            <w:pPr>
              <w:pStyle w:val="Compact"/>
            </w:pPr>
            <w:r>
              <w:t xml:space="preserve">0.005</w:t>
            </w:r>
          </w:p>
        </w:tc>
      </w:tr>
      <w:tr>
        <w:tc>
          <w:tcPr/>
          <w:p>
            <w:pPr>
              <w:pStyle w:val="Compact"/>
            </w:pPr>
            <w:r>
              <w:t xml:space="preserve">Observable surgeons</w:t>
            </w:r>
          </w:p>
        </w:tc>
        <w:tc>
          <w:tcPr/>
          <w:p>
            <w:pPr>
              <w:pStyle w:val="Compact"/>
            </w:pPr>
            <w:r>
              <w:t xml:space="preserve">All</w:t>
            </w:r>
          </w:p>
        </w:tc>
        <w:tc>
          <w:tcPr/>
          <w:p>
            <w:pPr>
              <w:pStyle w:val="Compact"/>
            </w:pPr>
            <w:r>
              <w:t xml:space="preserve">812.000</w:t>
            </w:r>
          </w:p>
        </w:tc>
        <w:tc>
          <w:tcPr/>
          <w:p>
            <w:pPr>
              <w:pStyle w:val="Compact"/>
            </w:pPr>
            <w:r>
              <w:t xml:space="preserve">562.000</w:t>
            </w:r>
          </w:p>
        </w:tc>
        <w:tc>
          <w:tcPr/>
          <w:p>
            <w:pPr>
              <w:pStyle w:val="Compact"/>
            </w:pPr>
            <w:r>
              <w:t xml:space="preserve">-26.636</w:t>
            </w:r>
          </w:p>
        </w:tc>
        <w:tc>
          <w:tcPr/>
          <w:p>
            <w:pPr>
              <w:pStyle w:val="Compact"/>
            </w:pPr>
            <w:r>
              <w:t xml:space="preserve">0.609</w:t>
            </w:r>
          </w:p>
        </w:tc>
        <w:tc>
          <w:tcPr/>
          <w:p>
            <w:pPr>
              <w:pStyle w:val="Compact"/>
            </w:pPr>
            <w:r>
              <w:t xml:space="preserve">0.005</w:t>
            </w:r>
          </w:p>
        </w:tc>
      </w:tr>
      <w:tr>
        <w:tc>
          <w:tcPr/>
          <w:p>
            <w:pPr>
              <w:pStyle w:val="Compact"/>
            </w:pPr>
            <w:r>
              <w:t xml:space="preserve">Observable surgeons</w:t>
            </w:r>
          </w:p>
        </w:tc>
        <w:tc>
          <w:tcPr/>
          <w:p>
            <w:pPr>
              <w:pStyle w:val="Compact"/>
            </w:pPr>
            <w:r>
              <w:t xml:space="preserve">General OB/GYN</w:t>
            </w:r>
          </w:p>
        </w:tc>
        <w:tc>
          <w:tcPr/>
          <w:p>
            <w:pPr>
              <w:pStyle w:val="Compact"/>
            </w:pPr>
            <w:r>
              <w:t xml:space="preserve">142.000</w:t>
            </w:r>
          </w:p>
        </w:tc>
        <w:tc>
          <w:tcPr/>
          <w:p>
            <w:pPr>
              <w:pStyle w:val="Compact"/>
            </w:pPr>
            <w:r>
              <w:t xml:space="preserve">76.000</w:t>
            </w:r>
          </w:p>
        </w:tc>
        <w:tc>
          <w:tcPr/>
          <w:p>
            <w:pPr>
              <w:pStyle w:val="Compact"/>
            </w:pPr>
            <w:r>
              <w:t xml:space="preserve">-6.882</w:t>
            </w:r>
          </w:p>
        </w:tc>
        <w:tc>
          <w:tcPr/>
          <w:p>
            <w:pPr>
              <w:pStyle w:val="Compact"/>
            </w:pPr>
            <w:r>
              <w:t xml:space="preserve">0.721</w:t>
            </w:r>
          </w:p>
        </w:tc>
        <w:tc>
          <w:tcPr/>
          <w:p>
            <w:pPr>
              <w:pStyle w:val="Compact"/>
            </w:pPr>
            <w:r>
              <w:t xml:space="preserve">n/a</w:t>
            </w:r>
          </w:p>
        </w:tc>
      </w:tr>
      <w:tr>
        <w:tc>
          <w:tcPr/>
          <w:p>
            <w:pPr>
              <w:pStyle w:val="Compact"/>
            </w:pPr>
            <w:r>
              <w:t xml:space="preserve">Observable surgeons</w:t>
            </w:r>
          </w:p>
        </w:tc>
        <w:tc>
          <w:tcPr/>
          <w:p>
            <w:pPr>
              <w:pStyle w:val="Compact"/>
            </w:pPr>
            <w:r>
              <w:t xml:space="preserve">MIGS</w:t>
            </w:r>
          </w:p>
        </w:tc>
        <w:tc>
          <w:tcPr/>
          <w:p>
            <w:pPr>
              <w:pStyle w:val="Compact"/>
            </w:pPr>
            <w:r>
              <w:t xml:space="preserve">3.000</w:t>
            </w:r>
          </w:p>
        </w:tc>
        <w:tc>
          <w:tcPr/>
          <w:p>
            <w:pPr>
              <w:pStyle w:val="Compact"/>
            </w:pPr>
            <w:r>
              <w:t xml:space="preserve">4.000</w:t>
            </w:r>
          </w:p>
        </w:tc>
        <w:tc>
          <w:tcPr/>
          <w:p>
            <w:pPr>
              <w:pStyle w:val="Compact"/>
            </w:pPr>
            <w:r>
              <w:t xml:space="preserve">-0.027</w:t>
            </w:r>
          </w:p>
        </w:tc>
        <w:tc>
          <w:tcPr/>
          <w:p>
            <w:pPr>
              <w:pStyle w:val="Compact"/>
            </w:pPr>
            <w:r>
              <w:t xml:space="preserve">0.009</w:t>
            </w:r>
          </w:p>
        </w:tc>
        <w:tc>
          <w:tcPr/>
          <w:p>
            <w:pPr>
              <w:pStyle w:val="Compact"/>
            </w:pPr>
            <w:r>
              <w:t xml:space="preserve">0.780</w:t>
            </w:r>
          </w:p>
        </w:tc>
      </w:tr>
      <w:tr>
        <w:tc>
          <w:tcPr/>
          <w:p>
            <w:pPr>
              <w:pStyle w:val="Compact"/>
            </w:pPr>
            <w:r>
              <w:t xml:space="preserve">Observable surgeons</w:t>
            </w:r>
          </w:p>
        </w:tc>
        <w:tc>
          <w:tcPr/>
          <w:p>
            <w:pPr>
              <w:pStyle w:val="Compact"/>
            </w:pPr>
            <w:r>
              <w:t xml:space="preserve">URPS</w:t>
            </w:r>
          </w:p>
        </w:tc>
        <w:tc>
          <w:tcPr/>
          <w:p>
            <w:pPr>
              <w:pStyle w:val="Compact"/>
            </w:pPr>
            <w:r>
              <w:t xml:space="preserve">385.000</w:t>
            </w:r>
          </w:p>
        </w:tc>
        <w:tc>
          <w:tcPr/>
          <w:p>
            <w:pPr>
              <w:pStyle w:val="Compact"/>
            </w:pPr>
            <w:r>
              <w:t xml:space="preserve">338.000</w:t>
            </w:r>
          </w:p>
        </w:tc>
        <w:tc>
          <w:tcPr/>
          <w:p>
            <w:pPr>
              <w:pStyle w:val="Compact"/>
            </w:pPr>
            <w:r>
              <w:t xml:space="preserve">-6.918</w:t>
            </w:r>
          </w:p>
        </w:tc>
        <w:tc>
          <w:tcPr/>
          <w:p>
            <w:pPr>
              <w:pStyle w:val="Compact"/>
            </w:pPr>
            <w:r>
              <w:t xml:space="preserve">0.279</w:t>
            </w:r>
          </w:p>
        </w:tc>
        <w:tc>
          <w:tcPr/>
          <w:p>
            <w:pPr>
              <w:pStyle w:val="Compact"/>
            </w:pPr>
            <w:r>
              <w:t xml:space="preserve">0.100</w:t>
            </w:r>
          </w:p>
        </w:tc>
      </w:tr>
      <w:tr>
        <w:tc>
          <w:tcPr/>
          <w:p>
            <w:pPr>
              <w:pStyle w:val="Compact"/>
            </w:pPr>
            <w:r>
              <w:t xml:space="preserve">Observable surgeons</w:t>
            </w:r>
          </w:p>
        </w:tc>
        <w:tc>
          <w:tcPr/>
          <w:p>
            <w:pPr>
              <w:pStyle w:val="Compact"/>
            </w:pPr>
            <w:r>
              <w:t xml:space="preserve">Urology</w:t>
            </w:r>
          </w:p>
        </w:tc>
        <w:tc>
          <w:tcPr/>
          <w:p>
            <w:pPr>
              <w:pStyle w:val="Compact"/>
            </w:pPr>
            <w:r>
              <w:t xml:space="preserve">282.000</w:t>
            </w:r>
          </w:p>
        </w:tc>
        <w:tc>
          <w:tcPr/>
          <w:p>
            <w:pPr>
              <w:pStyle w:val="Compact"/>
            </w:pPr>
            <w:r>
              <w:t xml:space="preserve">144.000</w:t>
            </w:r>
          </w:p>
        </w:tc>
        <w:tc>
          <w:tcPr/>
          <w:p>
            <w:pPr>
              <w:pStyle w:val="Compact"/>
            </w:pPr>
            <w:r>
              <w:t xml:space="preserve">-12.809</w:t>
            </w:r>
          </w:p>
        </w:tc>
        <w:tc>
          <w:tcPr/>
          <w:p>
            <w:pPr>
              <w:pStyle w:val="Compact"/>
            </w:pPr>
            <w:r>
              <w:t xml:space="preserve">0.724</w:t>
            </w:r>
          </w:p>
        </w:tc>
        <w:tc>
          <w:tcPr/>
          <w:p>
            <w:pPr>
              <w:pStyle w:val="Compact"/>
            </w:pPr>
            <w:r>
              <w:t xml:space="preserve">n/a</w:t>
            </w:r>
          </w:p>
        </w:tc>
      </w:tr>
      <w:tr>
        <w:tc>
          <w:tcPr/>
          <w:p>
            <w:pPr>
              <w:pStyle w:val="Compact"/>
            </w:pPr>
            <w:r>
              <w:t xml:space="preserve">Median annual volume</w:t>
            </w:r>
          </w:p>
        </w:tc>
        <w:tc>
          <w:tcPr/>
          <w:p>
            <w:pPr>
              <w:pStyle w:val="Compact"/>
            </w:pPr>
            <w:r>
              <w:t xml:space="preserve">All</w:t>
            </w:r>
          </w:p>
        </w:tc>
        <w:tc>
          <w:tcPr/>
          <w:p>
            <w:pPr>
              <w:pStyle w:val="Compact"/>
            </w:pPr>
            <w:r>
              <w:t xml:space="preserve">16.000</w:t>
            </w:r>
          </w:p>
        </w:tc>
        <w:tc>
          <w:tcPr/>
          <w:p>
            <w:pPr>
              <w:pStyle w:val="Compact"/>
            </w:pPr>
            <w:r>
              <w:t xml:space="preserve">18.000</w:t>
            </w:r>
          </w:p>
        </w:tc>
        <w:tc>
          <w:tcPr/>
          <w:p>
            <w:pPr>
              <w:pStyle w:val="Compact"/>
            </w:pPr>
            <w:r>
              <w:t xml:space="preserve">0.105</w:t>
            </w:r>
          </w:p>
        </w:tc>
        <w:tc>
          <w:tcPr/>
          <w:p>
            <w:pPr>
              <w:pStyle w:val="Compact"/>
            </w:pPr>
            <w:r>
              <w:t xml:space="preserve">0.168</w:t>
            </w:r>
          </w:p>
        </w:tc>
        <w:tc>
          <w:tcPr/>
          <w:p>
            <w:pPr>
              <w:pStyle w:val="Compact"/>
            </w:pPr>
            <w:r>
              <w:t xml:space="preserve">0.210</w:t>
            </w:r>
          </w:p>
        </w:tc>
      </w:tr>
      <w:tr>
        <w:tc>
          <w:tcPr/>
          <w:p>
            <w:pPr>
              <w:pStyle w:val="Compact"/>
            </w:pPr>
            <w:r>
              <w:t xml:space="preserve">Median annual volume</w:t>
            </w:r>
          </w:p>
        </w:tc>
        <w:tc>
          <w:tcPr/>
          <w:p>
            <w:pPr>
              <w:pStyle w:val="Compact"/>
            </w:pPr>
            <w:r>
              <w:t xml:space="preserve">General OB/GYN</w:t>
            </w:r>
          </w:p>
        </w:tc>
        <w:tc>
          <w:tcPr/>
          <w:p>
            <w:pPr>
              <w:pStyle w:val="Compact"/>
            </w:pPr>
            <w:r>
              <w:t xml:space="preserve">14.000</w:t>
            </w:r>
          </w:p>
        </w:tc>
        <w:tc>
          <w:tcPr/>
          <w:p>
            <w:pPr>
              <w:pStyle w:val="Compact"/>
            </w:pPr>
            <w:r>
              <w:t xml:space="preserve">16.000</w:t>
            </w:r>
          </w:p>
        </w:tc>
        <w:tc>
          <w:tcPr/>
          <w:p>
            <w:pPr>
              <w:pStyle w:val="Compact"/>
            </w:pPr>
            <w:r>
              <w:t xml:space="preserve">0.136</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MIGS</w:t>
            </w:r>
          </w:p>
        </w:tc>
        <w:tc>
          <w:tcPr/>
          <w:p>
            <w:pPr>
              <w:pStyle w:val="Compact"/>
            </w:pPr>
            <w:r>
              <w:t xml:space="preserve">12.000</w:t>
            </w:r>
          </w:p>
        </w:tc>
        <w:tc>
          <w:tcPr/>
          <w:p>
            <w:pPr>
              <w:pStyle w:val="Compact"/>
            </w:pPr>
            <w:r>
              <w:t xml:space="preserve">14.000</w:t>
            </w:r>
          </w:p>
        </w:tc>
        <w:tc>
          <w:tcPr/>
          <w:p>
            <w:pPr>
              <w:pStyle w:val="Compact"/>
            </w:pPr>
            <w:r>
              <w:t xml:space="preserve">0.973</w:t>
            </w:r>
          </w:p>
        </w:tc>
        <w:tc>
          <w:tcPr/>
          <w:p>
            <w:pPr>
              <w:pStyle w:val="Compact"/>
            </w:pPr>
            <w:r>
              <w:t xml:space="preserve">0.148</w:t>
            </w:r>
          </w:p>
        </w:tc>
        <w:tc>
          <w:tcPr/>
          <w:p>
            <w:pPr>
              <w:pStyle w:val="Compact"/>
            </w:pPr>
            <w:r>
              <w:t xml:space="preserve">0.240</w:t>
            </w:r>
          </w:p>
        </w:tc>
      </w:tr>
      <w:tr>
        <w:tc>
          <w:tcPr/>
          <w:p>
            <w:pPr>
              <w:pStyle w:val="Compact"/>
            </w:pPr>
            <w:r>
              <w:t xml:space="preserve">Median annual volume</w:t>
            </w:r>
          </w:p>
        </w:tc>
        <w:tc>
          <w:tcPr/>
          <w:p>
            <w:pPr>
              <w:pStyle w:val="Compact"/>
            </w:pPr>
            <w:r>
              <w:t xml:space="preserve">URPS</w:t>
            </w:r>
          </w:p>
        </w:tc>
        <w:tc>
          <w:tcPr/>
          <w:p>
            <w:pPr>
              <w:pStyle w:val="Compact"/>
            </w:pPr>
            <w:r>
              <w:t xml:space="preserve">19.000</w:t>
            </w:r>
          </w:p>
        </w:tc>
        <w:tc>
          <w:tcPr/>
          <w:p>
            <w:pPr>
              <w:pStyle w:val="Compact"/>
            </w:pPr>
            <w:r>
              <w:t xml:space="preserve">19.000</w:t>
            </w:r>
          </w:p>
        </w:tc>
        <w:tc>
          <w:tcPr/>
          <w:p>
            <w:pPr>
              <w:pStyle w:val="Compact"/>
            </w:pPr>
            <w:r>
              <w:t xml:space="preserve">-0.045</w:t>
            </w:r>
          </w:p>
        </w:tc>
        <w:tc>
          <w:tcPr/>
          <w:p>
            <w:pPr>
              <w:pStyle w:val="Compact"/>
            </w:pPr>
            <w:r>
              <w:t xml:space="preserve">0.040</w:t>
            </w:r>
          </w:p>
        </w:tc>
        <w:tc>
          <w:tcPr/>
          <w:p>
            <w:pPr>
              <w:pStyle w:val="Compact"/>
            </w:pPr>
            <w:r>
              <w:t xml:space="preserve">0.550</w:t>
            </w:r>
          </w:p>
        </w:tc>
      </w:tr>
      <w:tr>
        <w:tc>
          <w:tcPr/>
          <w:p>
            <w:pPr>
              <w:pStyle w:val="Compact"/>
            </w:pPr>
            <w:r>
              <w:t xml:space="preserve">Median annual volume</w:t>
            </w:r>
          </w:p>
        </w:tc>
        <w:tc>
          <w:tcPr/>
          <w:p>
            <w:pPr>
              <w:pStyle w:val="Compact"/>
            </w:pPr>
            <w:r>
              <w:t xml:space="preserve">Urology</w:t>
            </w:r>
          </w:p>
        </w:tc>
        <w:tc>
          <w:tcPr/>
          <w:p>
            <w:pPr>
              <w:pStyle w:val="Compact"/>
            </w:pPr>
            <w:r>
              <w:t xml:space="preserve">15.000</w:t>
            </w:r>
          </w:p>
        </w:tc>
        <w:tc>
          <w:tcPr/>
          <w:p>
            <w:pPr>
              <w:pStyle w:val="Compact"/>
            </w:pPr>
            <w:r>
              <w:t xml:space="preserve">16.000</w:t>
            </w:r>
          </w:p>
        </w:tc>
        <w:tc>
          <w:tcPr/>
          <w:p>
            <w:pPr>
              <w:pStyle w:val="Compact"/>
            </w:pPr>
            <w:r>
              <w:t xml:space="preserve">0.123</w:t>
            </w:r>
          </w:p>
        </w:tc>
        <w:tc>
          <w:tcPr/>
          <w:p>
            <w:pPr>
              <w:pStyle w:val="Compact"/>
            </w:pPr>
            <w:r>
              <w:t xml:space="preserve">0.354</w:t>
            </w:r>
          </w:p>
        </w:tc>
        <w:tc>
          <w:tcPr/>
          <w:p>
            <w:pPr>
              <w:pStyle w:val="Compact"/>
            </w:pPr>
            <w:r>
              <w:t xml:space="preserve">0.050</w:t>
            </w:r>
          </w:p>
        </w:tc>
      </w:tr>
      <w:tr>
        <w:tc>
          <w:tcPr/>
          <w:p>
            <w:pPr>
              <w:pStyle w:val="Compact"/>
            </w:pPr>
            <w:r>
              <w:t xml:space="preserve">Gini coefficient</w:t>
            </w:r>
          </w:p>
        </w:tc>
        <w:tc>
          <w:tcPr/>
          <w:p>
            <w:pPr>
              <w:pStyle w:val="Compact"/>
            </w:pPr>
            <w:r>
              <w:t xml:space="preserve">All</w:t>
            </w:r>
          </w:p>
        </w:tc>
        <w:tc>
          <w:tcPr/>
          <w:p>
            <w:pPr>
              <w:pStyle w:val="Compact"/>
            </w:pPr>
            <w:r>
              <w:t xml:space="preserve">0.272</w:t>
            </w:r>
          </w:p>
        </w:tc>
        <w:tc>
          <w:tcPr/>
          <w:p>
            <w:pPr>
              <w:pStyle w:val="Compact"/>
            </w:pPr>
            <w:r>
              <w:t xml:space="preserve">0.268</w:t>
            </w:r>
          </w:p>
        </w:tc>
        <w:tc>
          <w:tcPr/>
          <w:p>
            <w:pPr>
              <w:pStyle w:val="Compact"/>
            </w:pPr>
            <w:r>
              <w:t xml:space="preserve">0.000</w:t>
            </w:r>
          </w:p>
        </w:tc>
        <w:tc>
          <w:tcPr/>
          <w:p>
            <w:pPr>
              <w:pStyle w:val="Compact"/>
            </w:pPr>
            <w:r>
              <w:t xml:space="preserve">0.014</w:t>
            </w:r>
          </w:p>
        </w:tc>
        <w:tc>
          <w:tcPr/>
          <w:p>
            <w:pPr>
              <w:pStyle w:val="Compact"/>
            </w:pPr>
            <w:r>
              <w:t xml:space="preserve">0.730</w:t>
            </w:r>
          </w:p>
        </w:tc>
      </w:tr>
      <w:tr>
        <w:tc>
          <w:tcPr/>
          <w:p>
            <w:pPr>
              <w:pStyle w:val="Compact"/>
            </w:pPr>
            <w:r>
              <w:t xml:space="preserve">Gini coefficient</w:t>
            </w:r>
          </w:p>
        </w:tc>
        <w:tc>
          <w:tcPr/>
          <w:p>
            <w:pPr>
              <w:pStyle w:val="Compact"/>
            </w:pPr>
            <w:r>
              <w:t xml:space="preserve">General OB/GYN</w:t>
            </w:r>
          </w:p>
        </w:tc>
        <w:tc>
          <w:tcPr/>
          <w:p>
            <w:pPr>
              <w:pStyle w:val="Compact"/>
            </w:pPr>
            <w:r>
              <w:t xml:space="preserve">0.257</w:t>
            </w:r>
          </w:p>
        </w:tc>
        <w:tc>
          <w:tcPr/>
          <w:p>
            <w:pPr>
              <w:pStyle w:val="Compact"/>
            </w:pPr>
            <w:r>
              <w:t xml:space="preserve">0.248</w:t>
            </w:r>
          </w:p>
        </w:tc>
        <w:tc>
          <w:tcPr/>
          <w:p>
            <w:pPr>
              <w:pStyle w:val="Compact"/>
            </w:pPr>
            <w:r>
              <w:t xml:space="preserve">0.001</w:t>
            </w:r>
          </w:p>
        </w:tc>
        <w:tc>
          <w:tcPr/>
          <w:p>
            <w:pPr>
              <w:pStyle w:val="Compact"/>
            </w:pPr>
            <w:r>
              <w:t xml:space="preserve">0.064</w:t>
            </w:r>
          </w:p>
        </w:tc>
        <w:tc>
          <w:tcPr/>
          <w:p>
            <w:pPr>
              <w:pStyle w:val="Compact"/>
            </w:pPr>
            <w:r>
              <w:t xml:space="preserve">0.450</w:t>
            </w:r>
          </w:p>
        </w:tc>
      </w:tr>
      <w:tr>
        <w:tc>
          <w:tcPr/>
          <w:p>
            <w:pPr>
              <w:pStyle w:val="Compact"/>
            </w:pPr>
            <w:r>
              <w:t xml:space="preserve">Gini coefficient</w:t>
            </w:r>
          </w:p>
        </w:tc>
        <w:tc>
          <w:tcPr/>
          <w:p>
            <w:pPr>
              <w:pStyle w:val="Compact"/>
            </w:pPr>
            <w:r>
              <w:t xml:space="preserve">MIGS</w:t>
            </w:r>
          </w:p>
        </w:tc>
        <w:tc>
          <w:tcPr/>
          <w:p>
            <w:pPr>
              <w:pStyle w:val="Compact"/>
            </w:pPr>
            <w:r>
              <w:t xml:space="preserve">0.019</w:t>
            </w:r>
          </w:p>
        </w:tc>
        <w:tc>
          <w:tcPr/>
          <w:p>
            <w:pPr>
              <w:pStyle w:val="Compact"/>
            </w:pPr>
            <w:r>
              <w:t xml:space="preserve">0.381</w:t>
            </w:r>
          </w:p>
        </w:tc>
        <w:tc>
          <w:tcPr/>
          <w:p>
            <w:pPr>
              <w:pStyle w:val="Compact"/>
            </w:pPr>
            <w:r>
              <w:t xml:space="preserve">0.032</w:t>
            </w:r>
          </w:p>
        </w:tc>
        <w:tc>
          <w:tcPr/>
          <w:p>
            <w:pPr>
              <w:pStyle w:val="Compact"/>
            </w:pPr>
            <w:r>
              <w:t xml:space="preserve">0.692</w:t>
            </w:r>
          </w:p>
        </w:tc>
        <w:tc>
          <w:tcPr/>
          <w:p>
            <w:pPr>
              <w:pStyle w:val="Compact"/>
            </w:pPr>
            <w:r>
              <w:t xml:space="preserve">0.002</w:t>
            </w:r>
          </w:p>
        </w:tc>
      </w:tr>
      <w:tr>
        <w:tc>
          <w:tcPr/>
          <w:p>
            <w:pPr>
              <w:pStyle w:val="Compact"/>
            </w:pPr>
            <w:r>
              <w:t xml:space="preserve">Gini coefficient</w:t>
            </w:r>
          </w:p>
        </w:tc>
        <w:tc>
          <w:tcPr/>
          <w:p>
            <w:pPr>
              <w:pStyle w:val="Compact"/>
            </w:pPr>
            <w:r>
              <w:t xml:space="preserve">URPS</w:t>
            </w:r>
          </w:p>
        </w:tc>
        <w:tc>
          <w:tcPr/>
          <w:p>
            <w:pPr>
              <w:pStyle w:val="Compact"/>
            </w:pPr>
            <w:r>
              <w:t xml:space="preserve">0.283</w:t>
            </w:r>
          </w:p>
        </w:tc>
        <w:tc>
          <w:tcPr/>
          <w:p>
            <w:pPr>
              <w:pStyle w:val="Compact"/>
            </w:pPr>
            <w:r>
              <w:t xml:space="preserve">0.272</w:t>
            </w:r>
          </w:p>
        </w:tc>
        <w:tc>
          <w:tcPr/>
          <w:p>
            <w:pPr>
              <w:pStyle w:val="Compact"/>
            </w:pPr>
            <w:r>
              <w:t xml:space="preserve">-0.001</w:t>
            </w:r>
          </w:p>
        </w:tc>
        <w:tc>
          <w:tcPr/>
          <w:p>
            <w:pPr>
              <w:pStyle w:val="Compact"/>
            </w:pPr>
            <w:r>
              <w:t xml:space="preserve">0.201</w:t>
            </w:r>
          </w:p>
        </w:tc>
        <w:tc>
          <w:tcPr/>
          <w:p>
            <w:pPr>
              <w:pStyle w:val="Compact"/>
            </w:pPr>
            <w:r>
              <w:t xml:space="preserve">0.170</w:t>
            </w:r>
          </w:p>
        </w:tc>
      </w:tr>
      <w:tr>
        <w:tc>
          <w:tcPr/>
          <w:p>
            <w:pPr>
              <w:pStyle w:val="Compact"/>
            </w:pPr>
            <w:r>
              <w:t xml:space="preserve">Gini coefficient</w:t>
            </w:r>
          </w:p>
        </w:tc>
        <w:tc>
          <w:tcPr/>
          <w:p>
            <w:pPr>
              <w:pStyle w:val="Compact"/>
            </w:pPr>
            <w:r>
              <w:t xml:space="preserve">Urology</w:t>
            </w:r>
          </w:p>
        </w:tc>
        <w:tc>
          <w:tcPr/>
          <w:p>
            <w:pPr>
              <w:pStyle w:val="Compact"/>
            </w:pPr>
            <w:r>
              <w:t xml:space="preserve">0.235</w:t>
            </w:r>
          </w:p>
        </w:tc>
        <w:tc>
          <w:tcPr/>
          <w:p>
            <w:pPr>
              <w:pStyle w:val="Compact"/>
            </w:pPr>
            <w:r>
              <w:t xml:space="preserve">0.248</w:t>
            </w:r>
          </w:p>
        </w:tc>
        <w:tc>
          <w:tcPr/>
          <w:p>
            <w:pPr>
              <w:pStyle w:val="Compact"/>
            </w:pPr>
            <w:r>
              <w:t xml:space="preserve">0.001</w:t>
            </w:r>
          </w:p>
        </w:tc>
        <w:tc>
          <w:tcPr/>
          <w:p>
            <w:pPr>
              <w:pStyle w:val="Compact"/>
            </w:pPr>
            <w:r>
              <w:t xml:space="preserve">0.081</w:t>
            </w:r>
          </w:p>
        </w:tc>
        <w:tc>
          <w:tcPr/>
          <w:p>
            <w:pPr>
              <w:pStyle w:val="Compact"/>
            </w:pPr>
            <w:r>
              <w:t xml:space="preserve">0.400</w:t>
            </w:r>
          </w:p>
        </w:tc>
      </w:tr>
      <w:tr>
        <w:tc>
          <w:tcPr/>
          <w:p>
            <w:pPr>
              <w:pStyle w:val="Compact"/>
            </w:pPr>
            <w:r>
              <w:t xml:space="preserve">HHI (0–10,000)</w:t>
            </w:r>
          </w:p>
        </w:tc>
        <w:tc>
          <w:tcPr/>
          <w:p>
            <w:pPr>
              <w:pStyle w:val="Compact"/>
            </w:pPr>
            <w:r>
              <w:t xml:space="preserve">All</w:t>
            </w:r>
          </w:p>
        </w:tc>
        <w:tc>
          <w:tcPr/>
          <w:p>
            <w:pPr>
              <w:pStyle w:val="Compact"/>
            </w:pPr>
            <w:r>
              <w:t xml:space="preserve">16.564</w:t>
            </w:r>
          </w:p>
        </w:tc>
        <w:tc>
          <w:tcPr/>
          <w:p>
            <w:pPr>
              <w:pStyle w:val="Compact"/>
            </w:pPr>
            <w:r>
              <w:t xml:space="preserve">23.057</w:t>
            </w:r>
          </w:p>
        </w:tc>
        <w:tc>
          <w:tcPr/>
          <w:p>
            <w:pPr>
              <w:pStyle w:val="Compact"/>
            </w:pPr>
            <w:r>
              <w:t xml:space="preserve">0.876</w:t>
            </w:r>
          </w:p>
        </w:tc>
        <w:tc>
          <w:tcPr/>
          <w:p>
            <w:pPr>
              <w:pStyle w:val="Compact"/>
            </w:pPr>
            <w:r>
              <w:t xml:space="preserve">0.530</w:t>
            </w:r>
          </w:p>
        </w:tc>
        <w:tc>
          <w:tcPr/>
          <w:p>
            <w:pPr>
              <w:pStyle w:val="Compact"/>
            </w:pPr>
            <w:r>
              <w:t xml:space="preserve">0.010</w:t>
            </w:r>
          </w:p>
        </w:tc>
      </w:tr>
      <w:tr>
        <w:tc>
          <w:tcPr/>
          <w:p>
            <w:pPr>
              <w:pStyle w:val="Compact"/>
            </w:pPr>
            <w:r>
              <w:t xml:space="preserve">HHI (0–10,000)</w:t>
            </w:r>
          </w:p>
        </w:tc>
        <w:tc>
          <w:tcPr/>
          <w:p>
            <w:pPr>
              <w:pStyle w:val="Compact"/>
            </w:pPr>
            <w:r>
              <w:t xml:space="preserve">General OB/GYN</w:t>
            </w:r>
          </w:p>
        </w:tc>
        <w:tc>
          <w:tcPr/>
          <w:p>
            <w:pPr>
              <w:pStyle w:val="Compact"/>
            </w:pPr>
            <w:r>
              <w:t xml:space="preserve">93.149</w:t>
            </w:r>
          </w:p>
        </w:tc>
        <w:tc>
          <w:tcPr/>
          <w:p>
            <w:pPr>
              <w:pStyle w:val="Compact"/>
            </w:pPr>
            <w:r>
              <w:t xml:space="preserve">163.902</w:t>
            </w:r>
          </w:p>
        </w:tc>
        <w:tc>
          <w:tcPr/>
          <w:p>
            <w:pPr>
              <w:pStyle w:val="Compact"/>
            </w:pPr>
            <w:r>
              <w:t xml:space="preserve">12.294</w:t>
            </w:r>
          </w:p>
        </w:tc>
        <w:tc>
          <w:tcPr/>
          <w:p>
            <w:pPr>
              <w:pStyle w:val="Compact"/>
            </w:pPr>
            <w:r>
              <w:t xml:space="preserve">0.553</w:t>
            </w:r>
          </w:p>
        </w:tc>
        <w:tc>
          <w:tcPr/>
          <w:p>
            <w:pPr>
              <w:pStyle w:val="Compact"/>
            </w:pPr>
            <w:r>
              <w:t xml:space="preserve">0.009</w:t>
            </w:r>
          </w:p>
        </w:tc>
      </w:tr>
      <w:tr>
        <w:tc>
          <w:tcPr/>
          <w:p>
            <w:pPr>
              <w:pStyle w:val="Compact"/>
            </w:pPr>
            <w:r>
              <w:t xml:space="preserve">HHI (0–10,000)</w:t>
            </w:r>
          </w:p>
        </w:tc>
        <w:tc>
          <w:tcPr/>
          <w:p>
            <w:pPr>
              <w:pStyle w:val="Compact"/>
            </w:pPr>
            <w:r>
              <w:t xml:space="preserve">MIGS</w:t>
            </w:r>
          </w:p>
        </w:tc>
        <w:tc>
          <w:tcPr/>
          <w:p>
            <w:pPr>
              <w:pStyle w:val="Compact"/>
            </w:pPr>
            <w:r>
              <w:t xml:space="preserve">3338.776</w:t>
            </w:r>
          </w:p>
        </w:tc>
        <w:tc>
          <w:tcPr/>
          <w:p>
            <w:pPr>
              <w:pStyle w:val="Compact"/>
            </w:pPr>
            <w:r>
              <w:t xml:space="preserve">4204.673</w:t>
            </w:r>
          </w:p>
        </w:tc>
        <w:tc>
          <w:tcPr/>
          <w:p>
            <w:pPr>
              <w:pStyle w:val="Compact"/>
            </w:pPr>
            <w:r>
              <w:t xml:space="preserve">206.443</w:t>
            </w:r>
          </w:p>
        </w:tc>
        <w:tc>
          <w:tcPr/>
          <w:p>
            <w:pPr>
              <w:pStyle w:val="Compact"/>
            </w:pPr>
            <w:r>
              <w:t xml:space="preserve">0.379</w:t>
            </w:r>
          </w:p>
        </w:tc>
        <w:tc>
          <w:tcPr/>
          <w:p>
            <w:pPr>
              <w:pStyle w:val="Compact"/>
            </w:pPr>
            <w:r>
              <w:t xml:space="preserve">0.040</w:t>
            </w:r>
          </w:p>
        </w:tc>
      </w:tr>
      <w:tr>
        <w:tc>
          <w:tcPr/>
          <w:p>
            <w:pPr>
              <w:pStyle w:val="Compact"/>
            </w:pPr>
            <w:r>
              <w:t xml:space="preserve">HHI (0–10,000)</w:t>
            </w:r>
          </w:p>
        </w:tc>
        <w:tc>
          <w:tcPr/>
          <w:p>
            <w:pPr>
              <w:pStyle w:val="Compact"/>
            </w:pPr>
            <w:r>
              <w:t xml:space="preserve">URPS</w:t>
            </w:r>
          </w:p>
        </w:tc>
        <w:tc>
          <w:tcPr/>
          <w:p>
            <w:pPr>
              <w:pStyle w:val="Compact"/>
            </w:pPr>
            <w:r>
              <w:t xml:space="preserve">34.768</w:t>
            </w:r>
          </w:p>
        </w:tc>
        <w:tc>
          <w:tcPr/>
          <w:p>
            <w:pPr>
              <w:pStyle w:val="Compact"/>
            </w:pPr>
            <w:r>
              <w:t xml:space="preserve">38.253</w:t>
            </w:r>
          </w:p>
        </w:tc>
        <w:tc>
          <w:tcPr/>
          <w:p>
            <w:pPr>
              <w:pStyle w:val="Compact"/>
            </w:pPr>
            <w:r>
              <w:t xml:space="preserve">0.722</w:t>
            </w:r>
          </w:p>
        </w:tc>
        <w:tc>
          <w:tcPr/>
          <w:p>
            <w:pPr>
              <w:pStyle w:val="Compact"/>
            </w:pPr>
            <w:r>
              <w:t xml:space="preserve">0.257</w:t>
            </w:r>
          </w:p>
        </w:tc>
        <w:tc>
          <w:tcPr/>
          <w:p>
            <w:pPr>
              <w:pStyle w:val="Compact"/>
            </w:pPr>
            <w:r>
              <w:t xml:space="preserve">0.110</w:t>
            </w:r>
          </w:p>
        </w:tc>
      </w:tr>
      <w:tr>
        <w:tc>
          <w:tcPr/>
          <w:p>
            <w:pPr>
              <w:pStyle w:val="Compact"/>
            </w:pPr>
            <w:r>
              <w:t xml:space="preserve">HHI (0–10,000)</w:t>
            </w:r>
          </w:p>
        </w:tc>
        <w:tc>
          <w:tcPr/>
          <w:p>
            <w:pPr>
              <w:pStyle w:val="Compact"/>
            </w:pPr>
            <w:r>
              <w:t xml:space="preserve">Urology</w:t>
            </w:r>
          </w:p>
        </w:tc>
        <w:tc>
          <w:tcPr/>
          <w:p>
            <w:pPr>
              <w:pStyle w:val="Compact"/>
            </w:pPr>
            <w:r>
              <w:t xml:space="preserve">46.113</w:t>
            </w:r>
          </w:p>
        </w:tc>
        <w:tc>
          <w:tcPr/>
          <w:p>
            <w:pPr>
              <w:pStyle w:val="Compact"/>
            </w:pPr>
            <w:r>
              <w:t xml:space="preserve">88.690</w:t>
            </w:r>
          </w:p>
        </w:tc>
        <w:tc>
          <w:tcPr/>
          <w:p>
            <w:pPr>
              <w:pStyle w:val="Compact"/>
            </w:pPr>
            <w:r>
              <w:t xml:space="preserve">4.821</w:t>
            </w:r>
          </w:p>
        </w:tc>
        <w:tc>
          <w:tcPr/>
          <w:p>
            <w:pPr>
              <w:pStyle w:val="Compact"/>
            </w:pPr>
            <w:r>
              <w:t xml:space="preserve">0.676</w:t>
            </w:r>
          </w:p>
        </w:tc>
        <w:tc>
          <w:tcPr/>
          <w:p>
            <w:pPr>
              <w:pStyle w:val="Compact"/>
            </w:pPr>
            <w:r>
              <w:t xml:space="preserve">0.002</w:t>
            </w:r>
          </w:p>
        </w:tc>
      </w:tr>
      <w:tr>
        <w:tc>
          <w:tcPr/>
          <w:p>
            <w:pPr>
              <w:pStyle w:val="Compact"/>
            </w:pPr>
            <w:r>
              <w:t xml:space="preserve">Share by top 10% (%)</w:t>
            </w:r>
          </w:p>
        </w:tc>
        <w:tc>
          <w:tcPr/>
          <w:p>
            <w:pPr>
              <w:pStyle w:val="Compact"/>
            </w:pPr>
            <w:r>
              <w:t xml:space="preserve">All</w:t>
            </w:r>
          </w:p>
        </w:tc>
        <w:tc>
          <w:tcPr/>
          <w:p>
            <w:pPr>
              <w:pStyle w:val="Compact"/>
            </w:pPr>
            <w:r>
              <w:t xml:space="preserve">24.538</w:t>
            </w:r>
          </w:p>
        </w:tc>
        <w:tc>
          <w:tcPr/>
          <w:p>
            <w:pPr>
              <w:pStyle w:val="Compact"/>
            </w:pPr>
            <w:r>
              <w:t xml:space="preserve">23.202</w:t>
            </w:r>
          </w:p>
        </w:tc>
        <w:tc>
          <w:tcPr/>
          <w:p>
            <w:pPr>
              <w:pStyle w:val="Compact"/>
            </w:pPr>
            <w:r>
              <w:t xml:space="preserve">-0.056</w:t>
            </w:r>
          </w:p>
        </w:tc>
        <w:tc>
          <w:tcPr/>
          <w:p>
            <w:pPr>
              <w:pStyle w:val="Compact"/>
            </w:pPr>
            <w:r>
              <w:t xml:space="preserve">0.123</w:t>
            </w:r>
          </w:p>
        </w:tc>
        <w:tc>
          <w:tcPr/>
          <w:p>
            <w:pPr>
              <w:pStyle w:val="Compact"/>
            </w:pPr>
            <w:r>
              <w:t xml:space="preserve">0.290</w:t>
            </w:r>
          </w:p>
        </w:tc>
      </w:tr>
      <w:tr>
        <w:tc>
          <w:tcPr/>
          <w:p>
            <w:pPr>
              <w:pStyle w:val="Compact"/>
            </w:pPr>
            <w:r>
              <w:t xml:space="preserve">Share by top 10% (%)</w:t>
            </w:r>
          </w:p>
        </w:tc>
        <w:tc>
          <w:tcPr/>
          <w:p>
            <w:pPr>
              <w:pStyle w:val="Compact"/>
            </w:pPr>
            <w:r>
              <w:t xml:space="preserve">General OB/GYN</w:t>
            </w:r>
          </w:p>
        </w:tc>
        <w:tc>
          <w:tcPr/>
          <w:p>
            <w:pPr>
              <w:pStyle w:val="Compact"/>
            </w:pPr>
            <w:r>
              <w:t xml:space="preserve">25.194</w:t>
            </w:r>
          </w:p>
        </w:tc>
        <w:tc>
          <w:tcPr/>
          <w:p>
            <w:pPr>
              <w:pStyle w:val="Compact"/>
            </w:pPr>
            <w:r>
              <w:t xml:space="preserve">22.733</w:t>
            </w:r>
          </w:p>
        </w:tc>
        <w:tc>
          <w:tcPr/>
          <w:p>
            <w:pPr>
              <w:pStyle w:val="Compact"/>
            </w:pPr>
            <w:r>
              <w:t xml:space="preserve">0.045</w:t>
            </w:r>
          </w:p>
        </w:tc>
        <w:tc>
          <w:tcPr/>
          <w:p>
            <w:pPr>
              <w:pStyle w:val="Compact"/>
            </w:pPr>
            <w:r>
              <w:t xml:space="preserve">0.016</w:t>
            </w:r>
          </w:p>
        </w:tc>
        <w:tc>
          <w:tcPr/>
          <w:p>
            <w:pPr>
              <w:pStyle w:val="Compact"/>
            </w:pPr>
            <w:r>
              <w:t xml:space="preserve">0.710</w:t>
            </w:r>
          </w:p>
        </w:tc>
      </w:tr>
      <w:tr>
        <w:tc>
          <w:tcPr/>
          <w:p>
            <w:pPr>
              <w:pStyle w:val="Compact"/>
            </w:pPr>
            <w:r>
              <w:t xml:space="preserve">Share by top 10%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10% (%)</w:t>
            </w:r>
          </w:p>
        </w:tc>
        <w:tc>
          <w:tcPr/>
          <w:p>
            <w:pPr>
              <w:pStyle w:val="Compact"/>
            </w:pPr>
            <w:r>
              <w:t xml:space="preserve">URPS</w:t>
            </w:r>
          </w:p>
        </w:tc>
        <w:tc>
          <w:tcPr/>
          <w:p>
            <w:pPr>
              <w:pStyle w:val="Compact"/>
            </w:pPr>
            <w:r>
              <w:t xml:space="preserve">24.117</w:t>
            </w:r>
          </w:p>
        </w:tc>
        <w:tc>
          <w:tcPr/>
          <w:p>
            <w:pPr>
              <w:pStyle w:val="Compact"/>
            </w:pPr>
            <w:r>
              <w:t xml:space="preserve">22.776</w:t>
            </w:r>
          </w:p>
        </w:tc>
        <w:tc>
          <w:tcPr/>
          <w:p>
            <w:pPr>
              <w:pStyle w:val="Compact"/>
            </w:pPr>
            <w:r>
              <w:t xml:space="preserve">-0.018</w:t>
            </w:r>
          </w:p>
        </w:tc>
        <w:tc>
          <w:tcPr/>
          <w:p>
            <w:pPr>
              <w:pStyle w:val="Compact"/>
            </w:pPr>
            <w:r>
              <w:t xml:space="preserve">0.011</w:t>
            </w:r>
          </w:p>
        </w:tc>
        <w:tc>
          <w:tcPr/>
          <w:p>
            <w:pPr>
              <w:pStyle w:val="Compact"/>
            </w:pPr>
            <w:r>
              <w:t xml:space="preserve">0.760</w:t>
            </w:r>
          </w:p>
        </w:tc>
      </w:tr>
      <w:tr>
        <w:tc>
          <w:tcPr/>
          <w:p>
            <w:pPr>
              <w:pStyle w:val="Compact"/>
            </w:pPr>
            <w:r>
              <w:t xml:space="preserve">Share by top 10% (%)</w:t>
            </w:r>
          </w:p>
        </w:tc>
        <w:tc>
          <w:tcPr/>
          <w:p>
            <w:pPr>
              <w:pStyle w:val="Compact"/>
            </w:pPr>
            <w:r>
              <w:t xml:space="preserve">Urology</w:t>
            </w:r>
          </w:p>
        </w:tc>
        <w:tc>
          <w:tcPr/>
          <w:p>
            <w:pPr>
              <w:pStyle w:val="Compact"/>
            </w:pPr>
            <w:r>
              <w:t xml:space="preserve">23.952</w:t>
            </w:r>
          </w:p>
        </w:tc>
        <w:tc>
          <w:tcPr/>
          <w:p>
            <w:pPr>
              <w:pStyle w:val="Compact"/>
            </w:pPr>
            <w:r>
              <w:t xml:space="preserve">22.679</w:t>
            </w:r>
          </w:p>
        </w:tc>
        <w:tc>
          <w:tcPr/>
          <w:p>
            <w:pPr>
              <w:pStyle w:val="Compact"/>
            </w:pPr>
            <w:r>
              <w:t xml:space="preserve">-0.114</w:t>
            </w:r>
          </w:p>
        </w:tc>
        <w:tc>
          <w:tcPr/>
          <w:p>
            <w:pPr>
              <w:pStyle w:val="Compact"/>
            </w:pPr>
            <w:r>
              <w:t xml:space="preserve">0.142</w:t>
            </w:r>
          </w:p>
        </w:tc>
        <w:tc>
          <w:tcPr/>
          <w:p>
            <w:pPr>
              <w:pStyle w:val="Compact"/>
            </w:pPr>
            <w:r>
              <w:t xml:space="preserve">0.250</w:t>
            </w:r>
          </w:p>
        </w:tc>
      </w:tr>
      <w:tr>
        <w:tc>
          <w:tcPr/>
          <w:p>
            <w:pPr>
              <w:pStyle w:val="Compact"/>
            </w:pPr>
            <w:r>
              <w:t xml:space="preserve">Share by top 20% (%)</w:t>
            </w:r>
          </w:p>
        </w:tc>
        <w:tc>
          <w:tcPr/>
          <w:p>
            <w:pPr>
              <w:pStyle w:val="Compact"/>
            </w:pPr>
            <w:r>
              <w:t xml:space="preserve">All</w:t>
            </w:r>
          </w:p>
        </w:tc>
        <w:tc>
          <w:tcPr/>
          <w:p>
            <w:pPr>
              <w:pStyle w:val="Compact"/>
            </w:pPr>
            <w:r>
              <w:t xml:space="preserve">39.210</w:t>
            </w:r>
          </w:p>
        </w:tc>
        <w:tc>
          <w:tcPr/>
          <w:p>
            <w:pPr>
              <w:pStyle w:val="Compact"/>
            </w:pPr>
            <w:r>
              <w:t xml:space="preserve">37.945</w:t>
            </w:r>
          </w:p>
        </w:tc>
        <w:tc>
          <w:tcPr/>
          <w:p>
            <w:pPr>
              <w:pStyle w:val="Compact"/>
            </w:pPr>
            <w:r>
              <w:t xml:space="preserve">-0.055</w:t>
            </w:r>
          </w:p>
        </w:tc>
        <w:tc>
          <w:tcPr/>
          <w:p>
            <w:pPr>
              <w:pStyle w:val="Compact"/>
            </w:pPr>
            <w:r>
              <w:t xml:space="preserve">0.092</w:t>
            </w:r>
          </w:p>
        </w:tc>
        <w:tc>
          <w:tcPr/>
          <w:p>
            <w:pPr>
              <w:pStyle w:val="Compact"/>
            </w:pPr>
            <w:r>
              <w:t xml:space="preserve">0.370</w:t>
            </w:r>
          </w:p>
        </w:tc>
      </w:tr>
      <w:tr>
        <w:tc>
          <w:tcPr/>
          <w:p>
            <w:pPr>
              <w:pStyle w:val="Compact"/>
            </w:pPr>
            <w:r>
              <w:t xml:space="preserve">Share by top 20% (%)</w:t>
            </w:r>
          </w:p>
        </w:tc>
        <w:tc>
          <w:tcPr/>
          <w:p>
            <w:pPr>
              <w:pStyle w:val="Compact"/>
            </w:pPr>
            <w:r>
              <w:t xml:space="preserve">General OB/GYN</w:t>
            </w:r>
          </w:p>
        </w:tc>
        <w:tc>
          <w:tcPr/>
          <w:p>
            <w:pPr>
              <w:pStyle w:val="Compact"/>
            </w:pPr>
            <w:r>
              <w:t xml:space="preserve">39.031</w:t>
            </w:r>
          </w:p>
        </w:tc>
        <w:tc>
          <w:tcPr/>
          <w:p>
            <w:pPr>
              <w:pStyle w:val="Compact"/>
            </w:pPr>
            <w:r>
              <w:t xml:space="preserve">37.667</w:t>
            </w:r>
          </w:p>
        </w:tc>
        <w:tc>
          <w:tcPr/>
          <w:p>
            <w:pPr>
              <w:pStyle w:val="Compact"/>
            </w:pPr>
            <w:r>
              <w:t xml:space="preserve">0.124</w:t>
            </w:r>
          </w:p>
        </w:tc>
        <w:tc>
          <w:tcPr/>
          <w:p>
            <w:pPr>
              <w:pStyle w:val="Compact"/>
            </w:pPr>
            <w:r>
              <w:t xml:space="preserve">0.113</w:t>
            </w:r>
          </w:p>
        </w:tc>
        <w:tc>
          <w:tcPr/>
          <w:p>
            <w:pPr>
              <w:pStyle w:val="Compact"/>
            </w:pPr>
            <w:r>
              <w:t xml:space="preserve">0.310</w:t>
            </w:r>
          </w:p>
        </w:tc>
      </w:tr>
      <w:tr>
        <w:tc>
          <w:tcPr/>
          <w:p>
            <w:pPr>
              <w:pStyle w:val="Compact"/>
            </w:pPr>
            <w:r>
              <w:t xml:space="preserve">Share by top 20%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20% (%)</w:t>
            </w:r>
          </w:p>
        </w:tc>
        <w:tc>
          <w:tcPr/>
          <w:p>
            <w:pPr>
              <w:pStyle w:val="Compact"/>
            </w:pPr>
            <w:r>
              <w:t xml:space="preserve">URPS</w:t>
            </w:r>
          </w:p>
        </w:tc>
        <w:tc>
          <w:tcPr/>
          <w:p>
            <w:pPr>
              <w:pStyle w:val="Compact"/>
            </w:pPr>
            <w:r>
              <w:t xml:space="preserve">39.102</w:t>
            </w:r>
          </w:p>
        </w:tc>
        <w:tc>
          <w:tcPr/>
          <w:p>
            <w:pPr>
              <w:pStyle w:val="Compact"/>
            </w:pPr>
            <w:r>
              <w:t xml:space="preserve">38.170</w:t>
            </w:r>
          </w:p>
        </w:tc>
        <w:tc>
          <w:tcPr/>
          <w:p>
            <w:pPr>
              <w:pStyle w:val="Compact"/>
            </w:pPr>
            <w:r>
              <w:t xml:space="preserve">-0.020</w:t>
            </w:r>
          </w:p>
        </w:tc>
        <w:tc>
          <w:tcPr/>
          <w:p>
            <w:pPr>
              <w:pStyle w:val="Compact"/>
            </w:pPr>
            <w:r>
              <w:t xml:space="preserve">0.014</w:t>
            </w:r>
          </w:p>
        </w:tc>
        <w:tc>
          <w:tcPr/>
          <w:p>
            <w:pPr>
              <w:pStyle w:val="Compact"/>
            </w:pPr>
            <w:r>
              <w:t xml:space="preserve">0.730</w:t>
            </w:r>
          </w:p>
        </w:tc>
      </w:tr>
      <w:tr>
        <w:tc>
          <w:tcPr/>
          <w:p>
            <w:pPr>
              <w:pStyle w:val="Compact"/>
            </w:pPr>
            <w:r>
              <w:t xml:space="preserve">Share by top 20% (%)</w:t>
            </w:r>
          </w:p>
        </w:tc>
        <w:tc>
          <w:tcPr/>
          <w:p>
            <w:pPr>
              <w:pStyle w:val="Compact"/>
            </w:pPr>
            <w:r>
              <w:t xml:space="preserve">Urology</w:t>
            </w:r>
          </w:p>
        </w:tc>
        <w:tc>
          <w:tcPr/>
          <w:p>
            <w:pPr>
              <w:pStyle w:val="Compact"/>
            </w:pPr>
            <w:r>
              <w:t xml:space="preserve">36.822</w:t>
            </w:r>
          </w:p>
        </w:tc>
        <w:tc>
          <w:tcPr/>
          <w:p>
            <w:pPr>
              <w:pStyle w:val="Compact"/>
            </w:pPr>
            <w:r>
              <w:t xml:space="preserve">36.180</w:t>
            </w:r>
          </w:p>
        </w:tc>
        <w:tc>
          <w:tcPr/>
          <w:p>
            <w:pPr>
              <w:pStyle w:val="Compact"/>
            </w:pPr>
            <w:r>
              <w:t xml:space="preserve">-0.032</w:t>
            </w:r>
          </w:p>
        </w:tc>
        <w:tc>
          <w:tcPr/>
          <w:p>
            <w:pPr>
              <w:pStyle w:val="Compact"/>
            </w:pPr>
            <w:r>
              <w:t xml:space="preserve">0.010</w:t>
            </w:r>
          </w:p>
        </w:tc>
        <w:tc>
          <w:tcPr/>
          <w:p>
            <w:pPr>
              <w:pStyle w:val="Compact"/>
            </w:pPr>
            <w:r>
              <w:t xml:space="preserve">0.770</w:t>
            </w:r>
          </w:p>
        </w:tc>
      </w:tr>
      <w:tr>
        <w:tc>
          <w:tcPr/>
          <w:p>
            <w:pPr>
              <w:pStyle w:val="Compact"/>
            </w:pPr>
            <w:r>
              <w:t xml:space="preserve">Share by bottom 50% (%)</w:t>
            </w:r>
          </w:p>
        </w:tc>
        <w:tc>
          <w:tcPr/>
          <w:p>
            <w:pPr>
              <w:pStyle w:val="Compact"/>
            </w:pPr>
            <w:r>
              <w:t xml:space="preserve">All</w:t>
            </w:r>
          </w:p>
        </w:tc>
        <w:tc>
          <w:tcPr/>
          <w:p>
            <w:pPr>
              <w:pStyle w:val="Compact"/>
            </w:pPr>
            <w:r>
              <w:t xml:space="preserve">31.734</w:t>
            </w:r>
          </w:p>
        </w:tc>
        <w:tc>
          <w:tcPr/>
          <w:p>
            <w:pPr>
              <w:pStyle w:val="Compact"/>
            </w:pPr>
            <w:r>
              <w:t xml:space="preserve">31.604</w:t>
            </w:r>
          </w:p>
        </w:tc>
        <w:tc>
          <w:tcPr/>
          <w:p>
            <w:pPr>
              <w:pStyle w:val="Compact"/>
            </w:pPr>
            <w:r>
              <w:t xml:space="preserve">0.007</w:t>
            </w:r>
          </w:p>
        </w:tc>
        <w:tc>
          <w:tcPr/>
          <w:p>
            <w:pPr>
              <w:pStyle w:val="Compact"/>
            </w:pPr>
            <w:r>
              <w:t xml:space="preserve">0.003</w:t>
            </w:r>
          </w:p>
        </w:tc>
        <w:tc>
          <w:tcPr/>
          <w:p>
            <w:pPr>
              <w:pStyle w:val="Compact"/>
            </w:pPr>
            <w:r>
              <w:t xml:space="preserve">0.870</w:t>
            </w:r>
          </w:p>
        </w:tc>
      </w:tr>
      <w:tr>
        <w:tc>
          <w:tcPr/>
          <w:p>
            <w:pPr>
              <w:pStyle w:val="Compact"/>
            </w:pPr>
            <w:r>
              <w:t xml:space="preserve">Share by bottom 50% (%)</w:t>
            </w:r>
          </w:p>
        </w:tc>
        <w:tc>
          <w:tcPr/>
          <w:p>
            <w:pPr>
              <w:pStyle w:val="Compact"/>
            </w:pPr>
            <w:r>
              <w:t xml:space="preserve">General OB/GYN</w:t>
            </w:r>
          </w:p>
        </w:tc>
        <w:tc>
          <w:tcPr/>
          <w:p>
            <w:pPr>
              <w:pStyle w:val="Compact"/>
            </w:pPr>
            <w:r>
              <w:t xml:space="preserve">33.062</w:t>
            </w:r>
          </w:p>
        </w:tc>
        <w:tc>
          <w:tcPr/>
          <w:p>
            <w:pPr>
              <w:pStyle w:val="Compact"/>
            </w:pPr>
            <w:r>
              <w:t xml:space="preserve">32.667</w:t>
            </w:r>
          </w:p>
        </w:tc>
        <w:tc>
          <w:tcPr/>
          <w:p>
            <w:pPr>
              <w:pStyle w:val="Compact"/>
            </w:pPr>
            <w:r>
              <w:t xml:space="preserve">-0.081</w:t>
            </w:r>
          </w:p>
        </w:tc>
        <w:tc>
          <w:tcPr/>
          <w:p>
            <w:pPr>
              <w:pStyle w:val="Compact"/>
            </w:pPr>
            <w:r>
              <w:t xml:space="preserve">0.090</w:t>
            </w:r>
          </w:p>
        </w:tc>
        <w:tc>
          <w:tcPr/>
          <w:p>
            <w:pPr>
              <w:pStyle w:val="Compact"/>
            </w:pPr>
            <w:r>
              <w:t xml:space="preserve">0.370</w:t>
            </w:r>
          </w:p>
        </w:tc>
      </w:tr>
      <w:tr>
        <w:tc>
          <w:tcPr/>
          <w:p>
            <w:pPr>
              <w:pStyle w:val="Compact"/>
            </w:pPr>
            <w:r>
              <w:t xml:space="preserve">Share by bottom 50% (%)</w:t>
            </w:r>
          </w:p>
        </w:tc>
        <w:tc>
          <w:tcPr/>
          <w:p>
            <w:pPr>
              <w:pStyle w:val="Compact"/>
            </w:pPr>
            <w:r>
              <w:t xml:space="preserve">MIGS</w:t>
            </w:r>
          </w:p>
        </w:tc>
        <w:tc>
          <w:tcPr/>
          <w:p>
            <w:pPr>
              <w:pStyle w:val="Compact"/>
            </w:pPr>
            <w:r>
              <w:t xml:space="preserve">31.429</w:t>
            </w:r>
          </w:p>
        </w:tc>
        <w:tc>
          <w:tcPr/>
          <w:p>
            <w:pPr>
              <w:pStyle w:val="Compact"/>
            </w:pPr>
            <w:r>
              <w:t xml:space="preserve">23.232</w:t>
            </w:r>
          </w:p>
        </w:tc>
        <w:tc>
          <w:tcPr/>
          <w:p>
            <w:pPr>
              <w:pStyle w:val="Compact"/>
            </w:pPr>
            <w:r>
              <w:t xml:space="preserve">-1.345</w:t>
            </w:r>
          </w:p>
        </w:tc>
        <w:tc>
          <w:tcPr/>
          <w:p>
            <w:pPr>
              <w:pStyle w:val="Compact"/>
            </w:pPr>
            <w:r>
              <w:t xml:space="preserve">0.270</w:t>
            </w:r>
          </w:p>
        </w:tc>
        <w:tc>
          <w:tcPr/>
          <w:p>
            <w:pPr>
              <w:pStyle w:val="Compact"/>
            </w:pPr>
            <w:r>
              <w:t xml:space="preserve">0.100</w:t>
            </w:r>
          </w:p>
        </w:tc>
      </w:tr>
      <w:tr>
        <w:tc>
          <w:tcPr/>
          <w:p>
            <w:pPr>
              <w:pStyle w:val="Compact"/>
            </w:pPr>
            <w:r>
              <w:t xml:space="preserve">Share by bottom 50% (%)</w:t>
            </w:r>
          </w:p>
        </w:tc>
        <w:tc>
          <w:tcPr/>
          <w:p>
            <w:pPr>
              <w:pStyle w:val="Compact"/>
            </w:pPr>
            <w:r>
              <w:t xml:space="preserve">URPS</w:t>
            </w:r>
          </w:p>
        </w:tc>
        <w:tc>
          <w:tcPr/>
          <w:p>
            <w:pPr>
              <w:pStyle w:val="Compact"/>
            </w:pPr>
            <w:r>
              <w:t xml:space="preserve">30.552</w:t>
            </w:r>
          </w:p>
        </w:tc>
        <w:tc>
          <w:tcPr/>
          <w:p>
            <w:pPr>
              <w:pStyle w:val="Compact"/>
            </w:pPr>
            <w:r>
              <w:t xml:space="preserve">31.364</w:t>
            </w:r>
          </w:p>
        </w:tc>
        <w:tc>
          <w:tcPr/>
          <w:p>
            <w:pPr>
              <w:pStyle w:val="Compact"/>
            </w:pPr>
            <w:r>
              <w:t xml:space="preserve">0.085</w:t>
            </w:r>
          </w:p>
        </w:tc>
        <w:tc>
          <w:tcPr/>
          <w:p>
            <w:pPr>
              <w:pStyle w:val="Compact"/>
            </w:pPr>
            <w:r>
              <w:t xml:space="preserve">0.308</w:t>
            </w:r>
          </w:p>
        </w:tc>
        <w:tc>
          <w:tcPr/>
          <w:p>
            <w:pPr>
              <w:pStyle w:val="Compact"/>
            </w:pPr>
            <w:r>
              <w:t xml:space="preserve">0.080</w:t>
            </w:r>
          </w:p>
        </w:tc>
      </w:tr>
      <w:tr>
        <w:tc>
          <w:tcPr/>
          <w:p>
            <w:pPr>
              <w:pStyle w:val="Compact"/>
            </w:pPr>
            <w:r>
              <w:t xml:space="preserve">Share by bottom 50% (%)</w:t>
            </w:r>
          </w:p>
        </w:tc>
        <w:tc>
          <w:tcPr/>
          <w:p>
            <w:pPr>
              <w:pStyle w:val="Compact"/>
            </w:pPr>
            <w:r>
              <w:t xml:space="preserve">Urology</w:t>
            </w:r>
          </w:p>
        </w:tc>
        <w:tc>
          <w:tcPr/>
          <w:p>
            <w:pPr>
              <w:pStyle w:val="Compact"/>
            </w:pPr>
            <w:r>
              <w:t xml:space="preserve">34.598</w:t>
            </w:r>
          </w:p>
        </w:tc>
        <w:tc>
          <w:tcPr/>
          <w:p>
            <w:pPr>
              <w:pStyle w:val="Compact"/>
            </w:pPr>
            <w:r>
              <w:t xml:space="preserve">32.884</w:t>
            </w:r>
          </w:p>
        </w:tc>
        <w:tc>
          <w:tcPr/>
          <w:p>
            <w:pPr>
              <w:pStyle w:val="Compact"/>
            </w:pPr>
            <w:r>
              <w:t xml:space="preserve">-0.161</w:t>
            </w:r>
          </w:p>
        </w:tc>
        <w:tc>
          <w:tcPr/>
          <w:p>
            <w:pPr>
              <w:pStyle w:val="Compact"/>
            </w:pPr>
            <w:r>
              <w:t xml:space="preserve">0.324</w:t>
            </w:r>
          </w:p>
        </w:tc>
        <w:tc>
          <w:tcPr/>
          <w:p>
            <w:pPr>
              <w:pStyle w:val="Compact"/>
            </w:pPr>
            <w:r>
              <w:t xml:space="preserve">0.070</w:t>
            </w:r>
          </w:p>
        </w:tc>
      </w:tr>
    </w:tbl>
    <w:p>
      <w:pPr>
        <w:pStyle w:val="BodyText"/>
      </w:pPr>
      <w:r>
        <w:rPr>
          <w:b/>
          <w:bCs/>
        </w:rPr>
        <w:t xml:space="preserve">Supplementary Table S3.</w:t>
      </w:r>
      <w:r>
        <w:t xml:space="preserve"> </w:t>
      </w:r>
      <w:r>
        <w:t xml:space="preserve">Specialty-specific market-share trends. Each specialty’s annual share of observed procedures is regressed on calendar year separately (fixed-membership classification).</w:t>
      </w:r>
    </w:p>
    <w:tbl>
      <w:tblPr>
        <w:tblStyle w:val="Table"/>
        <w:tblW w:type="pct" w:w="5000"/>
        <w:tblLayout w:type="fixed"/>
        <w:tblLook w:firstRow="1" w:lastRow="0" w:firstColumn="0" w:lastColumn="0" w:noHBand="0" w:noVBand="0" w:val="0020"/>
      </w:tblPr>
      <w:tblGrid>
        <w:gridCol w:w="1760"/>
        <w:gridCol w:w="1760"/>
        <w:gridCol w:w="1760"/>
        <w:gridCol w:w="1650"/>
        <w:gridCol w:w="990"/>
      </w:tblGrid>
      <w:tr>
        <w:trPr>
          <w:tblHeader w:val="on"/>
        </w:trPr>
        <w:tc>
          <w:tcPr/>
          <w:p>
            <w:pPr>
              <w:pStyle w:val="Compact"/>
            </w:pPr>
            <w:r>
              <w:t xml:space="preserve">Specialty</w:t>
            </w:r>
          </w:p>
        </w:tc>
        <w:tc>
          <w:tcPr/>
          <w:p>
            <w:pPr>
              <w:pStyle w:val="Compact"/>
            </w:pPr>
            <w:r>
              <w:t xml:space="preserve">2013 share (%)</w:t>
            </w:r>
          </w:p>
        </w:tc>
        <w:tc>
          <w:tcPr/>
          <w:p>
            <w:pPr>
              <w:pStyle w:val="Compact"/>
            </w:pPr>
            <w:r>
              <w:t xml:space="preserve">2023 share (%)</w:t>
            </w:r>
          </w:p>
        </w:tc>
        <w:tc>
          <w:tcPr/>
          <w:p>
            <w:pPr>
              <w:pStyle w:val="Compact"/>
            </w:pPr>
            <w:r>
              <w:t xml:space="preserve">Slope (pp/yr)</w:t>
            </w:r>
          </w:p>
        </w:tc>
        <w:tc>
          <w:tcPr/>
          <w:p>
            <w:pPr>
              <w:pStyle w:val="Compact"/>
            </w:pPr>
            <w:r>
              <w:t xml:space="preserve">p-value</w:t>
            </w:r>
          </w:p>
        </w:tc>
      </w:tr>
      <w:tr>
        <w:tc>
          <w:tcPr/>
          <w:p>
            <w:pPr>
              <w:pStyle w:val="Compact"/>
            </w:pPr>
            <w:r>
              <w:t xml:space="preserve">General OB/GYN</w:t>
            </w:r>
          </w:p>
        </w:tc>
        <w:tc>
          <w:tcPr/>
          <w:p>
            <w:pPr>
              <w:pStyle w:val="Compact"/>
            </w:pPr>
            <w:r>
              <w:t xml:space="preserve">15.7</w:t>
            </w:r>
          </w:p>
        </w:tc>
        <w:tc>
          <w:tcPr/>
          <w:p>
            <w:pPr>
              <w:pStyle w:val="Compact"/>
            </w:pPr>
            <w:r>
              <w:t xml:space="preserve">12.3</w:t>
            </w:r>
          </w:p>
        </w:tc>
        <w:tc>
          <w:tcPr/>
          <w:p>
            <w:pPr>
              <w:pStyle w:val="Compact"/>
            </w:pPr>
            <w:r>
              <w:t xml:space="preserve">-0.421</w:t>
            </w:r>
          </w:p>
        </w:tc>
        <w:tc>
          <w:tcPr/>
          <w:p>
            <w:pPr>
              <w:pStyle w:val="Compact"/>
            </w:pPr>
            <w:r>
              <w:t xml:space="preserve">0.006</w:t>
            </w:r>
          </w:p>
        </w:tc>
      </w:tr>
      <w:tr>
        <w:tc>
          <w:tcPr/>
          <w:p>
            <w:pPr>
              <w:pStyle w:val="Compact"/>
            </w:pPr>
            <w:r>
              <w:t xml:space="preserve">MIGS</w:t>
            </w:r>
          </w:p>
        </w:tc>
        <w:tc>
          <w:tcPr/>
          <w:p>
            <w:pPr>
              <w:pStyle w:val="Compact"/>
            </w:pPr>
            <w:r>
              <w:t xml:space="preserve">0.2</w:t>
            </w:r>
          </w:p>
        </w:tc>
        <w:tc>
          <w:tcPr/>
          <w:p>
            <w:pPr>
              <w:pStyle w:val="Compact"/>
            </w:pPr>
            <w:r>
              <w:t xml:space="preserve">0.8</w:t>
            </w:r>
          </w:p>
        </w:tc>
        <w:tc>
          <w:tcPr/>
          <w:p>
            <w:pPr>
              <w:pStyle w:val="Compact"/>
            </w:pPr>
            <w:r>
              <w:t xml:space="preserve">0.071</w:t>
            </w:r>
          </w:p>
        </w:tc>
        <w:tc>
          <w:tcPr/>
          <w:p>
            <w:pPr>
              <w:pStyle w:val="Compact"/>
            </w:pPr>
            <w:r>
              <w:t xml:space="preserve">0.008</w:t>
            </w:r>
          </w:p>
        </w:tc>
      </w:tr>
      <w:tr>
        <w:tc>
          <w:tcPr/>
          <w:p>
            <w:pPr>
              <w:pStyle w:val="Compact"/>
            </w:pPr>
            <w:r>
              <w:t xml:space="preserve">URPS</w:t>
            </w:r>
          </w:p>
        </w:tc>
        <w:tc>
          <w:tcPr/>
          <w:p>
            <w:pPr>
              <w:pStyle w:val="Compact"/>
            </w:pPr>
            <w:r>
              <w:t xml:space="preserve">53.4</w:t>
            </w:r>
          </w:p>
        </w:tc>
        <w:tc>
          <w:tcPr/>
          <w:p>
            <w:pPr>
              <w:pStyle w:val="Compact"/>
            </w:pPr>
            <w:r>
              <w:t xml:space="preserve">63.8</w:t>
            </w:r>
          </w:p>
        </w:tc>
        <w:tc>
          <w:tcPr/>
          <w:p>
            <w:pPr>
              <w:pStyle w:val="Compact"/>
            </w:pPr>
            <w:r>
              <w:t xml:space="preserve">0.901</w:t>
            </w:r>
          </w:p>
        </w:tc>
        <w:tc>
          <w:tcPr/>
          <w:p>
            <w:pPr>
              <w:pStyle w:val="Compact"/>
            </w:pPr>
            <w:r>
              <w:t xml:space="preserve">&lt;0.001</w:t>
            </w:r>
          </w:p>
        </w:tc>
      </w:tr>
      <w:tr>
        <w:tc>
          <w:tcPr/>
          <w:p>
            <w:pPr>
              <w:pStyle w:val="Compact"/>
            </w:pPr>
            <w:r>
              <w:t xml:space="preserve">Urology</w:t>
            </w:r>
          </w:p>
        </w:tc>
        <w:tc>
          <w:tcPr/>
          <w:p>
            <w:pPr>
              <w:pStyle w:val="Compact"/>
            </w:pPr>
            <w:r>
              <w:t xml:space="preserve">30.7</w:t>
            </w:r>
          </w:p>
        </w:tc>
        <w:tc>
          <w:tcPr/>
          <w:p>
            <w:pPr>
              <w:pStyle w:val="Compact"/>
            </w:pPr>
            <w:r>
              <w:t xml:space="preserve">23.1</w:t>
            </w:r>
          </w:p>
        </w:tc>
        <w:tc>
          <w:tcPr/>
          <w:p>
            <w:pPr>
              <w:pStyle w:val="Compact"/>
            </w:pPr>
            <w:r>
              <w:t xml:space="preserve">-0.550</w:t>
            </w:r>
          </w:p>
        </w:tc>
        <w:tc>
          <w:tcPr/>
          <w:p>
            <w:pPr>
              <w:pStyle w:val="Compact"/>
            </w:pPr>
            <w:r>
              <w:t xml:space="preserve">0.004</w:t>
            </w:r>
          </w:p>
        </w:tc>
      </w:tr>
    </w:tbl>
    <w:p>
      <w:pPr>
        <w:pStyle w:val="BodyText"/>
      </w:pPr>
      <w:r>
        <w:rPr>
          <w:b/>
          <w:bCs/>
        </w:rPr>
        <w:t xml:space="preserve">Supplementary Table S4.</w:t>
      </w:r>
      <w:r>
        <w:t xml:space="preserve"> </w:t>
      </w:r>
      <w:r>
        <w:t xml:space="preserve">Adjusted rate ratios for annual sling volume from a Poisson GEE clustered by NPI, excluding calendar year 2020 (COVID-19 sensitivity analysis; URPS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RR (95% CI)</w:t>
            </w:r>
          </w:p>
        </w:tc>
        <w:tc>
          <w:tcPr/>
          <w:p>
            <w:pPr>
              <w:pStyle w:val="Compact"/>
            </w:pPr>
            <w:r>
              <w:t xml:space="preserve">p-value</w:t>
            </w:r>
          </w:p>
        </w:tc>
      </w:tr>
      <w:tr>
        <w:tc>
          <w:tcPr/>
          <w:p>
            <w:pPr>
              <w:pStyle w:val="Compact"/>
            </w:pPr>
            <w:r>
              <w:t xml:space="preserve">(Intercept)</w:t>
            </w:r>
          </w:p>
        </w:tc>
        <w:tc>
          <w:tcPr/>
          <w:p>
            <w:pPr>
              <w:pStyle w:val="Compact"/>
            </w:pPr>
            <w:r>
              <w:t xml:space="preserve">21.23 (19.63-22.97)</w:t>
            </w:r>
          </w:p>
        </w:tc>
        <w:tc>
          <w:tcPr/>
          <w:p>
            <w:pPr>
              <w:pStyle w:val="Compact"/>
            </w:pPr>
            <w:r>
              <w:t xml:space="preserve">n/a</w:t>
            </w:r>
          </w:p>
        </w:tc>
      </w:tr>
      <w:tr>
        <w:tc>
          <w:tcPr/>
          <w:p>
            <w:pPr>
              <w:pStyle w:val="Compact"/>
            </w:pPr>
            <w:r>
              <w:t xml:space="preserve">Specialty: General OB/GYN</w:t>
            </w:r>
          </w:p>
        </w:tc>
        <w:tc>
          <w:tcPr/>
          <w:p>
            <w:pPr>
              <w:pStyle w:val="Compact"/>
            </w:pPr>
            <w:r>
              <w:t xml:space="preserve">0.69 (0.53-0.89)</w:t>
            </w:r>
          </w:p>
        </w:tc>
        <w:tc>
          <w:tcPr/>
          <w:p>
            <w:pPr>
              <w:pStyle w:val="Compact"/>
            </w:pPr>
            <w:r>
              <w:t xml:space="preserve">0.004</w:t>
            </w:r>
          </w:p>
        </w:tc>
      </w:tr>
      <w:tr>
        <w:tc>
          <w:tcPr/>
          <w:p>
            <w:pPr>
              <w:pStyle w:val="Compact"/>
            </w:pPr>
            <w:r>
              <w:t xml:space="preserve">Specialty: MIGS</w:t>
            </w:r>
          </w:p>
        </w:tc>
        <w:tc>
          <w:tcPr/>
          <w:p>
            <w:pPr>
              <w:pStyle w:val="Compact"/>
            </w:pPr>
            <w:r>
              <w:t xml:space="preserve">0.60 (0.44-0.83)</w:t>
            </w:r>
          </w:p>
        </w:tc>
        <w:tc>
          <w:tcPr/>
          <w:p>
            <w:pPr>
              <w:pStyle w:val="Compact"/>
            </w:pPr>
            <w:r>
              <w:t xml:space="preserve">0.002</w:t>
            </w:r>
          </w:p>
        </w:tc>
      </w:tr>
      <w:tr>
        <w:tc>
          <w:tcPr/>
          <w:p>
            <w:pPr>
              <w:pStyle w:val="Compact"/>
            </w:pPr>
            <w:r>
              <w:t xml:space="preserve">Specialty: Urology</w:t>
            </w:r>
          </w:p>
        </w:tc>
        <w:tc>
          <w:tcPr/>
          <w:p>
            <w:pPr>
              <w:pStyle w:val="Compact"/>
            </w:pPr>
            <w:r>
              <w:t xml:space="preserve">0.81 (0.69-0.94)</w:t>
            </w:r>
          </w:p>
        </w:tc>
        <w:tc>
          <w:tcPr/>
          <w:p>
            <w:pPr>
              <w:pStyle w:val="Compact"/>
            </w:pPr>
            <w:r>
              <w:t xml:space="preserve">0.007</w:t>
            </w:r>
          </w:p>
        </w:tc>
      </w:tr>
      <w:tr>
        <w:tc>
          <w:tcPr/>
          <w:p>
            <w:pPr>
              <w:pStyle w:val="Compact"/>
            </w:pPr>
            <w:r>
              <w:t xml:space="preserve">year_c</w:t>
            </w:r>
          </w:p>
        </w:tc>
        <w:tc>
          <w:tcPr/>
          <w:p>
            <w:pPr>
              <w:pStyle w:val="Compact"/>
            </w:pPr>
            <w:r>
              <w:t xml:space="preserve">1.00 (0.99-1.01)</w:t>
            </w:r>
          </w:p>
        </w:tc>
        <w:tc>
          <w:tcPr/>
          <w:p>
            <w:pPr>
              <w:pStyle w:val="Compact"/>
            </w:pPr>
            <w:r>
              <w:t xml:space="preserve">0.620</w:t>
            </w:r>
          </w:p>
        </w:tc>
      </w:tr>
      <w:tr>
        <w:tc>
          <w:tcPr/>
          <w:p>
            <w:pPr>
              <w:pStyle w:val="Compact"/>
            </w:pPr>
            <w:r>
              <w:t xml:space="preserve">Specialty: General OB/GYN:year_c</w:t>
            </w:r>
          </w:p>
        </w:tc>
        <w:tc>
          <w:tcPr/>
          <w:p>
            <w:pPr>
              <w:pStyle w:val="Compact"/>
            </w:pPr>
            <w:r>
              <w:t xml:space="preserve">1.00 (0.97-1.02)</w:t>
            </w:r>
          </w:p>
        </w:tc>
        <w:tc>
          <w:tcPr/>
          <w:p>
            <w:pPr>
              <w:pStyle w:val="Compact"/>
            </w:pPr>
            <w:r>
              <w:t xml:space="preserve">0.840</w:t>
            </w:r>
          </w:p>
        </w:tc>
      </w:tr>
      <w:tr>
        <w:tc>
          <w:tcPr/>
          <w:p>
            <w:pPr>
              <w:pStyle w:val="Compact"/>
            </w:pPr>
            <w:r>
              <w:t xml:space="preserve">Specialty: MIGS:year_c</w:t>
            </w:r>
          </w:p>
        </w:tc>
        <w:tc>
          <w:tcPr/>
          <w:p>
            <w:pPr>
              <w:pStyle w:val="Compact"/>
            </w:pPr>
            <w:r>
              <w:t xml:space="preserve">1.08 (1.02-1.15)</w:t>
            </w:r>
          </w:p>
        </w:tc>
        <w:tc>
          <w:tcPr/>
          <w:p>
            <w:pPr>
              <w:pStyle w:val="Compact"/>
            </w:pPr>
            <w:r>
              <w:t xml:space="preserve">0.010</w:t>
            </w:r>
          </w:p>
        </w:tc>
      </w:tr>
      <w:tr>
        <w:tc>
          <w:tcPr/>
          <w:p>
            <w:pPr>
              <w:pStyle w:val="Compact"/>
            </w:pPr>
            <w:r>
              <w:t xml:space="preserve">Specialty: Urology:year_c</w:t>
            </w:r>
          </w:p>
        </w:tc>
        <w:tc>
          <w:tcPr/>
          <w:p>
            <w:pPr>
              <w:pStyle w:val="Compact"/>
            </w:pPr>
            <w:r>
              <w:t xml:space="preserve">0.99 (0.97-1.01)</w:t>
            </w:r>
          </w:p>
        </w:tc>
        <w:tc>
          <w:tcPr/>
          <w:p>
            <w:pPr>
              <w:pStyle w:val="Compact"/>
            </w:pPr>
            <w:r>
              <w:t xml:space="preserve">0.220</w:t>
            </w:r>
          </w:p>
        </w:tc>
      </w:tr>
    </w:tbl>
    <w:p>
      <w:pPr>
        <w:pStyle w:val="BodyText"/>
      </w:pPr>
      <w:r>
        <w:rPr>
          <w:b/>
          <w:bCs/>
        </w:rPr>
        <w:t xml:space="preserve">Supplementary Table S5.</w:t>
      </w:r>
      <w:r>
        <w:t xml:space="preserve"> </w:t>
      </w:r>
      <w:r>
        <w:t xml:space="preserve">Per-physician volume comparisons (one median value per physician), Kruskal-Wallis and pairwise Wilcoxon tests with Bonferroni correction.</w:t>
      </w:r>
    </w:p>
    <w:tbl>
      <w:tblPr>
        <w:tblStyle w:val="Table"/>
        <w:tblW w:type="pct" w:w="5000"/>
        <w:tblLayout w:type="fixed"/>
        <w:tblLook w:firstRow="1" w:lastRow="0" w:firstColumn="0" w:lastColumn="0" w:noHBand="0" w:noVBand="0" w:val="0020"/>
      </w:tblPr>
      <w:tblGrid>
        <w:gridCol w:w="5784"/>
        <w:gridCol w:w="978"/>
        <w:gridCol w:w="355"/>
        <w:gridCol w:w="800"/>
      </w:tblGrid>
      <w:tr>
        <w:trPr>
          <w:tblHeader w:val="on"/>
        </w:trPr>
        <w:tc>
          <w:tcPr/>
          <w:p>
            <w:pPr>
              <w:pStyle w:val="Compact"/>
            </w:pPr>
            <w:r>
              <w:t xml:space="preserve">Test</w:t>
            </w:r>
          </w:p>
        </w:tc>
        <w:tc>
          <w:tcPr/>
          <w:p>
            <w:pPr>
              <w:pStyle w:val="Compact"/>
            </w:pPr>
            <w:r>
              <w:t xml:space="preserve">Statistic</w:t>
            </w:r>
          </w:p>
        </w:tc>
        <w:tc>
          <w:tcPr/>
          <w:p>
            <w:pPr>
              <w:pStyle w:val="Compact"/>
            </w:pPr>
            <w:r>
              <w:t xml:space="preserve">df</w:t>
            </w:r>
          </w:p>
        </w:tc>
        <w:tc>
          <w:tcPr/>
          <w:p>
            <w:pPr>
              <w:pStyle w:val="Compact"/>
            </w:pPr>
            <w:r>
              <w:t xml:space="preserve">p-value</w:t>
            </w:r>
          </w:p>
        </w:tc>
      </w:tr>
      <w:tr>
        <w:tc>
          <w:tcPr/>
          <w:p>
            <w:pPr>
              <w:pStyle w:val="Compact"/>
            </w:pPr>
            <w:r>
              <w:t xml:space="preserve">Kruskal-Wallis: per-physician median volume across specialties</w:t>
            </w:r>
          </w:p>
        </w:tc>
        <w:tc>
          <w:tcPr/>
          <w:p>
            <w:pPr>
              <w:pStyle w:val="Compact"/>
            </w:pPr>
            <w:r>
              <w:t xml:space="preserve">66.10</w:t>
            </w:r>
          </w:p>
        </w:tc>
        <w:tc>
          <w:tcPr/>
          <w:p>
            <w:pPr>
              <w:pStyle w:val="Compact"/>
            </w:pPr>
            <w:r>
              <w:t xml:space="preserve">3</w:t>
            </w:r>
          </w:p>
        </w:tc>
        <w:tc>
          <w:tcPr/>
          <w:p>
            <w:pPr>
              <w:pStyle w:val="Compact"/>
            </w:pPr>
            <w:r>
              <w:t xml:space="preserve">&lt;0.001</w:t>
            </w:r>
          </w:p>
        </w:tc>
      </w:tr>
      <w:tr>
        <w:tc>
          <w:tcPr/>
          <w:p>
            <w:pPr>
              <w:pStyle w:val="Compact"/>
            </w:pPr>
            <w:r>
              <w:t xml:space="preserve">Wilcoxon (per-physician, bonferroni): MIGS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General OB/GYN</w:t>
            </w:r>
          </w:p>
        </w:tc>
        <w:tc>
          <w:tcPr/>
          <w:p>
            <w:pPr>
              <w:pStyle w:val="Compact"/>
            </w:pPr>
            <w:r>
              <w:t xml:space="preserve">n/a</w:t>
            </w:r>
          </w:p>
        </w:tc>
        <w:tc>
          <w:tcPr/>
          <w:p>
            <w:pPr>
              <w:pStyle w:val="Compact"/>
            </w:pPr>
            <w:r>
              <w:t xml:space="preserve">NA</w:t>
            </w:r>
          </w:p>
        </w:tc>
        <w:tc>
          <w:tcPr/>
          <w:p>
            <w:pPr>
              <w:pStyle w:val="Compact"/>
            </w:pPr>
            <w:r>
              <w:t xml:space="preserve">0.82</w:t>
            </w:r>
          </w:p>
        </w:tc>
      </w:tr>
      <w:tr>
        <w:tc>
          <w:tcPr/>
          <w:p>
            <w:pPr>
              <w:pStyle w:val="Compact"/>
            </w:pPr>
            <w:r>
              <w:t xml:space="preserve">Wilcoxon (per-physician, bonferroni): Urology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vs General OB/GYN</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vs Urology</w:t>
            </w:r>
          </w:p>
        </w:tc>
        <w:tc>
          <w:tcPr/>
          <w:p>
            <w:pPr>
              <w:pStyle w:val="Compact"/>
            </w:pPr>
            <w:r>
              <w:t xml:space="preserve">n/a</w:t>
            </w:r>
          </w:p>
        </w:tc>
        <w:tc>
          <w:tcPr/>
          <w:p>
            <w:pPr>
              <w:pStyle w:val="Compact"/>
            </w:pPr>
            <w:r>
              <w:t xml:space="preserve">NA</w:t>
            </w:r>
          </w:p>
        </w:tc>
        <w:tc>
          <w:tcPr/>
          <w:p>
            <w:pPr>
              <w:pStyle w:val="Compact"/>
            </w:pPr>
            <w:r>
              <w:t xml:space="preserve">&lt;0.001</w:t>
            </w:r>
          </w:p>
        </w:tc>
      </w:tr>
    </w:tbl>
    <w:p>
      <w:pPr>
        <w:pStyle w:val="BodyText"/>
      </w:pPr>
      <w:r>
        <w:rPr>
          <w:b/>
          <w:bCs/>
        </w:rPr>
        <w:t xml:space="preserve">Supplementary Table S6a.</w:t>
      </w:r>
      <w:r>
        <w:t xml:space="preserve"> </w:t>
      </w:r>
      <w:r>
        <w:t xml:space="preserve">Specialty distribution under alternative classification schemes (time-varying, modal, ever-URPS/MIGS, certification-gated).</w:t>
      </w:r>
    </w:p>
    <w:tbl>
      <w:tblPr>
        <w:tblStyle w:val="Table"/>
        <w:tblW w:type="pct" w:w="5000"/>
        <w:tblLayout w:type="fixed"/>
        <w:tblLook w:firstRow="1" w:lastRow="0" w:firstColumn="0" w:lastColumn="0" w:noHBand="0" w:noVBand="0" w:val="0020"/>
      </w:tblPr>
      <w:tblGrid>
        <w:gridCol w:w="3755"/>
        <w:gridCol w:w="1306"/>
        <w:gridCol w:w="1061"/>
        <w:gridCol w:w="979"/>
        <w:gridCol w:w="816"/>
      </w:tblGrid>
      <w:tr>
        <w:trPr>
          <w:tblHeader w:val="on"/>
        </w:trPr>
        <w:tc>
          <w:tcPr/>
          <w:p>
            <w:pPr>
              <w:pStyle w:val="Compact"/>
            </w:pPr>
            <w:r>
              <w:t xml:space="preserve">Scheme</w:t>
            </w:r>
          </w:p>
        </w:tc>
        <w:tc>
          <w:tcPr/>
          <w:p>
            <w:pPr>
              <w:pStyle w:val="Compact"/>
            </w:pPr>
            <w:r>
              <w:t xml:space="preserve">Specialty</w:t>
            </w:r>
          </w:p>
        </w:tc>
        <w:tc>
          <w:tcPr/>
          <w:p>
            <w:pPr>
              <w:pStyle w:val="Compact"/>
            </w:pPr>
            <w:r>
              <w:t xml:space="preserve">N providers</w:t>
            </w:r>
          </w:p>
        </w:tc>
        <w:tc>
          <w:tcPr/>
          <w:p>
            <w:pPr>
              <w:pStyle w:val="Compact"/>
            </w:pPr>
            <w:r>
              <w:t xml:space="preserve">Procedures</w:t>
            </w:r>
          </w:p>
        </w:tc>
        <w:tc>
          <w:tcPr/>
          <w:p>
            <w:pPr>
              <w:pStyle w:val="Compact"/>
            </w:pPr>
            <w:r>
              <w:t xml:space="preserve">% of all</w:t>
            </w:r>
          </w:p>
        </w:tc>
      </w:tr>
      <w:tr>
        <w:tc>
          <w:tcPr/>
          <w:p>
            <w:pPr>
              <w:pStyle w:val="Compact"/>
            </w:pPr>
            <w:r>
              <w:t xml:space="preserve">Time-varying (per physician-year)</w:t>
            </w:r>
          </w:p>
        </w:tc>
        <w:tc>
          <w:tcPr/>
          <w:p>
            <w:pPr>
              <w:pStyle w:val="Compact"/>
            </w:pPr>
            <w:r>
              <w:t xml:space="preserve">General OB/GYN</w:t>
            </w:r>
          </w:p>
        </w:tc>
        <w:tc>
          <w:tcPr/>
          <w:p>
            <w:pPr>
              <w:pStyle w:val="Compact"/>
            </w:pPr>
            <w:r>
              <w:t xml:space="preserve">330</w:t>
            </w:r>
          </w:p>
        </w:tc>
        <w:tc>
          <w:tcPr/>
          <w:p>
            <w:pPr>
              <w:pStyle w:val="Compact"/>
            </w:pPr>
            <w:r>
              <w:t xml:space="preserve">16391</w:t>
            </w:r>
          </w:p>
        </w:tc>
        <w:tc>
          <w:tcPr/>
          <w:p>
            <w:pPr>
              <w:pStyle w:val="Compact"/>
            </w:pPr>
            <w:r>
              <w:t xml:space="preserve">12.5%</w:t>
            </w:r>
          </w:p>
        </w:tc>
      </w:tr>
      <w:tr>
        <w:tc>
          <w:tcPr/>
          <w:p>
            <w:pPr>
              <w:pStyle w:val="Compact"/>
            </w:pPr>
            <w:r>
              <w:t xml:space="preserve">Time-varying (per physician-year)</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Time-varying (per physician-year)</w:t>
            </w:r>
          </w:p>
        </w:tc>
        <w:tc>
          <w:tcPr/>
          <w:p>
            <w:pPr>
              <w:pStyle w:val="Compact"/>
            </w:pPr>
            <w:r>
              <w:t xml:space="preserve">URPS</w:t>
            </w:r>
          </w:p>
        </w:tc>
        <w:tc>
          <w:tcPr/>
          <w:p>
            <w:pPr>
              <w:pStyle w:val="Compact"/>
            </w:pPr>
            <w:r>
              <w:t xml:space="preserve">753</w:t>
            </w:r>
          </w:p>
        </w:tc>
        <w:tc>
          <w:tcPr/>
          <w:p>
            <w:pPr>
              <w:pStyle w:val="Compact"/>
            </w:pPr>
            <w:r>
              <w:t xml:space="preserve">80033</w:t>
            </w:r>
          </w:p>
        </w:tc>
        <w:tc>
          <w:tcPr/>
          <w:p>
            <w:pPr>
              <w:pStyle w:val="Compact"/>
            </w:pPr>
            <w:r>
              <w:t xml:space="preserve">60.8%</w:t>
            </w:r>
          </w:p>
        </w:tc>
      </w:tr>
      <w:tr>
        <w:tc>
          <w:tcPr/>
          <w:p>
            <w:pPr>
              <w:pStyle w:val="Compact"/>
            </w:pPr>
            <w:r>
              <w:t xml:space="preserve">Time-varying (per physician-year)</w:t>
            </w:r>
          </w:p>
        </w:tc>
        <w:tc>
          <w:tcPr/>
          <w:p>
            <w:pPr>
              <w:pStyle w:val="Compact"/>
            </w:pPr>
            <w:r>
              <w:t xml:space="preserve">Urology</w:t>
            </w:r>
          </w:p>
        </w:tc>
        <w:tc>
          <w:tcPr/>
          <w:p>
            <w:pPr>
              <w:pStyle w:val="Compact"/>
            </w:pPr>
            <w:r>
              <w:t xml:space="preserve">665</w:t>
            </w:r>
          </w:p>
        </w:tc>
        <w:tc>
          <w:tcPr/>
          <w:p>
            <w:pPr>
              <w:pStyle w:val="Compact"/>
            </w:pPr>
            <w:r>
              <w:t xml:space="preserve">34351</w:t>
            </w:r>
          </w:p>
        </w:tc>
        <w:tc>
          <w:tcPr/>
          <w:p>
            <w:pPr>
              <w:pStyle w:val="Compact"/>
            </w:pPr>
            <w:r>
              <w:t xml:space="preserve">26.1%</w:t>
            </w:r>
          </w:p>
        </w:tc>
      </w:tr>
      <w:tr>
        <w:tc>
          <w:tcPr/>
          <w:p>
            <w:pPr>
              <w:pStyle w:val="Compact"/>
            </w:pPr>
            <w:r>
              <w:t xml:space="preserve">Modal (single most-frequent specialty)</w:t>
            </w:r>
          </w:p>
        </w:tc>
        <w:tc>
          <w:tcPr/>
          <w:p>
            <w:pPr>
              <w:pStyle w:val="Compact"/>
            </w:pPr>
            <w:r>
              <w:t xml:space="preserve">General OB/GYN</w:t>
            </w:r>
          </w:p>
        </w:tc>
        <w:tc>
          <w:tcPr/>
          <w:p>
            <w:pPr>
              <w:pStyle w:val="Compact"/>
            </w:pPr>
            <w:r>
              <w:t xml:space="preserve">326</w:t>
            </w:r>
          </w:p>
        </w:tc>
        <w:tc>
          <w:tcPr/>
          <w:p>
            <w:pPr>
              <w:pStyle w:val="Compact"/>
            </w:pPr>
            <w:r>
              <w:t xml:space="preserve">16362</w:t>
            </w:r>
          </w:p>
        </w:tc>
        <w:tc>
          <w:tcPr/>
          <w:p>
            <w:pPr>
              <w:pStyle w:val="Compact"/>
            </w:pPr>
            <w:r>
              <w:t xml:space="preserve">12.4%</w:t>
            </w:r>
          </w:p>
        </w:tc>
      </w:tr>
      <w:tr>
        <w:tc>
          <w:tcPr/>
          <w:p>
            <w:pPr>
              <w:pStyle w:val="Compact"/>
            </w:pPr>
            <w:r>
              <w:t xml:space="preserve">Modal (single most-frequent specialty)</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Modal (single most-frequent specialty)</w:t>
            </w:r>
          </w:p>
        </w:tc>
        <w:tc>
          <w:tcPr/>
          <w:p>
            <w:pPr>
              <w:pStyle w:val="Compact"/>
            </w:pPr>
            <w:r>
              <w:t xml:space="preserve">URPS</w:t>
            </w:r>
          </w:p>
        </w:tc>
        <w:tc>
          <w:tcPr/>
          <w:p>
            <w:pPr>
              <w:pStyle w:val="Compact"/>
            </w:pPr>
            <w:r>
              <w:t xml:space="preserve">752</w:t>
            </w:r>
          </w:p>
        </w:tc>
        <w:tc>
          <w:tcPr/>
          <w:p>
            <w:pPr>
              <w:pStyle w:val="Compact"/>
            </w:pPr>
            <w:r>
              <w:t xml:space="preserve">80312</w:t>
            </w:r>
          </w:p>
        </w:tc>
        <w:tc>
          <w:tcPr/>
          <w:p>
            <w:pPr>
              <w:pStyle w:val="Compact"/>
            </w:pPr>
            <w:r>
              <w:t xml:space="preserve">61.0%</w:t>
            </w:r>
          </w:p>
        </w:tc>
      </w:tr>
      <w:tr>
        <w:tc>
          <w:tcPr/>
          <w:p>
            <w:pPr>
              <w:pStyle w:val="Compact"/>
            </w:pPr>
            <w:r>
              <w:t xml:space="preserve">Modal (single most-frequent specialty)</w:t>
            </w:r>
          </w:p>
        </w:tc>
        <w:tc>
          <w:tcPr/>
          <w:p>
            <w:pPr>
              <w:pStyle w:val="Compact"/>
            </w:pPr>
            <w:r>
              <w:t xml:space="preserve">Urology</w:t>
            </w:r>
          </w:p>
        </w:tc>
        <w:tc>
          <w:tcPr/>
          <w:p>
            <w:pPr>
              <w:pStyle w:val="Compact"/>
            </w:pPr>
            <w:r>
              <w:t xml:space="preserve">657</w:t>
            </w:r>
          </w:p>
        </w:tc>
        <w:tc>
          <w:tcPr/>
          <w:p>
            <w:pPr>
              <w:pStyle w:val="Compact"/>
            </w:pPr>
            <w:r>
              <w:t xml:space="preserve">34101</w:t>
            </w:r>
          </w:p>
        </w:tc>
        <w:tc>
          <w:tcPr/>
          <w:p>
            <w:pPr>
              <w:pStyle w:val="Compact"/>
            </w:pPr>
            <w:r>
              <w:t xml:space="preserve">25.9%</w:t>
            </w:r>
          </w:p>
        </w:tc>
      </w:tr>
      <w:tr>
        <w:tc>
          <w:tcPr/>
          <w:p>
            <w:pPr>
              <w:pStyle w:val="Compact"/>
            </w:pPr>
            <w:r>
              <w:t xml:space="preserve">Ever URPS/MIGS</w:t>
            </w:r>
          </w:p>
        </w:tc>
        <w:tc>
          <w:tcPr/>
          <w:p>
            <w:pPr>
              <w:pStyle w:val="Compact"/>
            </w:pPr>
            <w:r>
              <w:t xml:space="preserve">General OB/GYN</w:t>
            </w:r>
          </w:p>
        </w:tc>
        <w:tc>
          <w:tcPr/>
          <w:p>
            <w:pPr>
              <w:pStyle w:val="Compact"/>
            </w:pPr>
            <w:r>
              <w:t xml:space="preserve">326</w:t>
            </w:r>
          </w:p>
        </w:tc>
        <w:tc>
          <w:tcPr/>
          <w:p>
            <w:pPr>
              <w:pStyle w:val="Compact"/>
            </w:pPr>
            <w:r>
              <w:t xml:space="preserve">16362</w:t>
            </w:r>
          </w:p>
        </w:tc>
        <w:tc>
          <w:tcPr/>
          <w:p>
            <w:pPr>
              <w:pStyle w:val="Compact"/>
            </w:pPr>
            <w:r>
              <w:t xml:space="preserve">12.4%</w:t>
            </w:r>
          </w:p>
        </w:tc>
      </w:tr>
      <w:tr>
        <w:tc>
          <w:tcPr/>
          <w:p>
            <w:pPr>
              <w:pStyle w:val="Compact"/>
            </w:pPr>
            <w:r>
              <w:t xml:space="preserve">Ever URPS/MIGS</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Ever URPS/MIGS</w:t>
            </w:r>
          </w:p>
        </w:tc>
        <w:tc>
          <w:tcPr/>
          <w:p>
            <w:pPr>
              <w:pStyle w:val="Compact"/>
            </w:pPr>
            <w:r>
              <w:t xml:space="preserve">URPS</w:t>
            </w:r>
          </w:p>
        </w:tc>
        <w:tc>
          <w:tcPr/>
          <w:p>
            <w:pPr>
              <w:pStyle w:val="Compact"/>
            </w:pPr>
            <w:r>
              <w:t xml:space="preserve">753</w:t>
            </w:r>
          </w:p>
        </w:tc>
        <w:tc>
          <w:tcPr/>
          <w:p>
            <w:pPr>
              <w:pStyle w:val="Compact"/>
            </w:pPr>
            <w:r>
              <w:t xml:space="preserve">80803</w:t>
            </w:r>
          </w:p>
        </w:tc>
        <w:tc>
          <w:tcPr/>
          <w:p>
            <w:pPr>
              <w:pStyle w:val="Compact"/>
            </w:pPr>
            <w:r>
              <w:t xml:space="preserve">61.4%</w:t>
            </w:r>
          </w:p>
        </w:tc>
      </w:tr>
      <w:tr>
        <w:tc>
          <w:tcPr/>
          <w:p>
            <w:pPr>
              <w:pStyle w:val="Compact"/>
            </w:pPr>
            <w:r>
              <w:t xml:space="preserve">Ever URPS/MIGS</w:t>
            </w:r>
          </w:p>
        </w:tc>
        <w:tc>
          <w:tcPr/>
          <w:p>
            <w:pPr>
              <w:pStyle w:val="Compact"/>
            </w:pPr>
            <w:r>
              <w:t xml:space="preserve">Urology</w:t>
            </w:r>
          </w:p>
        </w:tc>
        <w:tc>
          <w:tcPr/>
          <w:p>
            <w:pPr>
              <w:pStyle w:val="Compact"/>
            </w:pPr>
            <w:r>
              <w:t xml:space="preserve">656</w:t>
            </w:r>
          </w:p>
        </w:tc>
        <w:tc>
          <w:tcPr/>
          <w:p>
            <w:pPr>
              <w:pStyle w:val="Compact"/>
            </w:pPr>
            <w:r>
              <w:t xml:space="preserve">33610</w:t>
            </w:r>
          </w:p>
        </w:tc>
        <w:tc>
          <w:tcPr/>
          <w:p>
            <w:pPr>
              <w:pStyle w:val="Compact"/>
            </w:pPr>
            <w:r>
              <w:t xml:space="preserve">25.5%</w:t>
            </w:r>
          </w:p>
        </w:tc>
      </w:tr>
      <w:tr>
        <w:tc>
          <w:tcPr/>
          <w:p>
            <w:pPr>
              <w:pStyle w:val="Compact"/>
            </w:pPr>
            <w:r>
              <w:t xml:space="preserve">Time-varying cert-gated (ABOG sub1startdate)</w:t>
            </w:r>
          </w:p>
        </w:tc>
        <w:tc>
          <w:tcPr/>
          <w:p>
            <w:pPr>
              <w:pStyle w:val="Compact"/>
            </w:pPr>
            <w:r>
              <w:t xml:space="preserve">General OB/GYN</w:t>
            </w:r>
          </w:p>
        </w:tc>
        <w:tc>
          <w:tcPr/>
          <w:p>
            <w:pPr>
              <w:pStyle w:val="Compact"/>
            </w:pPr>
            <w:r>
              <w:t xml:space="preserve">520</w:t>
            </w:r>
          </w:p>
        </w:tc>
        <w:tc>
          <w:tcPr/>
          <w:p>
            <w:pPr>
              <w:pStyle w:val="Compact"/>
            </w:pPr>
            <w:r>
              <w:t xml:space="preserve">24505</w:t>
            </w:r>
          </w:p>
        </w:tc>
        <w:tc>
          <w:tcPr/>
          <w:p>
            <w:pPr>
              <w:pStyle w:val="Compact"/>
            </w:pPr>
            <w:r>
              <w:t xml:space="preserve">18.6%</w:t>
            </w:r>
          </w:p>
        </w:tc>
      </w:tr>
      <w:tr>
        <w:tc>
          <w:tcPr/>
          <w:p>
            <w:pPr>
              <w:pStyle w:val="Compact"/>
            </w:pPr>
            <w:r>
              <w:t xml:space="preserve">Time-varying cert-gated (ABOG sub1startdate)</w:t>
            </w:r>
          </w:p>
        </w:tc>
        <w:tc>
          <w:tcPr/>
          <w:p>
            <w:pPr>
              <w:pStyle w:val="Compact"/>
            </w:pPr>
            <w:r>
              <w:t xml:space="preserve">MIGS</w:t>
            </w:r>
          </w:p>
        </w:tc>
        <w:tc>
          <w:tcPr/>
          <w:p>
            <w:pPr>
              <w:pStyle w:val="Compact"/>
            </w:pPr>
            <w:r>
              <w:t xml:space="preserve">5</w:t>
            </w:r>
          </w:p>
        </w:tc>
        <w:tc>
          <w:tcPr/>
          <w:p>
            <w:pPr>
              <w:pStyle w:val="Compact"/>
            </w:pPr>
            <w:r>
              <w:t xml:space="preserve">201</w:t>
            </w:r>
          </w:p>
        </w:tc>
        <w:tc>
          <w:tcPr/>
          <w:p>
            <w:pPr>
              <w:pStyle w:val="Compact"/>
            </w:pPr>
            <w:r>
              <w:t xml:space="preserve">0.2%</w:t>
            </w:r>
          </w:p>
        </w:tc>
      </w:tr>
      <w:tr>
        <w:tc>
          <w:tcPr/>
          <w:p>
            <w:pPr>
              <w:pStyle w:val="Compact"/>
            </w:pPr>
            <w:r>
              <w:t xml:space="preserve">Time-varying cert-gated (ABOG sub1startdate)</w:t>
            </w:r>
          </w:p>
        </w:tc>
        <w:tc>
          <w:tcPr/>
          <w:p>
            <w:pPr>
              <w:pStyle w:val="Compact"/>
            </w:pPr>
            <w:r>
              <w:t xml:space="preserve">URPS</w:t>
            </w:r>
          </w:p>
        </w:tc>
        <w:tc>
          <w:tcPr/>
          <w:p>
            <w:pPr>
              <w:pStyle w:val="Compact"/>
            </w:pPr>
            <w:r>
              <w:t xml:space="preserve">706</w:t>
            </w:r>
          </w:p>
        </w:tc>
        <w:tc>
          <w:tcPr/>
          <w:p>
            <w:pPr>
              <w:pStyle w:val="Compact"/>
            </w:pPr>
            <w:r>
              <w:t xml:space="preserve">74238</w:t>
            </w:r>
          </w:p>
        </w:tc>
        <w:tc>
          <w:tcPr/>
          <w:p>
            <w:pPr>
              <w:pStyle w:val="Compact"/>
            </w:pPr>
            <w:r>
              <w:t xml:space="preserve">56.4%</w:t>
            </w:r>
          </w:p>
        </w:tc>
      </w:tr>
      <w:tr>
        <w:tc>
          <w:tcPr/>
          <w:p>
            <w:pPr>
              <w:pStyle w:val="Compact"/>
            </w:pPr>
            <w:r>
              <w:t xml:space="preserve">Time-varying cert-gated (ABOG sub1startdate)</w:t>
            </w:r>
          </w:p>
        </w:tc>
        <w:tc>
          <w:tcPr/>
          <w:p>
            <w:pPr>
              <w:pStyle w:val="Compact"/>
            </w:pPr>
            <w:r>
              <w:t xml:space="preserve">Urology</w:t>
            </w:r>
          </w:p>
        </w:tc>
        <w:tc>
          <w:tcPr/>
          <w:p>
            <w:pPr>
              <w:pStyle w:val="Compact"/>
            </w:pPr>
            <w:r>
              <w:t xml:space="preserve">651</w:t>
            </w:r>
          </w:p>
        </w:tc>
        <w:tc>
          <w:tcPr/>
          <w:p>
            <w:pPr>
              <w:pStyle w:val="Compact"/>
            </w:pPr>
            <w:r>
              <w:t xml:space="preserve">32693</w:t>
            </w:r>
          </w:p>
        </w:tc>
        <w:tc>
          <w:tcPr/>
          <w:p>
            <w:pPr>
              <w:pStyle w:val="Compact"/>
            </w:pPr>
            <w:r>
              <w:t xml:space="preserve">24.8%</w:t>
            </w:r>
          </w:p>
        </w:tc>
      </w:tr>
    </w:tbl>
    <w:p>
      <w:pPr>
        <w:pStyle w:val="BodyText"/>
      </w:pPr>
      <w:r>
        <w:rPr>
          <w:b/>
          <w:bCs/>
        </w:rPr>
        <w:t xml:space="preserve">Supplementary Table S6b.</w:t>
      </w:r>
      <w:r>
        <w:t xml:space="preserve"> </w:t>
      </w:r>
      <w:r>
        <w:t xml:space="preserve">URPS and gynecologic market-share trends under each classification scheme. The URPS increase remains positive and significant in every scheme.</w:t>
      </w:r>
    </w:p>
    <w:tbl>
      <w:tblPr>
        <w:tblStyle w:val="Table"/>
        <w:tblW w:type="pct" w:w="5000"/>
        <w:tblLayout w:type="fixed"/>
        <w:tblLook w:firstRow="1" w:lastRow="0" w:firstColumn="0" w:lastColumn="0" w:noHBand="0" w:noVBand="0" w:val="0020"/>
      </w:tblPr>
      <w:tblGrid>
        <w:gridCol w:w="3643"/>
        <w:gridCol w:w="1584"/>
        <w:gridCol w:w="633"/>
        <w:gridCol w:w="1504"/>
        <w:gridCol w:w="554"/>
      </w:tblGrid>
      <w:tr>
        <w:trPr>
          <w:tblHeader w:val="on"/>
        </w:trPr>
        <w:tc>
          <w:tcPr/>
          <w:p>
            <w:pPr>
              <w:pStyle w:val="Compact"/>
            </w:pPr>
            <w:r>
              <w:t xml:space="preserve">Scheme</w:t>
            </w:r>
          </w:p>
        </w:tc>
        <w:tc>
          <w:tcPr/>
          <w:p>
            <w:pPr>
              <w:pStyle w:val="Compact"/>
            </w:pPr>
            <w:r>
              <w:t xml:space="preserve">URPS slope (pp/yr)</w:t>
            </w:r>
          </w:p>
        </w:tc>
        <w:tc>
          <w:tcPr/>
          <w:p>
            <w:pPr>
              <w:pStyle w:val="Compact"/>
            </w:pPr>
            <w:r>
              <w:t xml:space="preserve">URPS p</w:t>
            </w:r>
          </w:p>
        </w:tc>
        <w:tc>
          <w:tcPr/>
          <w:p>
            <w:pPr>
              <w:pStyle w:val="Compact"/>
            </w:pPr>
            <w:r>
              <w:t xml:space="preserve">Gyn slope (pp/yr)</w:t>
            </w:r>
          </w:p>
        </w:tc>
        <w:tc>
          <w:tcPr/>
          <w:p>
            <w:pPr>
              <w:pStyle w:val="Compact"/>
            </w:pPr>
            <w:r>
              <w:t xml:space="preserve">Gyn p</w:t>
            </w:r>
          </w:p>
        </w:tc>
      </w:tr>
      <w:tr>
        <w:tc>
          <w:tcPr/>
          <w:p>
            <w:pPr>
              <w:pStyle w:val="Compact"/>
            </w:pPr>
            <w:r>
              <w:t xml:space="preserve">Time-varying (per physician-year)</w:t>
            </w:r>
          </w:p>
        </w:tc>
        <w:tc>
          <w:tcPr/>
          <w:p>
            <w:pPr>
              <w:pStyle w:val="Compact"/>
            </w:pPr>
            <w:r>
              <w:t xml:space="preserve">0.901</w:t>
            </w:r>
          </w:p>
        </w:tc>
        <w:tc>
          <w:tcPr/>
          <w:p>
            <w:pPr>
              <w:pStyle w:val="Compact"/>
            </w:pPr>
            <w:r>
              <w:t xml:space="preserve">&lt;0.001</w:t>
            </w:r>
          </w:p>
        </w:tc>
        <w:tc>
          <w:tcPr/>
          <w:p>
            <w:pPr>
              <w:pStyle w:val="Compact"/>
            </w:pPr>
            <w:r>
              <w:t xml:space="preserve">0.550</w:t>
            </w:r>
          </w:p>
        </w:tc>
        <w:tc>
          <w:tcPr/>
          <w:p>
            <w:pPr>
              <w:pStyle w:val="Compact"/>
            </w:pPr>
            <w:r>
              <w:t xml:space="preserve">0.004</w:t>
            </w:r>
          </w:p>
        </w:tc>
      </w:tr>
      <w:tr>
        <w:tc>
          <w:tcPr/>
          <w:p>
            <w:pPr>
              <w:pStyle w:val="Compact"/>
            </w:pPr>
            <w:r>
              <w:t xml:space="preserve">Modal (single most-frequent specialty)</w:t>
            </w:r>
          </w:p>
        </w:tc>
        <w:tc>
          <w:tcPr/>
          <w:p>
            <w:pPr>
              <w:pStyle w:val="Compact"/>
            </w:pPr>
            <w:r>
              <w:t xml:space="preserve">0.982</w:t>
            </w:r>
          </w:p>
        </w:tc>
        <w:tc>
          <w:tcPr/>
          <w:p>
            <w:pPr>
              <w:pStyle w:val="Compact"/>
            </w:pPr>
            <w:r>
              <w:t xml:space="preserve">&lt;0.001</w:t>
            </w:r>
          </w:p>
        </w:tc>
        <w:tc>
          <w:tcPr/>
          <w:p>
            <w:pPr>
              <w:pStyle w:val="Compact"/>
            </w:pPr>
            <w:r>
              <w:t xml:space="preserve">0.657</w:t>
            </w:r>
          </w:p>
        </w:tc>
        <w:tc>
          <w:tcPr/>
          <w:p>
            <w:pPr>
              <w:pStyle w:val="Compact"/>
            </w:pPr>
            <w:r>
              <w:t xml:space="preserve">0.002</w:t>
            </w:r>
          </w:p>
        </w:tc>
      </w:tr>
      <w:tr>
        <w:tc>
          <w:tcPr/>
          <w:p>
            <w:pPr>
              <w:pStyle w:val="Compact"/>
            </w:pPr>
            <w:r>
              <w:t xml:space="preserve">Ever URPS/MIGS</w:t>
            </w:r>
          </w:p>
        </w:tc>
        <w:tc>
          <w:tcPr/>
          <w:p>
            <w:pPr>
              <w:pStyle w:val="Compact"/>
            </w:pPr>
            <w:r>
              <w:t xml:space="preserve">0.958</w:t>
            </w:r>
          </w:p>
        </w:tc>
        <w:tc>
          <w:tcPr/>
          <w:p>
            <w:pPr>
              <w:pStyle w:val="Compact"/>
            </w:pPr>
            <w:r>
              <w:t xml:space="preserve">0.001</w:t>
            </w:r>
          </w:p>
        </w:tc>
        <w:tc>
          <w:tcPr/>
          <w:p>
            <w:pPr>
              <w:pStyle w:val="Compact"/>
            </w:pPr>
            <w:r>
              <w:t xml:space="preserve">0.633</w:t>
            </w:r>
          </w:p>
        </w:tc>
        <w:tc>
          <w:tcPr/>
          <w:p>
            <w:pPr>
              <w:pStyle w:val="Compact"/>
            </w:pPr>
            <w:r>
              <w:t xml:space="preserve">0.002</w:t>
            </w:r>
          </w:p>
        </w:tc>
      </w:tr>
      <w:tr>
        <w:tc>
          <w:tcPr/>
          <w:p>
            <w:pPr>
              <w:pStyle w:val="Compact"/>
            </w:pPr>
            <w:r>
              <w:t xml:space="preserve">Time-varying cert-gated (ABOG sub1startdate)</w:t>
            </w:r>
          </w:p>
        </w:tc>
        <w:tc>
          <w:tcPr/>
          <w:p>
            <w:pPr>
              <w:pStyle w:val="Compact"/>
            </w:pPr>
            <w:r>
              <w:t xml:space="preserve">1.539</w:t>
            </w:r>
          </w:p>
        </w:tc>
        <w:tc>
          <w:tcPr/>
          <w:p>
            <w:pPr>
              <w:pStyle w:val="Compact"/>
            </w:pPr>
            <w:r>
              <w:t xml:space="preserve">&lt;0.001</w:t>
            </w:r>
          </w:p>
        </w:tc>
        <w:tc>
          <w:tcPr/>
          <w:p>
            <w:pPr>
              <w:pStyle w:val="Compact"/>
            </w:pPr>
            <w:r>
              <w:t xml:space="preserve">0.550</w:t>
            </w:r>
          </w:p>
        </w:tc>
        <w:tc>
          <w:tcPr/>
          <w:p>
            <w:pPr>
              <w:pStyle w:val="Compact"/>
            </w:pPr>
            <w:r>
              <w:t xml:space="preserve">0.009</w:t>
            </w:r>
          </w:p>
        </w:tc>
      </w:tr>
    </w:tbl>
    <w:p>
      <w:pPr>
        <w:pStyle w:val="BodyText"/>
      </w:pPr>
      <w:r>
        <w:rPr>
          <w:b/>
          <w:bCs/>
        </w:rPr>
        <w:t xml:space="preserve">Supplementary Table S7.</w:t>
      </w:r>
      <w:r>
        <w:t xml:space="preserve"> </w:t>
      </w:r>
      <w:r>
        <w:t xml:space="preserve">Observable surgeons and URPS share by provider practice state (geography, secondary analysis). A state with no observable URPS surgeon may still have URPS surgeons who each fell below the CMS reporting threshold.</w:t>
      </w:r>
    </w:p>
    <w:tbl>
      <w:tblPr>
        <w:tblStyle w:val="Table"/>
        <w:tblW w:type="pct" w:w="5000"/>
        <w:tblLayout w:type="fixed"/>
        <w:tblLook w:firstRow="1" w:lastRow="0" w:firstColumn="0" w:lastColumn="0" w:noHBand="0" w:noVBand="0" w:val="0020"/>
      </w:tblPr>
      <w:tblGrid>
        <w:gridCol w:w="759"/>
        <w:gridCol w:w="2278"/>
        <w:gridCol w:w="1627"/>
        <w:gridCol w:w="1301"/>
        <w:gridCol w:w="1952"/>
      </w:tblGrid>
      <w:tr>
        <w:trPr>
          <w:tblHeader w:val="on"/>
        </w:trPr>
        <w:tc>
          <w:tcPr/>
          <w:p>
            <w:pPr>
              <w:pStyle w:val="Compact"/>
            </w:pPr>
            <w:r>
              <w:t xml:space="preserve">State</w:t>
            </w:r>
          </w:p>
        </w:tc>
        <w:tc>
          <w:tcPr/>
          <w:p>
            <w:pPr>
              <w:pStyle w:val="Compact"/>
            </w:pPr>
            <w:r>
              <w:t xml:space="preserve">Observable surgeons</w:t>
            </w:r>
          </w:p>
        </w:tc>
        <w:tc>
          <w:tcPr/>
          <w:p>
            <w:pPr>
              <w:pStyle w:val="Compact"/>
            </w:pPr>
            <w:r>
              <w:t xml:space="preserve">URPS surgeons</w:t>
            </w:r>
          </w:p>
        </w:tc>
        <w:tc>
          <w:tcPr/>
          <w:p>
            <w:pPr>
              <w:pStyle w:val="Compact"/>
            </w:pPr>
            <w:r>
              <w:t xml:space="preserve">URPS share</w:t>
            </w:r>
          </w:p>
        </w:tc>
        <w:tc>
          <w:tcPr/>
          <w:p>
            <w:pPr>
              <w:pStyle w:val="Compact"/>
            </w:pPr>
            <w:r>
              <w:t xml:space="preserve">Observable URPS?</w:t>
            </w:r>
          </w:p>
        </w:tc>
      </w:tr>
      <w:tr>
        <w:tc>
          <w:tcPr/>
          <w:p>
            <w:pPr>
              <w:pStyle w:val="Compact"/>
            </w:pPr>
            <w:r>
              <w:t xml:space="preserve">CA</w:t>
            </w:r>
          </w:p>
        </w:tc>
        <w:tc>
          <w:tcPr/>
          <w:p>
            <w:pPr>
              <w:pStyle w:val="Compact"/>
            </w:pPr>
            <w:r>
              <w:t xml:space="preserve">150</w:t>
            </w:r>
          </w:p>
        </w:tc>
        <w:tc>
          <w:tcPr/>
          <w:p>
            <w:pPr>
              <w:pStyle w:val="Compact"/>
            </w:pPr>
            <w:r>
              <w:t xml:space="preserve">50</w:t>
            </w:r>
          </w:p>
        </w:tc>
        <w:tc>
          <w:tcPr/>
          <w:p>
            <w:pPr>
              <w:pStyle w:val="Compact"/>
            </w:pPr>
            <w:r>
              <w:t xml:space="preserve">33.3%</w:t>
            </w:r>
          </w:p>
        </w:tc>
        <w:tc>
          <w:tcPr/>
          <w:p>
            <w:pPr>
              <w:pStyle w:val="Compact"/>
            </w:pPr>
            <w:r>
              <w:t xml:space="preserve">Yes</w:t>
            </w:r>
          </w:p>
        </w:tc>
      </w:tr>
      <w:tr>
        <w:tc>
          <w:tcPr/>
          <w:p>
            <w:pPr>
              <w:pStyle w:val="Compact"/>
            </w:pPr>
            <w:r>
              <w:t xml:space="preserve">TX</w:t>
            </w:r>
          </w:p>
        </w:tc>
        <w:tc>
          <w:tcPr/>
          <w:p>
            <w:pPr>
              <w:pStyle w:val="Compact"/>
            </w:pPr>
            <w:r>
              <w:t xml:space="preserve">144</w:t>
            </w:r>
          </w:p>
        </w:tc>
        <w:tc>
          <w:tcPr/>
          <w:p>
            <w:pPr>
              <w:pStyle w:val="Compact"/>
            </w:pPr>
            <w:r>
              <w:t xml:space="preserve">47</w:t>
            </w:r>
          </w:p>
        </w:tc>
        <w:tc>
          <w:tcPr/>
          <w:p>
            <w:pPr>
              <w:pStyle w:val="Compact"/>
            </w:pPr>
            <w:r>
              <w:t xml:space="preserve">32.6%</w:t>
            </w:r>
          </w:p>
        </w:tc>
        <w:tc>
          <w:tcPr/>
          <w:p>
            <w:pPr>
              <w:pStyle w:val="Compact"/>
            </w:pPr>
            <w:r>
              <w:t xml:space="preserve">Yes</w:t>
            </w:r>
          </w:p>
        </w:tc>
      </w:tr>
      <w:tr>
        <w:tc>
          <w:tcPr/>
          <w:p>
            <w:pPr>
              <w:pStyle w:val="Compact"/>
            </w:pPr>
            <w:r>
              <w:t xml:space="preserve">FL</w:t>
            </w:r>
          </w:p>
        </w:tc>
        <w:tc>
          <w:tcPr/>
          <w:p>
            <w:pPr>
              <w:pStyle w:val="Compact"/>
            </w:pPr>
            <w:r>
              <w:t xml:space="preserve">139</w:t>
            </w:r>
          </w:p>
        </w:tc>
        <w:tc>
          <w:tcPr/>
          <w:p>
            <w:pPr>
              <w:pStyle w:val="Compact"/>
            </w:pPr>
            <w:r>
              <w:t xml:space="preserve">49</w:t>
            </w:r>
          </w:p>
        </w:tc>
        <w:tc>
          <w:tcPr/>
          <w:p>
            <w:pPr>
              <w:pStyle w:val="Compact"/>
            </w:pPr>
            <w:r>
              <w:t xml:space="preserve">35.3%</w:t>
            </w:r>
          </w:p>
        </w:tc>
        <w:tc>
          <w:tcPr/>
          <w:p>
            <w:pPr>
              <w:pStyle w:val="Compact"/>
            </w:pPr>
            <w:r>
              <w:t xml:space="preserve">Yes</w:t>
            </w:r>
          </w:p>
        </w:tc>
      </w:tr>
      <w:tr>
        <w:tc>
          <w:tcPr/>
          <w:p>
            <w:pPr>
              <w:pStyle w:val="Compact"/>
            </w:pPr>
            <w:r>
              <w:t xml:space="preserve">NY</w:t>
            </w:r>
          </w:p>
        </w:tc>
        <w:tc>
          <w:tcPr/>
          <w:p>
            <w:pPr>
              <w:pStyle w:val="Compact"/>
            </w:pPr>
            <w:r>
              <w:t xml:space="preserve">70</w:t>
            </w:r>
          </w:p>
        </w:tc>
        <w:tc>
          <w:tcPr/>
          <w:p>
            <w:pPr>
              <w:pStyle w:val="Compact"/>
            </w:pPr>
            <w:r>
              <w:t xml:space="preserve">41</w:t>
            </w:r>
          </w:p>
        </w:tc>
        <w:tc>
          <w:tcPr/>
          <w:p>
            <w:pPr>
              <w:pStyle w:val="Compact"/>
            </w:pPr>
            <w:r>
              <w:t xml:space="preserve">58.6%</w:t>
            </w:r>
          </w:p>
        </w:tc>
        <w:tc>
          <w:tcPr/>
          <w:p>
            <w:pPr>
              <w:pStyle w:val="Compact"/>
            </w:pPr>
            <w:r>
              <w:t xml:space="preserve">Yes</w:t>
            </w:r>
          </w:p>
        </w:tc>
      </w:tr>
      <w:tr>
        <w:tc>
          <w:tcPr/>
          <w:p>
            <w:pPr>
              <w:pStyle w:val="Compact"/>
            </w:pPr>
            <w:r>
              <w:t xml:space="preserve">IL</w:t>
            </w:r>
          </w:p>
        </w:tc>
        <w:tc>
          <w:tcPr/>
          <w:p>
            <w:pPr>
              <w:pStyle w:val="Compact"/>
            </w:pPr>
            <w:r>
              <w:t xml:space="preserve">64</w:t>
            </w:r>
          </w:p>
        </w:tc>
        <w:tc>
          <w:tcPr/>
          <w:p>
            <w:pPr>
              <w:pStyle w:val="Compact"/>
            </w:pPr>
            <w:r>
              <w:t xml:space="preserve">39</w:t>
            </w:r>
          </w:p>
        </w:tc>
        <w:tc>
          <w:tcPr/>
          <w:p>
            <w:pPr>
              <w:pStyle w:val="Compact"/>
            </w:pPr>
            <w:r>
              <w:t xml:space="preserve">60.9%</w:t>
            </w:r>
          </w:p>
        </w:tc>
        <w:tc>
          <w:tcPr/>
          <w:p>
            <w:pPr>
              <w:pStyle w:val="Compact"/>
            </w:pPr>
            <w:r>
              <w:t xml:space="preserve">Yes</w:t>
            </w:r>
          </w:p>
        </w:tc>
      </w:tr>
      <w:tr>
        <w:tc>
          <w:tcPr/>
          <w:p>
            <w:pPr>
              <w:pStyle w:val="Compact"/>
            </w:pPr>
            <w:r>
              <w:t xml:space="preserve">OH</w:t>
            </w:r>
          </w:p>
        </w:tc>
        <w:tc>
          <w:tcPr/>
          <w:p>
            <w:pPr>
              <w:pStyle w:val="Compact"/>
            </w:pPr>
            <w:r>
              <w:t xml:space="preserve">61</w:t>
            </w:r>
          </w:p>
        </w:tc>
        <w:tc>
          <w:tcPr/>
          <w:p>
            <w:pPr>
              <w:pStyle w:val="Compact"/>
            </w:pPr>
            <w:r>
              <w:t xml:space="preserve">44</w:t>
            </w:r>
          </w:p>
        </w:tc>
        <w:tc>
          <w:tcPr/>
          <w:p>
            <w:pPr>
              <w:pStyle w:val="Compact"/>
            </w:pPr>
            <w:r>
              <w:t xml:space="preserve">72.1%</w:t>
            </w:r>
          </w:p>
        </w:tc>
        <w:tc>
          <w:tcPr/>
          <w:p>
            <w:pPr>
              <w:pStyle w:val="Compact"/>
            </w:pPr>
            <w:r>
              <w:t xml:space="preserve">Yes</w:t>
            </w:r>
          </w:p>
        </w:tc>
      </w:tr>
      <w:tr>
        <w:tc>
          <w:tcPr/>
          <w:p>
            <w:pPr>
              <w:pStyle w:val="Compact"/>
            </w:pPr>
            <w:r>
              <w:t xml:space="preserve">PA</w:t>
            </w:r>
          </w:p>
        </w:tc>
        <w:tc>
          <w:tcPr/>
          <w:p>
            <w:pPr>
              <w:pStyle w:val="Compact"/>
            </w:pPr>
            <w:r>
              <w:t xml:space="preserve">61</w:t>
            </w:r>
          </w:p>
        </w:tc>
        <w:tc>
          <w:tcPr/>
          <w:p>
            <w:pPr>
              <w:pStyle w:val="Compact"/>
            </w:pPr>
            <w:r>
              <w:t xml:space="preserve">33</w:t>
            </w:r>
          </w:p>
        </w:tc>
        <w:tc>
          <w:tcPr/>
          <w:p>
            <w:pPr>
              <w:pStyle w:val="Compact"/>
            </w:pPr>
            <w:r>
              <w:t xml:space="preserve">54.1%</w:t>
            </w:r>
          </w:p>
        </w:tc>
        <w:tc>
          <w:tcPr/>
          <w:p>
            <w:pPr>
              <w:pStyle w:val="Compact"/>
            </w:pPr>
            <w:r>
              <w:t xml:space="preserve">Yes</w:t>
            </w:r>
          </w:p>
        </w:tc>
      </w:tr>
      <w:tr>
        <w:tc>
          <w:tcPr/>
          <w:p>
            <w:pPr>
              <w:pStyle w:val="Compact"/>
            </w:pPr>
            <w:r>
              <w:t xml:space="preserve">AZ</w:t>
            </w:r>
          </w:p>
        </w:tc>
        <w:tc>
          <w:tcPr/>
          <w:p>
            <w:pPr>
              <w:pStyle w:val="Compact"/>
            </w:pPr>
            <w:r>
              <w:t xml:space="preserve">59</w:t>
            </w:r>
          </w:p>
        </w:tc>
        <w:tc>
          <w:tcPr/>
          <w:p>
            <w:pPr>
              <w:pStyle w:val="Compact"/>
            </w:pPr>
            <w:r>
              <w:t xml:space="preserve">19</w:t>
            </w:r>
          </w:p>
        </w:tc>
        <w:tc>
          <w:tcPr/>
          <w:p>
            <w:pPr>
              <w:pStyle w:val="Compact"/>
            </w:pPr>
            <w:r>
              <w:t xml:space="preserve">32.2%</w:t>
            </w:r>
          </w:p>
        </w:tc>
        <w:tc>
          <w:tcPr/>
          <w:p>
            <w:pPr>
              <w:pStyle w:val="Compact"/>
            </w:pPr>
            <w:r>
              <w:t xml:space="preserve">Yes</w:t>
            </w:r>
          </w:p>
        </w:tc>
      </w:tr>
      <w:tr>
        <w:tc>
          <w:tcPr/>
          <w:p>
            <w:pPr>
              <w:pStyle w:val="Compact"/>
            </w:pPr>
            <w:r>
              <w:t xml:space="preserve">NJ</w:t>
            </w:r>
          </w:p>
        </w:tc>
        <w:tc>
          <w:tcPr/>
          <w:p>
            <w:pPr>
              <w:pStyle w:val="Compact"/>
            </w:pPr>
            <w:r>
              <w:t xml:space="preserve">57</w:t>
            </w:r>
          </w:p>
        </w:tc>
        <w:tc>
          <w:tcPr/>
          <w:p>
            <w:pPr>
              <w:pStyle w:val="Compact"/>
            </w:pPr>
            <w:r>
              <w:t xml:space="preserve">28</w:t>
            </w:r>
          </w:p>
        </w:tc>
        <w:tc>
          <w:tcPr/>
          <w:p>
            <w:pPr>
              <w:pStyle w:val="Compact"/>
            </w:pPr>
            <w:r>
              <w:t xml:space="preserve">49.1%</w:t>
            </w:r>
          </w:p>
        </w:tc>
        <w:tc>
          <w:tcPr/>
          <w:p>
            <w:pPr>
              <w:pStyle w:val="Compact"/>
            </w:pPr>
            <w:r>
              <w:t xml:space="preserve">Yes</w:t>
            </w:r>
          </w:p>
        </w:tc>
      </w:tr>
      <w:tr>
        <w:tc>
          <w:tcPr/>
          <w:p>
            <w:pPr>
              <w:pStyle w:val="Compact"/>
            </w:pPr>
            <w:r>
              <w:t xml:space="preserve">TN</w:t>
            </w:r>
          </w:p>
        </w:tc>
        <w:tc>
          <w:tcPr/>
          <w:p>
            <w:pPr>
              <w:pStyle w:val="Compact"/>
            </w:pPr>
            <w:r>
              <w:t xml:space="preserve">57</w:t>
            </w:r>
          </w:p>
        </w:tc>
        <w:tc>
          <w:tcPr/>
          <w:p>
            <w:pPr>
              <w:pStyle w:val="Compact"/>
            </w:pPr>
            <w:r>
              <w:t xml:space="preserve">20</w:t>
            </w:r>
          </w:p>
        </w:tc>
        <w:tc>
          <w:tcPr/>
          <w:p>
            <w:pPr>
              <w:pStyle w:val="Compact"/>
            </w:pPr>
            <w:r>
              <w:t xml:space="preserve">35.1%</w:t>
            </w:r>
          </w:p>
        </w:tc>
        <w:tc>
          <w:tcPr/>
          <w:p>
            <w:pPr>
              <w:pStyle w:val="Compact"/>
            </w:pPr>
            <w:r>
              <w:t xml:space="preserve">Yes</w:t>
            </w:r>
          </w:p>
        </w:tc>
      </w:tr>
      <w:tr>
        <w:tc>
          <w:tcPr/>
          <w:p>
            <w:pPr>
              <w:pStyle w:val="Compact"/>
            </w:pPr>
            <w:r>
              <w:t xml:space="preserve">MI</w:t>
            </w:r>
          </w:p>
        </w:tc>
        <w:tc>
          <w:tcPr/>
          <w:p>
            <w:pPr>
              <w:pStyle w:val="Compact"/>
            </w:pPr>
            <w:r>
              <w:t xml:space="preserve">56</w:t>
            </w:r>
          </w:p>
        </w:tc>
        <w:tc>
          <w:tcPr/>
          <w:p>
            <w:pPr>
              <w:pStyle w:val="Compact"/>
            </w:pPr>
            <w:r>
              <w:t xml:space="preserve">22</w:t>
            </w:r>
          </w:p>
        </w:tc>
        <w:tc>
          <w:tcPr/>
          <w:p>
            <w:pPr>
              <w:pStyle w:val="Compact"/>
            </w:pPr>
            <w:r>
              <w:t xml:space="preserve">39.3%</w:t>
            </w:r>
          </w:p>
        </w:tc>
        <w:tc>
          <w:tcPr/>
          <w:p>
            <w:pPr>
              <w:pStyle w:val="Compact"/>
            </w:pPr>
            <w:r>
              <w:t xml:space="preserve">Yes</w:t>
            </w:r>
          </w:p>
        </w:tc>
      </w:tr>
      <w:tr>
        <w:tc>
          <w:tcPr/>
          <w:p>
            <w:pPr>
              <w:pStyle w:val="Compact"/>
            </w:pPr>
            <w:r>
              <w:t xml:space="preserve">NC</w:t>
            </w:r>
          </w:p>
        </w:tc>
        <w:tc>
          <w:tcPr/>
          <w:p>
            <w:pPr>
              <w:pStyle w:val="Compact"/>
            </w:pPr>
            <w:r>
              <w:t xml:space="preserve">54</w:t>
            </w:r>
          </w:p>
        </w:tc>
        <w:tc>
          <w:tcPr/>
          <w:p>
            <w:pPr>
              <w:pStyle w:val="Compact"/>
            </w:pPr>
            <w:r>
              <w:t xml:space="preserve">35</w:t>
            </w:r>
          </w:p>
        </w:tc>
        <w:tc>
          <w:tcPr/>
          <w:p>
            <w:pPr>
              <w:pStyle w:val="Compact"/>
            </w:pPr>
            <w:r>
              <w:t xml:space="preserve">64.8%</w:t>
            </w:r>
          </w:p>
        </w:tc>
        <w:tc>
          <w:tcPr/>
          <w:p>
            <w:pPr>
              <w:pStyle w:val="Compact"/>
            </w:pPr>
            <w:r>
              <w:t xml:space="preserve">Yes</w:t>
            </w:r>
          </w:p>
        </w:tc>
      </w:tr>
      <w:tr>
        <w:tc>
          <w:tcPr/>
          <w:p>
            <w:pPr>
              <w:pStyle w:val="Compact"/>
            </w:pPr>
            <w:r>
              <w:t xml:space="preserve">MA</w:t>
            </w:r>
          </w:p>
        </w:tc>
        <w:tc>
          <w:tcPr/>
          <w:p>
            <w:pPr>
              <w:pStyle w:val="Compact"/>
            </w:pPr>
            <w:r>
              <w:t xml:space="preserve">51</w:t>
            </w:r>
          </w:p>
        </w:tc>
        <w:tc>
          <w:tcPr/>
          <w:p>
            <w:pPr>
              <w:pStyle w:val="Compact"/>
            </w:pPr>
            <w:r>
              <w:t xml:space="preserve">33</w:t>
            </w:r>
          </w:p>
        </w:tc>
        <w:tc>
          <w:tcPr/>
          <w:p>
            <w:pPr>
              <w:pStyle w:val="Compact"/>
            </w:pPr>
            <w:r>
              <w:t xml:space="preserve">64.7%</w:t>
            </w:r>
          </w:p>
        </w:tc>
        <w:tc>
          <w:tcPr/>
          <w:p>
            <w:pPr>
              <w:pStyle w:val="Compact"/>
            </w:pPr>
            <w:r>
              <w:t xml:space="preserve">Yes</w:t>
            </w:r>
          </w:p>
        </w:tc>
      </w:tr>
      <w:tr>
        <w:tc>
          <w:tcPr/>
          <w:p>
            <w:pPr>
              <w:pStyle w:val="Compact"/>
            </w:pPr>
            <w:r>
              <w:t xml:space="preserve">WA</w:t>
            </w:r>
          </w:p>
        </w:tc>
        <w:tc>
          <w:tcPr/>
          <w:p>
            <w:pPr>
              <w:pStyle w:val="Compact"/>
            </w:pPr>
            <w:r>
              <w:t xml:space="preserve">45</w:t>
            </w:r>
          </w:p>
        </w:tc>
        <w:tc>
          <w:tcPr/>
          <w:p>
            <w:pPr>
              <w:pStyle w:val="Compact"/>
            </w:pPr>
            <w:r>
              <w:t xml:space="preserve">19</w:t>
            </w:r>
          </w:p>
        </w:tc>
        <w:tc>
          <w:tcPr/>
          <w:p>
            <w:pPr>
              <w:pStyle w:val="Compact"/>
            </w:pPr>
            <w:r>
              <w:t xml:space="preserve">42.2%</w:t>
            </w:r>
          </w:p>
        </w:tc>
        <w:tc>
          <w:tcPr/>
          <w:p>
            <w:pPr>
              <w:pStyle w:val="Compact"/>
            </w:pPr>
            <w:r>
              <w:t xml:space="preserve">Yes</w:t>
            </w:r>
          </w:p>
        </w:tc>
      </w:tr>
      <w:tr>
        <w:tc>
          <w:tcPr/>
          <w:p>
            <w:pPr>
              <w:pStyle w:val="Compact"/>
            </w:pPr>
            <w:r>
              <w:t xml:space="preserve">IN</w:t>
            </w:r>
          </w:p>
        </w:tc>
        <w:tc>
          <w:tcPr/>
          <w:p>
            <w:pPr>
              <w:pStyle w:val="Compact"/>
            </w:pPr>
            <w:r>
              <w:t xml:space="preserve">44</w:t>
            </w:r>
          </w:p>
        </w:tc>
        <w:tc>
          <w:tcPr/>
          <w:p>
            <w:pPr>
              <w:pStyle w:val="Compact"/>
            </w:pPr>
            <w:r>
              <w:t xml:space="preserve">13</w:t>
            </w:r>
          </w:p>
        </w:tc>
        <w:tc>
          <w:tcPr/>
          <w:p>
            <w:pPr>
              <w:pStyle w:val="Compact"/>
            </w:pPr>
            <w:r>
              <w:t xml:space="preserve">29.5%</w:t>
            </w:r>
          </w:p>
        </w:tc>
        <w:tc>
          <w:tcPr/>
          <w:p>
            <w:pPr>
              <w:pStyle w:val="Compact"/>
            </w:pPr>
            <w:r>
              <w:t xml:space="preserve">Yes</w:t>
            </w:r>
          </w:p>
        </w:tc>
      </w:tr>
      <w:tr>
        <w:tc>
          <w:tcPr/>
          <w:p>
            <w:pPr>
              <w:pStyle w:val="Compact"/>
            </w:pPr>
            <w:r>
              <w:t xml:space="preserve">VA</w:t>
            </w:r>
          </w:p>
        </w:tc>
        <w:tc>
          <w:tcPr/>
          <w:p>
            <w:pPr>
              <w:pStyle w:val="Compact"/>
            </w:pPr>
            <w:r>
              <w:t xml:space="preserve">43</w:t>
            </w:r>
          </w:p>
        </w:tc>
        <w:tc>
          <w:tcPr/>
          <w:p>
            <w:pPr>
              <w:pStyle w:val="Compact"/>
            </w:pPr>
            <w:r>
              <w:t xml:space="preserve">27</w:t>
            </w:r>
          </w:p>
        </w:tc>
        <w:tc>
          <w:tcPr/>
          <w:p>
            <w:pPr>
              <w:pStyle w:val="Compact"/>
            </w:pPr>
            <w:r>
              <w:t xml:space="preserve">62.8%</w:t>
            </w:r>
          </w:p>
        </w:tc>
        <w:tc>
          <w:tcPr/>
          <w:p>
            <w:pPr>
              <w:pStyle w:val="Compact"/>
            </w:pPr>
            <w:r>
              <w:t xml:space="preserve">Yes</w:t>
            </w:r>
          </w:p>
        </w:tc>
      </w:tr>
      <w:tr>
        <w:tc>
          <w:tcPr/>
          <w:p>
            <w:pPr>
              <w:pStyle w:val="Compact"/>
            </w:pPr>
            <w:r>
              <w:t xml:space="preserve">GA</w:t>
            </w:r>
          </w:p>
        </w:tc>
        <w:tc>
          <w:tcPr/>
          <w:p>
            <w:pPr>
              <w:pStyle w:val="Compact"/>
            </w:pPr>
            <w:r>
              <w:t xml:space="preserve">42</w:t>
            </w:r>
          </w:p>
        </w:tc>
        <w:tc>
          <w:tcPr/>
          <w:p>
            <w:pPr>
              <w:pStyle w:val="Compact"/>
            </w:pPr>
            <w:r>
              <w:t xml:space="preserve">17</w:t>
            </w:r>
          </w:p>
        </w:tc>
        <w:tc>
          <w:tcPr/>
          <w:p>
            <w:pPr>
              <w:pStyle w:val="Compact"/>
            </w:pPr>
            <w:r>
              <w:t xml:space="preserve">40.5%</w:t>
            </w:r>
          </w:p>
        </w:tc>
        <w:tc>
          <w:tcPr/>
          <w:p>
            <w:pPr>
              <w:pStyle w:val="Compact"/>
            </w:pPr>
            <w:r>
              <w:t xml:space="preserve">Yes</w:t>
            </w:r>
          </w:p>
        </w:tc>
      </w:tr>
      <w:tr>
        <w:tc>
          <w:tcPr/>
          <w:p>
            <w:pPr>
              <w:pStyle w:val="Compact"/>
            </w:pPr>
            <w:r>
              <w:t xml:space="preserve">MO</w:t>
            </w:r>
          </w:p>
        </w:tc>
        <w:tc>
          <w:tcPr/>
          <w:p>
            <w:pPr>
              <w:pStyle w:val="Compact"/>
            </w:pPr>
            <w:r>
              <w:t xml:space="preserve">42</w:t>
            </w:r>
          </w:p>
        </w:tc>
        <w:tc>
          <w:tcPr/>
          <w:p>
            <w:pPr>
              <w:pStyle w:val="Compact"/>
            </w:pPr>
            <w:r>
              <w:t xml:space="preserve">16</w:t>
            </w:r>
          </w:p>
        </w:tc>
        <w:tc>
          <w:tcPr/>
          <w:p>
            <w:pPr>
              <w:pStyle w:val="Compact"/>
            </w:pPr>
            <w:r>
              <w:t xml:space="preserve">38.1%</w:t>
            </w:r>
          </w:p>
        </w:tc>
        <w:tc>
          <w:tcPr/>
          <w:p>
            <w:pPr>
              <w:pStyle w:val="Compact"/>
            </w:pPr>
            <w:r>
              <w:t xml:space="preserve">Yes</w:t>
            </w:r>
          </w:p>
        </w:tc>
      </w:tr>
      <w:tr>
        <w:tc>
          <w:tcPr/>
          <w:p>
            <w:pPr>
              <w:pStyle w:val="Compact"/>
            </w:pPr>
            <w:r>
              <w:t xml:space="preserve">AL</w:t>
            </w:r>
          </w:p>
        </w:tc>
        <w:tc>
          <w:tcPr/>
          <w:p>
            <w:pPr>
              <w:pStyle w:val="Compact"/>
            </w:pPr>
            <w:r>
              <w:t xml:space="preserve">36</w:t>
            </w:r>
          </w:p>
        </w:tc>
        <w:tc>
          <w:tcPr/>
          <w:p>
            <w:pPr>
              <w:pStyle w:val="Compact"/>
            </w:pPr>
            <w:r>
              <w:t xml:space="preserve">12</w:t>
            </w:r>
          </w:p>
        </w:tc>
        <w:tc>
          <w:tcPr/>
          <w:p>
            <w:pPr>
              <w:pStyle w:val="Compact"/>
            </w:pPr>
            <w:r>
              <w:t xml:space="preserve">33.3%</w:t>
            </w:r>
          </w:p>
        </w:tc>
        <w:tc>
          <w:tcPr/>
          <w:p>
            <w:pPr>
              <w:pStyle w:val="Compact"/>
            </w:pPr>
            <w:r>
              <w:t xml:space="preserve">Yes</w:t>
            </w:r>
          </w:p>
        </w:tc>
      </w:tr>
      <w:tr>
        <w:tc>
          <w:tcPr/>
          <w:p>
            <w:pPr>
              <w:pStyle w:val="Compact"/>
            </w:pPr>
            <w:r>
              <w:t xml:space="preserve">MD</w:t>
            </w:r>
          </w:p>
        </w:tc>
        <w:tc>
          <w:tcPr/>
          <w:p>
            <w:pPr>
              <w:pStyle w:val="Compact"/>
            </w:pPr>
            <w:r>
              <w:t xml:space="preserve">34</w:t>
            </w:r>
          </w:p>
        </w:tc>
        <w:tc>
          <w:tcPr/>
          <w:p>
            <w:pPr>
              <w:pStyle w:val="Compact"/>
            </w:pPr>
            <w:r>
              <w:t xml:space="preserve">14</w:t>
            </w:r>
          </w:p>
        </w:tc>
        <w:tc>
          <w:tcPr/>
          <w:p>
            <w:pPr>
              <w:pStyle w:val="Compact"/>
            </w:pPr>
            <w:r>
              <w:t xml:space="preserve">41.2%</w:t>
            </w:r>
          </w:p>
        </w:tc>
        <w:tc>
          <w:tcPr/>
          <w:p>
            <w:pPr>
              <w:pStyle w:val="Compact"/>
            </w:pPr>
            <w:r>
              <w:t xml:space="preserve">Yes</w:t>
            </w:r>
          </w:p>
        </w:tc>
      </w:tr>
      <w:tr>
        <w:tc>
          <w:tcPr/>
          <w:p>
            <w:pPr>
              <w:pStyle w:val="Compact"/>
            </w:pPr>
            <w:r>
              <w:t xml:space="preserve">SC</w:t>
            </w:r>
          </w:p>
        </w:tc>
        <w:tc>
          <w:tcPr/>
          <w:p>
            <w:pPr>
              <w:pStyle w:val="Compact"/>
            </w:pPr>
            <w:r>
              <w:t xml:space="preserve">34</w:t>
            </w:r>
          </w:p>
        </w:tc>
        <w:tc>
          <w:tcPr/>
          <w:p>
            <w:pPr>
              <w:pStyle w:val="Compact"/>
            </w:pPr>
            <w:r>
              <w:t xml:space="preserve">11</w:t>
            </w:r>
          </w:p>
        </w:tc>
        <w:tc>
          <w:tcPr/>
          <w:p>
            <w:pPr>
              <w:pStyle w:val="Compact"/>
            </w:pPr>
            <w:r>
              <w:t xml:space="preserve">32.4%</w:t>
            </w:r>
          </w:p>
        </w:tc>
        <w:tc>
          <w:tcPr/>
          <w:p>
            <w:pPr>
              <w:pStyle w:val="Compact"/>
            </w:pPr>
            <w:r>
              <w:t xml:space="preserve">Yes</w:t>
            </w:r>
          </w:p>
        </w:tc>
      </w:tr>
      <w:tr>
        <w:tc>
          <w:tcPr/>
          <w:p>
            <w:pPr>
              <w:pStyle w:val="Compact"/>
            </w:pPr>
            <w:r>
              <w:t xml:space="preserve">KY</w:t>
            </w:r>
          </w:p>
        </w:tc>
        <w:tc>
          <w:tcPr/>
          <w:p>
            <w:pPr>
              <w:pStyle w:val="Compact"/>
            </w:pPr>
            <w:r>
              <w:t xml:space="preserve">30</w:t>
            </w:r>
          </w:p>
        </w:tc>
        <w:tc>
          <w:tcPr/>
          <w:p>
            <w:pPr>
              <w:pStyle w:val="Compact"/>
            </w:pPr>
            <w:r>
              <w:t xml:space="preserve">10</w:t>
            </w:r>
          </w:p>
        </w:tc>
        <w:tc>
          <w:tcPr/>
          <w:p>
            <w:pPr>
              <w:pStyle w:val="Compact"/>
            </w:pPr>
            <w:r>
              <w:t xml:space="preserve">33.3%</w:t>
            </w:r>
          </w:p>
        </w:tc>
        <w:tc>
          <w:tcPr/>
          <w:p>
            <w:pPr>
              <w:pStyle w:val="Compact"/>
            </w:pPr>
            <w:r>
              <w:t xml:space="preserve">Yes</w:t>
            </w:r>
          </w:p>
        </w:tc>
      </w:tr>
      <w:tr>
        <w:tc>
          <w:tcPr/>
          <w:p>
            <w:pPr>
              <w:pStyle w:val="Compact"/>
            </w:pPr>
            <w:r>
              <w:t xml:space="preserve">OK</w:t>
            </w:r>
          </w:p>
        </w:tc>
        <w:tc>
          <w:tcPr/>
          <w:p>
            <w:pPr>
              <w:pStyle w:val="Compact"/>
            </w:pPr>
            <w:r>
              <w:t xml:space="preserve">29</w:t>
            </w:r>
          </w:p>
        </w:tc>
        <w:tc>
          <w:tcPr/>
          <w:p>
            <w:pPr>
              <w:pStyle w:val="Compact"/>
            </w:pPr>
            <w:r>
              <w:t xml:space="preserve">10</w:t>
            </w:r>
          </w:p>
        </w:tc>
        <w:tc>
          <w:tcPr/>
          <w:p>
            <w:pPr>
              <w:pStyle w:val="Compact"/>
            </w:pPr>
            <w:r>
              <w:t xml:space="preserve">34.5%</w:t>
            </w:r>
          </w:p>
        </w:tc>
        <w:tc>
          <w:tcPr/>
          <w:p>
            <w:pPr>
              <w:pStyle w:val="Compact"/>
            </w:pPr>
            <w:r>
              <w:t xml:space="preserve">Yes</w:t>
            </w:r>
          </w:p>
        </w:tc>
      </w:tr>
      <w:tr>
        <w:tc>
          <w:tcPr/>
          <w:p>
            <w:pPr>
              <w:pStyle w:val="Compact"/>
            </w:pPr>
            <w:r>
              <w:t xml:space="preserve">LA</w:t>
            </w:r>
          </w:p>
        </w:tc>
        <w:tc>
          <w:tcPr/>
          <w:p>
            <w:pPr>
              <w:pStyle w:val="Compact"/>
            </w:pPr>
            <w:r>
              <w:t xml:space="preserve">28</w:t>
            </w:r>
          </w:p>
        </w:tc>
        <w:tc>
          <w:tcPr/>
          <w:p>
            <w:pPr>
              <w:pStyle w:val="Compact"/>
            </w:pPr>
            <w:r>
              <w:t xml:space="preserve">6</w:t>
            </w:r>
          </w:p>
        </w:tc>
        <w:tc>
          <w:tcPr/>
          <w:p>
            <w:pPr>
              <w:pStyle w:val="Compact"/>
            </w:pPr>
            <w:r>
              <w:t xml:space="preserve">21.4%</w:t>
            </w:r>
          </w:p>
        </w:tc>
        <w:tc>
          <w:tcPr/>
          <w:p>
            <w:pPr>
              <w:pStyle w:val="Compact"/>
            </w:pPr>
            <w:r>
              <w:t xml:space="preserve">Yes</w:t>
            </w:r>
          </w:p>
        </w:tc>
      </w:tr>
      <w:tr>
        <w:tc>
          <w:tcPr/>
          <w:p>
            <w:pPr>
              <w:pStyle w:val="Compact"/>
            </w:pPr>
            <w:r>
              <w:t xml:space="preserve">NE</w:t>
            </w:r>
          </w:p>
        </w:tc>
        <w:tc>
          <w:tcPr/>
          <w:p>
            <w:pPr>
              <w:pStyle w:val="Compact"/>
            </w:pPr>
            <w:r>
              <w:t xml:space="preserve">26</w:t>
            </w:r>
          </w:p>
        </w:tc>
        <w:tc>
          <w:tcPr/>
          <w:p>
            <w:pPr>
              <w:pStyle w:val="Compact"/>
            </w:pPr>
            <w:r>
              <w:t xml:space="preserve">4</w:t>
            </w:r>
          </w:p>
        </w:tc>
        <w:tc>
          <w:tcPr/>
          <w:p>
            <w:pPr>
              <w:pStyle w:val="Compact"/>
            </w:pPr>
            <w:r>
              <w:t xml:space="preserve">15.4%</w:t>
            </w:r>
          </w:p>
        </w:tc>
        <w:tc>
          <w:tcPr/>
          <w:p>
            <w:pPr>
              <w:pStyle w:val="Compact"/>
            </w:pPr>
            <w:r>
              <w:t xml:space="preserve">Yes</w:t>
            </w:r>
          </w:p>
        </w:tc>
      </w:tr>
      <w:tr>
        <w:tc>
          <w:tcPr/>
          <w:p>
            <w:pPr>
              <w:pStyle w:val="Compact"/>
            </w:pPr>
            <w:r>
              <w:t xml:space="preserve">CO</w:t>
            </w:r>
          </w:p>
        </w:tc>
        <w:tc>
          <w:tcPr/>
          <w:p>
            <w:pPr>
              <w:pStyle w:val="Compact"/>
            </w:pPr>
            <w:r>
              <w:t xml:space="preserve">25</w:t>
            </w:r>
          </w:p>
        </w:tc>
        <w:tc>
          <w:tcPr/>
          <w:p>
            <w:pPr>
              <w:pStyle w:val="Compact"/>
            </w:pPr>
            <w:r>
              <w:t xml:space="preserve">14</w:t>
            </w:r>
          </w:p>
        </w:tc>
        <w:tc>
          <w:tcPr/>
          <w:p>
            <w:pPr>
              <w:pStyle w:val="Compact"/>
            </w:pPr>
            <w:r>
              <w:t xml:space="preserve">56.0%</w:t>
            </w:r>
          </w:p>
        </w:tc>
        <w:tc>
          <w:tcPr/>
          <w:p>
            <w:pPr>
              <w:pStyle w:val="Compact"/>
            </w:pPr>
            <w:r>
              <w:t xml:space="preserve">Yes</w:t>
            </w:r>
          </w:p>
        </w:tc>
      </w:tr>
      <w:tr>
        <w:tc>
          <w:tcPr/>
          <w:p>
            <w:pPr>
              <w:pStyle w:val="Compact"/>
            </w:pPr>
            <w:r>
              <w:t xml:space="preserve">OR</w:t>
            </w:r>
          </w:p>
        </w:tc>
        <w:tc>
          <w:tcPr/>
          <w:p>
            <w:pPr>
              <w:pStyle w:val="Compact"/>
            </w:pPr>
            <w:r>
              <w:t xml:space="preserve">25</w:t>
            </w:r>
          </w:p>
        </w:tc>
        <w:tc>
          <w:tcPr/>
          <w:p>
            <w:pPr>
              <w:pStyle w:val="Compact"/>
            </w:pPr>
            <w:r>
              <w:t xml:space="preserve">9</w:t>
            </w:r>
          </w:p>
        </w:tc>
        <w:tc>
          <w:tcPr/>
          <w:p>
            <w:pPr>
              <w:pStyle w:val="Compact"/>
            </w:pPr>
            <w:r>
              <w:t xml:space="preserve">36.0%</w:t>
            </w:r>
          </w:p>
        </w:tc>
        <w:tc>
          <w:tcPr/>
          <w:p>
            <w:pPr>
              <w:pStyle w:val="Compact"/>
            </w:pPr>
            <w:r>
              <w:t xml:space="preserve">Yes</w:t>
            </w:r>
          </w:p>
        </w:tc>
      </w:tr>
      <w:tr>
        <w:tc>
          <w:tcPr/>
          <w:p>
            <w:pPr>
              <w:pStyle w:val="Compact"/>
            </w:pPr>
            <w:r>
              <w:t xml:space="preserve">KS</w:t>
            </w:r>
          </w:p>
        </w:tc>
        <w:tc>
          <w:tcPr/>
          <w:p>
            <w:pPr>
              <w:pStyle w:val="Compact"/>
            </w:pPr>
            <w:r>
              <w:t xml:space="preserve">21</w:t>
            </w:r>
          </w:p>
        </w:tc>
        <w:tc>
          <w:tcPr/>
          <w:p>
            <w:pPr>
              <w:pStyle w:val="Compact"/>
            </w:pPr>
            <w:r>
              <w:t xml:space="preserve">4</w:t>
            </w:r>
          </w:p>
        </w:tc>
        <w:tc>
          <w:tcPr/>
          <w:p>
            <w:pPr>
              <w:pStyle w:val="Compact"/>
            </w:pPr>
            <w:r>
              <w:t xml:space="preserve">19.0%</w:t>
            </w:r>
          </w:p>
        </w:tc>
        <w:tc>
          <w:tcPr/>
          <w:p>
            <w:pPr>
              <w:pStyle w:val="Compact"/>
            </w:pPr>
            <w:r>
              <w:t xml:space="preserve">Yes</w:t>
            </w:r>
          </w:p>
        </w:tc>
      </w:tr>
      <w:tr>
        <w:tc>
          <w:tcPr/>
          <w:p>
            <w:pPr>
              <w:pStyle w:val="Compact"/>
            </w:pPr>
            <w:r>
              <w:t xml:space="preserve">NV</w:t>
            </w:r>
          </w:p>
        </w:tc>
        <w:tc>
          <w:tcPr/>
          <w:p>
            <w:pPr>
              <w:pStyle w:val="Compact"/>
            </w:pPr>
            <w:r>
              <w:t xml:space="preserve">21</w:t>
            </w:r>
          </w:p>
        </w:tc>
        <w:tc>
          <w:tcPr/>
          <w:p>
            <w:pPr>
              <w:pStyle w:val="Compact"/>
            </w:pPr>
            <w:r>
              <w:t xml:space="preserve">8</w:t>
            </w:r>
          </w:p>
        </w:tc>
        <w:tc>
          <w:tcPr/>
          <w:p>
            <w:pPr>
              <w:pStyle w:val="Compact"/>
            </w:pPr>
            <w:r>
              <w:t xml:space="preserve">38.1%</w:t>
            </w:r>
          </w:p>
        </w:tc>
        <w:tc>
          <w:tcPr/>
          <w:p>
            <w:pPr>
              <w:pStyle w:val="Compact"/>
            </w:pPr>
            <w:r>
              <w:t xml:space="preserve">Yes</w:t>
            </w:r>
          </w:p>
        </w:tc>
      </w:tr>
      <w:tr>
        <w:tc>
          <w:tcPr/>
          <w:p>
            <w:pPr>
              <w:pStyle w:val="Compact"/>
            </w:pPr>
            <w:r>
              <w:t xml:space="preserve">AR</w:t>
            </w:r>
          </w:p>
        </w:tc>
        <w:tc>
          <w:tcPr/>
          <w:p>
            <w:pPr>
              <w:pStyle w:val="Compact"/>
            </w:pPr>
            <w:r>
              <w:t xml:space="preserve">20</w:t>
            </w:r>
          </w:p>
        </w:tc>
        <w:tc>
          <w:tcPr/>
          <w:p>
            <w:pPr>
              <w:pStyle w:val="Compact"/>
            </w:pPr>
            <w:r>
              <w:t xml:space="preserve">3</w:t>
            </w:r>
          </w:p>
        </w:tc>
        <w:tc>
          <w:tcPr/>
          <w:p>
            <w:pPr>
              <w:pStyle w:val="Compact"/>
            </w:pPr>
            <w:r>
              <w:t xml:space="preserve">15.0%</w:t>
            </w:r>
          </w:p>
        </w:tc>
        <w:tc>
          <w:tcPr/>
          <w:p>
            <w:pPr>
              <w:pStyle w:val="Compact"/>
            </w:pPr>
            <w:r>
              <w:t xml:space="preserve">Yes</w:t>
            </w:r>
          </w:p>
        </w:tc>
      </w:tr>
      <w:tr>
        <w:tc>
          <w:tcPr/>
          <w:p>
            <w:pPr>
              <w:pStyle w:val="Compact"/>
            </w:pPr>
            <w:r>
              <w:t xml:space="preserve">WI</w:t>
            </w:r>
          </w:p>
        </w:tc>
        <w:tc>
          <w:tcPr/>
          <w:p>
            <w:pPr>
              <w:pStyle w:val="Compact"/>
            </w:pPr>
            <w:r>
              <w:t xml:space="preserve">20</w:t>
            </w:r>
          </w:p>
        </w:tc>
        <w:tc>
          <w:tcPr/>
          <w:p>
            <w:pPr>
              <w:pStyle w:val="Compact"/>
            </w:pPr>
            <w:r>
              <w:t xml:space="preserve">12</w:t>
            </w:r>
          </w:p>
        </w:tc>
        <w:tc>
          <w:tcPr/>
          <w:p>
            <w:pPr>
              <w:pStyle w:val="Compact"/>
            </w:pPr>
            <w:r>
              <w:t xml:space="preserve">60.0%</w:t>
            </w:r>
          </w:p>
        </w:tc>
        <w:tc>
          <w:tcPr/>
          <w:p>
            <w:pPr>
              <w:pStyle w:val="Compact"/>
            </w:pPr>
            <w:r>
              <w:t xml:space="preserve">Yes</w:t>
            </w:r>
          </w:p>
        </w:tc>
      </w:tr>
      <w:tr>
        <w:tc>
          <w:tcPr/>
          <w:p>
            <w:pPr>
              <w:pStyle w:val="Compact"/>
            </w:pPr>
            <w:r>
              <w:t xml:space="preserve">IA</w:t>
            </w:r>
          </w:p>
        </w:tc>
        <w:tc>
          <w:tcPr/>
          <w:p>
            <w:pPr>
              <w:pStyle w:val="Compact"/>
            </w:pPr>
            <w:r>
              <w:t xml:space="preserve">18</w:t>
            </w:r>
          </w:p>
        </w:tc>
        <w:tc>
          <w:tcPr/>
          <w:p>
            <w:pPr>
              <w:pStyle w:val="Compact"/>
            </w:pPr>
            <w:r>
              <w:t xml:space="preserve">7</w:t>
            </w:r>
          </w:p>
        </w:tc>
        <w:tc>
          <w:tcPr/>
          <w:p>
            <w:pPr>
              <w:pStyle w:val="Compact"/>
            </w:pPr>
            <w:r>
              <w:t xml:space="preserve">38.9%</w:t>
            </w:r>
          </w:p>
        </w:tc>
        <w:tc>
          <w:tcPr/>
          <w:p>
            <w:pPr>
              <w:pStyle w:val="Compact"/>
            </w:pPr>
            <w:r>
              <w:t xml:space="preserve">Yes</w:t>
            </w:r>
          </w:p>
        </w:tc>
      </w:tr>
      <w:tr>
        <w:tc>
          <w:tcPr/>
          <w:p>
            <w:pPr>
              <w:pStyle w:val="Compact"/>
            </w:pPr>
            <w:r>
              <w:t xml:space="preserve">CT</w:t>
            </w:r>
          </w:p>
        </w:tc>
        <w:tc>
          <w:tcPr/>
          <w:p>
            <w:pPr>
              <w:pStyle w:val="Compact"/>
            </w:pPr>
            <w:r>
              <w:t xml:space="preserve">17</w:t>
            </w:r>
          </w:p>
        </w:tc>
        <w:tc>
          <w:tcPr/>
          <w:p>
            <w:pPr>
              <w:pStyle w:val="Compact"/>
            </w:pPr>
            <w:r>
              <w:t xml:space="preserve">14</w:t>
            </w:r>
          </w:p>
        </w:tc>
        <w:tc>
          <w:tcPr/>
          <w:p>
            <w:pPr>
              <w:pStyle w:val="Compact"/>
            </w:pPr>
            <w:r>
              <w:t xml:space="preserve">82.4%</w:t>
            </w:r>
          </w:p>
        </w:tc>
        <w:tc>
          <w:tcPr/>
          <w:p>
            <w:pPr>
              <w:pStyle w:val="Compact"/>
            </w:pPr>
            <w:r>
              <w:t xml:space="preserve">Yes</w:t>
            </w:r>
          </w:p>
        </w:tc>
      </w:tr>
      <w:tr>
        <w:tc>
          <w:tcPr/>
          <w:p>
            <w:pPr>
              <w:pStyle w:val="Compact"/>
            </w:pPr>
            <w:r>
              <w:t xml:space="preserve">SD</w:t>
            </w:r>
          </w:p>
        </w:tc>
        <w:tc>
          <w:tcPr/>
          <w:p>
            <w:pPr>
              <w:pStyle w:val="Compact"/>
            </w:pPr>
            <w:r>
              <w:t xml:space="preserve">14</w:t>
            </w:r>
          </w:p>
        </w:tc>
        <w:tc>
          <w:tcPr/>
          <w:p>
            <w:pPr>
              <w:pStyle w:val="Compact"/>
            </w:pPr>
            <w:r>
              <w:t xml:space="preserve">3</w:t>
            </w:r>
          </w:p>
        </w:tc>
        <w:tc>
          <w:tcPr/>
          <w:p>
            <w:pPr>
              <w:pStyle w:val="Compact"/>
            </w:pPr>
            <w:r>
              <w:t xml:space="preserve">21.4%</w:t>
            </w:r>
          </w:p>
        </w:tc>
        <w:tc>
          <w:tcPr/>
          <w:p>
            <w:pPr>
              <w:pStyle w:val="Compact"/>
            </w:pPr>
            <w:r>
              <w:t xml:space="preserve">Yes</w:t>
            </w:r>
          </w:p>
        </w:tc>
      </w:tr>
      <w:tr>
        <w:tc>
          <w:tcPr/>
          <w:p>
            <w:pPr>
              <w:pStyle w:val="Compact"/>
            </w:pPr>
            <w:r>
              <w:t xml:space="preserve">MN</w:t>
            </w:r>
          </w:p>
        </w:tc>
        <w:tc>
          <w:tcPr/>
          <w:p>
            <w:pPr>
              <w:pStyle w:val="Compact"/>
            </w:pPr>
            <w:r>
              <w:t xml:space="preserve">13</w:t>
            </w:r>
          </w:p>
        </w:tc>
        <w:tc>
          <w:tcPr/>
          <w:p>
            <w:pPr>
              <w:pStyle w:val="Compact"/>
            </w:pPr>
            <w:r>
              <w:t xml:space="preserve">11</w:t>
            </w:r>
          </w:p>
        </w:tc>
        <w:tc>
          <w:tcPr/>
          <w:p>
            <w:pPr>
              <w:pStyle w:val="Compact"/>
            </w:pPr>
            <w:r>
              <w:t xml:space="preserve">84.6%</w:t>
            </w:r>
          </w:p>
        </w:tc>
        <w:tc>
          <w:tcPr/>
          <w:p>
            <w:pPr>
              <w:pStyle w:val="Compact"/>
            </w:pPr>
            <w:r>
              <w:t xml:space="preserve">Yes</w:t>
            </w:r>
          </w:p>
        </w:tc>
      </w:tr>
      <w:tr>
        <w:tc>
          <w:tcPr/>
          <w:p>
            <w:pPr>
              <w:pStyle w:val="Compact"/>
            </w:pPr>
            <w:r>
              <w:t xml:space="preserve">MS</w:t>
            </w:r>
          </w:p>
        </w:tc>
        <w:tc>
          <w:tcPr/>
          <w:p>
            <w:pPr>
              <w:pStyle w:val="Compact"/>
            </w:pPr>
            <w:r>
              <w:t xml:space="preserve">13</w:t>
            </w:r>
          </w:p>
        </w:tc>
        <w:tc>
          <w:tcPr/>
          <w:p>
            <w:pPr>
              <w:pStyle w:val="Compact"/>
            </w:pPr>
            <w:r>
              <w:t xml:space="preserve">3</w:t>
            </w:r>
          </w:p>
        </w:tc>
        <w:tc>
          <w:tcPr/>
          <w:p>
            <w:pPr>
              <w:pStyle w:val="Compact"/>
            </w:pPr>
            <w:r>
              <w:t xml:space="preserve">23.1%</w:t>
            </w:r>
          </w:p>
        </w:tc>
        <w:tc>
          <w:tcPr/>
          <w:p>
            <w:pPr>
              <w:pStyle w:val="Compact"/>
            </w:pPr>
            <w:r>
              <w:t xml:space="preserve">Yes</w:t>
            </w:r>
          </w:p>
        </w:tc>
      </w:tr>
      <w:tr>
        <w:tc>
          <w:tcPr/>
          <w:p>
            <w:pPr>
              <w:pStyle w:val="Compact"/>
            </w:pPr>
            <w:r>
              <w:t xml:space="preserve">NM</w:t>
            </w:r>
          </w:p>
        </w:tc>
        <w:tc>
          <w:tcPr/>
          <w:p>
            <w:pPr>
              <w:pStyle w:val="Compact"/>
            </w:pPr>
            <w:r>
              <w:t xml:space="preserve">10</w:t>
            </w:r>
          </w:p>
        </w:tc>
        <w:tc>
          <w:tcPr/>
          <w:p>
            <w:pPr>
              <w:pStyle w:val="Compact"/>
            </w:pPr>
            <w:r>
              <w:t xml:space="preserve">5</w:t>
            </w:r>
          </w:p>
        </w:tc>
        <w:tc>
          <w:tcPr/>
          <w:p>
            <w:pPr>
              <w:pStyle w:val="Compact"/>
            </w:pPr>
            <w:r>
              <w:t xml:space="preserve">50.0%</w:t>
            </w:r>
          </w:p>
        </w:tc>
        <w:tc>
          <w:tcPr/>
          <w:p>
            <w:pPr>
              <w:pStyle w:val="Compact"/>
            </w:pPr>
            <w:r>
              <w:t xml:space="preserve">Yes</w:t>
            </w:r>
          </w:p>
        </w:tc>
      </w:tr>
      <w:tr>
        <w:tc>
          <w:tcPr/>
          <w:p>
            <w:pPr>
              <w:pStyle w:val="Compact"/>
            </w:pPr>
            <w:r>
              <w:t xml:space="preserve">UT</w:t>
            </w:r>
          </w:p>
        </w:tc>
        <w:tc>
          <w:tcPr/>
          <w:p>
            <w:pPr>
              <w:pStyle w:val="Compact"/>
            </w:pPr>
            <w:r>
              <w:t xml:space="preserve">10</w:t>
            </w:r>
          </w:p>
        </w:tc>
        <w:tc>
          <w:tcPr/>
          <w:p>
            <w:pPr>
              <w:pStyle w:val="Compact"/>
            </w:pPr>
            <w:r>
              <w:t xml:space="preserve">3</w:t>
            </w:r>
          </w:p>
        </w:tc>
        <w:tc>
          <w:tcPr/>
          <w:p>
            <w:pPr>
              <w:pStyle w:val="Compact"/>
            </w:pPr>
            <w:r>
              <w:t xml:space="preserve">30.0%</w:t>
            </w:r>
          </w:p>
        </w:tc>
        <w:tc>
          <w:tcPr/>
          <w:p>
            <w:pPr>
              <w:pStyle w:val="Compact"/>
            </w:pPr>
            <w:r>
              <w:t xml:space="preserve">Yes</w:t>
            </w:r>
          </w:p>
        </w:tc>
      </w:tr>
      <w:tr>
        <w:tc>
          <w:tcPr/>
          <w:p>
            <w:pPr>
              <w:pStyle w:val="Compact"/>
            </w:pPr>
            <w:r>
              <w:t xml:space="preserve">ME</w:t>
            </w:r>
          </w:p>
        </w:tc>
        <w:tc>
          <w:tcPr/>
          <w:p>
            <w:pPr>
              <w:pStyle w:val="Compact"/>
            </w:pPr>
            <w:r>
              <w:t xml:space="preserve">9</w:t>
            </w:r>
          </w:p>
        </w:tc>
        <w:tc>
          <w:tcPr/>
          <w:p>
            <w:pPr>
              <w:pStyle w:val="Compact"/>
            </w:pPr>
            <w:r>
              <w:t xml:space="preserve">6</w:t>
            </w:r>
          </w:p>
        </w:tc>
        <w:tc>
          <w:tcPr/>
          <w:p>
            <w:pPr>
              <w:pStyle w:val="Compact"/>
            </w:pPr>
            <w:r>
              <w:t xml:space="preserve">66.7%</w:t>
            </w:r>
          </w:p>
        </w:tc>
        <w:tc>
          <w:tcPr/>
          <w:p>
            <w:pPr>
              <w:pStyle w:val="Compact"/>
            </w:pPr>
            <w:r>
              <w:t xml:space="preserve">Yes</w:t>
            </w:r>
          </w:p>
        </w:tc>
      </w:tr>
      <w:tr>
        <w:tc>
          <w:tcPr/>
          <w:p>
            <w:pPr>
              <w:pStyle w:val="Compact"/>
            </w:pPr>
            <w:r>
              <w:t xml:space="preserve">NH</w:t>
            </w:r>
          </w:p>
        </w:tc>
        <w:tc>
          <w:tcPr/>
          <w:p>
            <w:pPr>
              <w:pStyle w:val="Compact"/>
            </w:pPr>
            <w:r>
              <w:t xml:space="preserve">9</w:t>
            </w:r>
          </w:p>
        </w:tc>
        <w:tc>
          <w:tcPr/>
          <w:p>
            <w:pPr>
              <w:pStyle w:val="Compact"/>
            </w:pPr>
            <w:r>
              <w:t xml:space="preserve">5</w:t>
            </w:r>
          </w:p>
        </w:tc>
        <w:tc>
          <w:tcPr/>
          <w:p>
            <w:pPr>
              <w:pStyle w:val="Compact"/>
            </w:pPr>
            <w:r>
              <w:t xml:space="preserve">55.6%</w:t>
            </w:r>
          </w:p>
        </w:tc>
        <w:tc>
          <w:tcPr/>
          <w:p>
            <w:pPr>
              <w:pStyle w:val="Compact"/>
            </w:pPr>
            <w:r>
              <w:t xml:space="preserve">Yes</w:t>
            </w:r>
          </w:p>
        </w:tc>
      </w:tr>
      <w:tr>
        <w:tc>
          <w:tcPr/>
          <w:p>
            <w:pPr>
              <w:pStyle w:val="Compact"/>
            </w:pPr>
            <w:r>
              <w:t xml:space="preserve">WV</w:t>
            </w:r>
          </w:p>
        </w:tc>
        <w:tc>
          <w:tcPr/>
          <w:p>
            <w:pPr>
              <w:pStyle w:val="Compact"/>
            </w:pPr>
            <w:r>
              <w:t xml:space="preserve">8</w:t>
            </w:r>
          </w:p>
        </w:tc>
        <w:tc>
          <w:tcPr/>
          <w:p>
            <w:pPr>
              <w:pStyle w:val="Compact"/>
            </w:pPr>
            <w:r>
              <w:t xml:space="preserve">3</w:t>
            </w:r>
          </w:p>
        </w:tc>
        <w:tc>
          <w:tcPr/>
          <w:p>
            <w:pPr>
              <w:pStyle w:val="Compact"/>
            </w:pPr>
            <w:r>
              <w:t xml:space="preserve">37.5%</w:t>
            </w:r>
          </w:p>
        </w:tc>
        <w:tc>
          <w:tcPr/>
          <w:p>
            <w:pPr>
              <w:pStyle w:val="Compact"/>
            </w:pPr>
            <w:r>
              <w:t xml:space="preserve">Yes</w:t>
            </w:r>
          </w:p>
        </w:tc>
      </w:tr>
      <w:tr>
        <w:tc>
          <w:tcPr/>
          <w:p>
            <w:pPr>
              <w:pStyle w:val="Compact"/>
            </w:pPr>
            <w:r>
              <w:t xml:space="preserve">DE</w:t>
            </w:r>
          </w:p>
        </w:tc>
        <w:tc>
          <w:tcPr/>
          <w:p>
            <w:pPr>
              <w:pStyle w:val="Compact"/>
            </w:pPr>
            <w:r>
              <w:t xml:space="preserve">7</w:t>
            </w:r>
          </w:p>
        </w:tc>
        <w:tc>
          <w:tcPr/>
          <w:p>
            <w:pPr>
              <w:pStyle w:val="Compact"/>
            </w:pPr>
            <w:r>
              <w:t xml:space="preserve">4</w:t>
            </w:r>
          </w:p>
        </w:tc>
        <w:tc>
          <w:tcPr/>
          <w:p>
            <w:pPr>
              <w:pStyle w:val="Compact"/>
            </w:pPr>
            <w:r>
              <w:t xml:space="preserve">57.1%</w:t>
            </w:r>
          </w:p>
        </w:tc>
        <w:tc>
          <w:tcPr/>
          <w:p>
            <w:pPr>
              <w:pStyle w:val="Compact"/>
            </w:pPr>
            <w:r>
              <w:t xml:space="preserve">Yes</w:t>
            </w:r>
          </w:p>
        </w:tc>
      </w:tr>
      <w:tr>
        <w:tc>
          <w:tcPr/>
          <w:p>
            <w:pPr>
              <w:pStyle w:val="Compact"/>
            </w:pPr>
            <w:r>
              <w:t xml:space="preserve">RI</w:t>
            </w:r>
          </w:p>
        </w:tc>
        <w:tc>
          <w:tcPr/>
          <w:p>
            <w:pPr>
              <w:pStyle w:val="Compact"/>
            </w:pPr>
            <w:r>
              <w:t xml:space="preserve">7</w:t>
            </w:r>
          </w:p>
        </w:tc>
        <w:tc>
          <w:tcPr/>
          <w:p>
            <w:pPr>
              <w:pStyle w:val="Compact"/>
            </w:pPr>
            <w:r>
              <w:t xml:space="preserve">5</w:t>
            </w:r>
          </w:p>
        </w:tc>
        <w:tc>
          <w:tcPr/>
          <w:p>
            <w:pPr>
              <w:pStyle w:val="Compact"/>
            </w:pPr>
            <w:r>
              <w:t xml:space="preserve">71.4%</w:t>
            </w:r>
          </w:p>
        </w:tc>
        <w:tc>
          <w:tcPr/>
          <w:p>
            <w:pPr>
              <w:pStyle w:val="Compact"/>
            </w:pPr>
            <w:r>
              <w:t xml:space="preserve">Yes</w:t>
            </w:r>
          </w:p>
        </w:tc>
      </w:tr>
      <w:tr>
        <w:tc>
          <w:tcPr/>
          <w:p>
            <w:pPr>
              <w:pStyle w:val="Compact"/>
            </w:pPr>
            <w:r>
              <w:t xml:space="preserve">DC</w:t>
            </w:r>
          </w:p>
        </w:tc>
        <w:tc>
          <w:tcPr/>
          <w:p>
            <w:pPr>
              <w:pStyle w:val="Compact"/>
            </w:pPr>
            <w:r>
              <w:t xml:space="preserve">6</w:t>
            </w:r>
          </w:p>
        </w:tc>
        <w:tc>
          <w:tcPr/>
          <w:p>
            <w:pPr>
              <w:pStyle w:val="Compact"/>
            </w:pPr>
            <w:r>
              <w:t xml:space="preserve">5</w:t>
            </w:r>
          </w:p>
        </w:tc>
        <w:tc>
          <w:tcPr/>
          <w:p>
            <w:pPr>
              <w:pStyle w:val="Compact"/>
            </w:pPr>
            <w:r>
              <w:t xml:space="preserve">83.3%</w:t>
            </w:r>
          </w:p>
        </w:tc>
        <w:tc>
          <w:tcPr/>
          <w:p>
            <w:pPr>
              <w:pStyle w:val="Compact"/>
            </w:pPr>
            <w:r>
              <w:t xml:space="preserve">Yes</w:t>
            </w:r>
          </w:p>
        </w:tc>
      </w:tr>
      <w:tr>
        <w:tc>
          <w:tcPr/>
          <w:p>
            <w:pPr>
              <w:pStyle w:val="Compact"/>
            </w:pPr>
            <w:r>
              <w:t xml:space="preserve">ID</w:t>
            </w:r>
          </w:p>
        </w:tc>
        <w:tc>
          <w:tcPr/>
          <w:p>
            <w:pPr>
              <w:pStyle w:val="Compact"/>
            </w:pPr>
            <w:r>
              <w:t xml:space="preserve">6</w:t>
            </w:r>
          </w:p>
        </w:tc>
        <w:tc>
          <w:tcPr/>
          <w:p>
            <w:pPr>
              <w:pStyle w:val="Compact"/>
            </w:pPr>
            <w:r>
              <w:t xml:space="preserve">3</w:t>
            </w:r>
          </w:p>
        </w:tc>
        <w:tc>
          <w:tcPr/>
          <w:p>
            <w:pPr>
              <w:pStyle w:val="Compact"/>
            </w:pPr>
            <w:r>
              <w:t xml:space="preserve">50.0%</w:t>
            </w:r>
          </w:p>
        </w:tc>
        <w:tc>
          <w:tcPr/>
          <w:p>
            <w:pPr>
              <w:pStyle w:val="Compact"/>
            </w:pPr>
            <w:r>
              <w:t xml:space="preserve">Yes</w:t>
            </w:r>
          </w:p>
        </w:tc>
      </w:tr>
      <w:tr>
        <w:tc>
          <w:tcPr/>
          <w:p>
            <w:pPr>
              <w:pStyle w:val="Compact"/>
            </w:pPr>
            <w:r>
              <w:t xml:space="preserve">MT</w:t>
            </w:r>
          </w:p>
        </w:tc>
        <w:tc>
          <w:tcPr/>
          <w:p>
            <w:pPr>
              <w:pStyle w:val="Compact"/>
            </w:pPr>
            <w:r>
              <w:t xml:space="preserve">6</w:t>
            </w:r>
          </w:p>
        </w:tc>
        <w:tc>
          <w:tcPr/>
          <w:p>
            <w:pPr>
              <w:pStyle w:val="Compact"/>
            </w:pPr>
            <w:r>
              <w:t xml:space="preserve">2</w:t>
            </w:r>
          </w:p>
        </w:tc>
        <w:tc>
          <w:tcPr/>
          <w:p>
            <w:pPr>
              <w:pStyle w:val="Compact"/>
            </w:pPr>
            <w:r>
              <w:t xml:space="preserve">33.3%</w:t>
            </w:r>
          </w:p>
        </w:tc>
        <w:tc>
          <w:tcPr/>
          <w:p>
            <w:pPr>
              <w:pStyle w:val="Compact"/>
            </w:pPr>
            <w:r>
              <w:t xml:space="preserve">Yes</w:t>
            </w:r>
          </w:p>
        </w:tc>
      </w:tr>
      <w:tr>
        <w:tc>
          <w:tcPr/>
          <w:p>
            <w:pPr>
              <w:pStyle w:val="Compact"/>
            </w:pPr>
            <w:r>
              <w:t xml:space="preserve">ND</w:t>
            </w:r>
          </w:p>
        </w:tc>
        <w:tc>
          <w:tcPr/>
          <w:p>
            <w:pPr>
              <w:pStyle w:val="Compact"/>
            </w:pPr>
            <w:r>
              <w:t xml:space="preserve">6</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HI</w:t>
            </w:r>
          </w:p>
        </w:tc>
        <w:tc>
          <w:tcPr/>
          <w:p>
            <w:pPr>
              <w:pStyle w:val="Compact"/>
            </w:pPr>
            <w:r>
              <w:t xml:space="preserve">3</w:t>
            </w:r>
          </w:p>
        </w:tc>
        <w:tc>
          <w:tcPr/>
          <w:p>
            <w:pPr>
              <w:pStyle w:val="Compact"/>
            </w:pPr>
            <w:r>
              <w:t xml:space="preserve">3</w:t>
            </w:r>
          </w:p>
        </w:tc>
        <w:tc>
          <w:tcPr/>
          <w:p>
            <w:pPr>
              <w:pStyle w:val="Compact"/>
            </w:pPr>
            <w:r>
              <w:t xml:space="preserve">100.0%</w:t>
            </w:r>
          </w:p>
        </w:tc>
        <w:tc>
          <w:tcPr/>
          <w:p>
            <w:pPr>
              <w:pStyle w:val="Compact"/>
            </w:pPr>
            <w:r>
              <w:t xml:space="preserve">Yes</w:t>
            </w:r>
          </w:p>
        </w:tc>
      </w:tr>
      <w:tr>
        <w:tc>
          <w:tcPr/>
          <w:p>
            <w:pPr>
              <w:pStyle w:val="Compact"/>
            </w:pPr>
            <w:r>
              <w:t xml:space="preserve">VT</w:t>
            </w:r>
          </w:p>
        </w:tc>
        <w:tc>
          <w:tcPr/>
          <w:p>
            <w:pPr>
              <w:pStyle w:val="Compact"/>
            </w:pPr>
            <w:r>
              <w:t xml:space="preserve">3</w:t>
            </w:r>
          </w:p>
        </w:tc>
        <w:tc>
          <w:tcPr/>
          <w:p>
            <w:pPr>
              <w:pStyle w:val="Compact"/>
            </w:pPr>
            <w:r>
              <w:t xml:space="preserve">2</w:t>
            </w:r>
          </w:p>
        </w:tc>
        <w:tc>
          <w:tcPr/>
          <w:p>
            <w:pPr>
              <w:pStyle w:val="Compact"/>
            </w:pPr>
            <w:r>
              <w:t xml:space="preserve">66.7%</w:t>
            </w:r>
          </w:p>
        </w:tc>
        <w:tc>
          <w:tcPr/>
          <w:p>
            <w:pPr>
              <w:pStyle w:val="Compact"/>
            </w:pPr>
            <w:r>
              <w:t xml:space="preserve">Yes</w:t>
            </w:r>
          </w:p>
        </w:tc>
      </w:tr>
      <w:tr>
        <w:tc>
          <w:tcPr/>
          <w:p>
            <w:pPr>
              <w:pStyle w:val="Compact"/>
            </w:pPr>
            <w:r>
              <w:t xml:space="preserve">AK</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PR</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WY</w:t>
            </w:r>
          </w:p>
        </w:tc>
        <w:tc>
          <w:tcPr/>
          <w:p>
            <w:pPr>
              <w:pStyle w:val="Compact"/>
            </w:pPr>
            <w:r>
              <w:t xml:space="preserve">1</w:t>
            </w:r>
          </w:p>
        </w:tc>
        <w:tc>
          <w:tcPr/>
          <w:p>
            <w:pPr>
              <w:pStyle w:val="Compact"/>
            </w:pPr>
            <w:r>
              <w:t xml:space="preserve">0</w:t>
            </w:r>
          </w:p>
        </w:tc>
        <w:tc>
          <w:tcPr/>
          <w:p>
            <w:pPr>
              <w:pStyle w:val="Compact"/>
            </w:pPr>
            <w:r>
              <w:t xml:space="preserve">0.0%</w:t>
            </w:r>
          </w:p>
        </w:tc>
        <w:tc>
          <w:tcPr/>
          <w:p>
            <w:pPr>
              <w:pStyle w:val="Compact"/>
            </w:pPr>
            <w:r>
              <w:t xml:space="preserve">No</w:t>
            </w:r>
          </w:p>
        </w:tc>
      </w:tr>
    </w:tbl>
    <w:p>
      <w:pPr>
        <w:pStyle w:val="BodyText"/>
      </w:pPr>
      <w:r>
        <w:rPr>
          <w:b/>
          <w:bCs/>
        </w:rPr>
        <w:t xml:space="preserve">Supplementary Table S8.</w:t>
      </w:r>
      <w:r>
        <w:t xml:space="preserve"> </w:t>
      </w:r>
      <w:r>
        <w:t xml:space="preserve">Cross-sectional versus multi-year Gini coefficients (concentration sensitivity), showing that pooling years increases apparent concentration relative to any single year.</w:t>
      </w:r>
    </w:p>
    <w:tbl>
      <w:tblPr>
        <w:tblStyle w:val="Table"/>
        <w:tblW w:type="pct" w:w="5000"/>
        <w:tblLayout w:type="fixed"/>
        <w:tblLook w:firstRow="1" w:lastRow="0" w:firstColumn="0" w:lastColumn="0" w:noHBand="0" w:noVBand="0" w:val="0020"/>
      </w:tblPr>
      <w:tblGrid>
        <w:gridCol w:w="1146"/>
        <w:gridCol w:w="1771"/>
        <w:gridCol w:w="1354"/>
        <w:gridCol w:w="1875"/>
        <w:gridCol w:w="1771"/>
      </w:tblGrid>
      <w:tr>
        <w:trPr>
          <w:tblHeader w:val="on"/>
        </w:trPr>
        <w:tc>
          <w:tcPr/>
          <w:p>
            <w:pPr>
              <w:pStyle w:val="Compact"/>
            </w:pPr>
            <w:r>
              <w:t xml:space="preserve">Specialty</w:t>
            </w:r>
          </w:p>
        </w:tc>
        <w:tc>
          <w:tcPr/>
          <w:p>
            <w:pPr>
              <w:pStyle w:val="Compact"/>
            </w:pPr>
            <w:r>
              <w:t xml:space="preserve">Year mode</w:t>
            </w:r>
          </w:p>
        </w:tc>
        <w:tc>
          <w:tcPr/>
          <w:p>
            <w:pPr>
              <w:pStyle w:val="Compact"/>
            </w:pPr>
            <w:r>
              <w:t xml:space="preserve">N providers</w:t>
            </w:r>
          </w:p>
        </w:tc>
        <w:tc>
          <w:tcPr/>
          <w:p>
            <w:pPr>
              <w:pStyle w:val="Compact"/>
            </w:pPr>
            <w:r>
              <w:t xml:space="preserve">Gini coefficient</w:t>
            </w:r>
          </w:p>
        </w:tc>
        <w:tc>
          <w:tcPr/>
          <w:p>
            <w:pPr>
              <w:pStyle w:val="Compact"/>
            </w:pPr>
            <w:r>
              <w:t xml:space="preserve">% of all slings</w:t>
            </w:r>
          </w:p>
        </w:tc>
      </w:tr>
      <w:tr>
        <w:tc>
          <w:tcPr/>
          <w:p>
            <w:pPr>
              <w:pStyle w:val="Compact"/>
            </w:pPr>
            <w:r>
              <w:t xml:space="preserve">OB/GYN</w:t>
            </w:r>
          </w:p>
        </w:tc>
        <w:tc>
          <w:tcPr/>
          <w:p>
            <w:pPr>
              <w:pStyle w:val="Compact"/>
            </w:pPr>
            <w:r>
              <w:t xml:space="preserve">cross_sectional</w:t>
            </w:r>
          </w:p>
        </w:tc>
        <w:tc>
          <w:tcPr/>
          <w:p>
            <w:pPr>
              <w:pStyle w:val="Compact"/>
            </w:pPr>
            <w:r>
              <w:t xml:space="preserve">373</w:t>
            </w:r>
          </w:p>
        </w:tc>
        <w:tc>
          <w:tcPr/>
          <w:p>
            <w:pPr>
              <w:pStyle w:val="Compact"/>
            </w:pPr>
            <w:r>
              <w:t xml:space="preserve">0.275</w:t>
            </w:r>
          </w:p>
        </w:tc>
        <w:tc>
          <w:tcPr/>
          <w:p>
            <w:pPr>
              <w:pStyle w:val="Compact"/>
            </w:pPr>
            <w:r>
              <w:t xml:space="preserve">82.6%</w:t>
            </w:r>
          </w:p>
        </w:tc>
      </w:tr>
      <w:tr>
        <w:tc>
          <w:tcPr/>
          <w:p>
            <w:pPr>
              <w:pStyle w:val="Compact"/>
            </w:pPr>
            <w:r>
              <w:t xml:space="preserve">Urology</w:t>
            </w:r>
          </w:p>
        </w:tc>
        <w:tc>
          <w:tcPr/>
          <w:p>
            <w:pPr>
              <w:pStyle w:val="Compact"/>
            </w:pPr>
            <w:r>
              <w:t xml:space="preserve">cross_sectional</w:t>
            </w:r>
          </w:p>
        </w:tc>
        <w:tc>
          <w:tcPr/>
          <w:p>
            <w:pPr>
              <w:pStyle w:val="Compact"/>
            </w:pPr>
            <w:r>
              <w:t xml:space="preserve">93</w:t>
            </w:r>
          </w:p>
        </w:tc>
        <w:tc>
          <w:tcPr/>
          <w:p>
            <w:pPr>
              <w:pStyle w:val="Compact"/>
            </w:pPr>
            <w:r>
              <w:t xml:space="preserve">0.233</w:t>
            </w:r>
          </w:p>
        </w:tc>
        <w:tc>
          <w:tcPr/>
          <w:p>
            <w:pPr>
              <w:pStyle w:val="Compact"/>
            </w:pPr>
            <w:r>
              <w:t xml:space="preserve">17.4%</w:t>
            </w:r>
          </w:p>
        </w:tc>
      </w:tr>
      <w:tr>
        <w:tc>
          <w:tcPr/>
          <w:p>
            <w:pPr>
              <w:pStyle w:val="Compact"/>
            </w:pPr>
            <w:r>
              <w:t xml:space="preserve">OB/GYN</w:t>
            </w:r>
          </w:p>
        </w:tc>
        <w:tc>
          <w:tcPr/>
          <w:p>
            <w:pPr>
              <w:pStyle w:val="Compact"/>
            </w:pPr>
            <w:r>
              <w:t xml:space="preserve">multi_year</w:t>
            </w:r>
          </w:p>
        </w:tc>
        <w:tc>
          <w:tcPr/>
          <w:p>
            <w:pPr>
              <w:pStyle w:val="Compact"/>
            </w:pPr>
            <w:r>
              <w:t xml:space="preserve">964</w:t>
            </w:r>
          </w:p>
        </w:tc>
        <w:tc>
          <w:tcPr/>
          <w:p>
            <w:pPr>
              <w:pStyle w:val="Compact"/>
            </w:pPr>
            <w:r>
              <w:t xml:space="preserve">0.281</w:t>
            </w:r>
          </w:p>
        </w:tc>
        <w:tc>
          <w:tcPr/>
          <w:p>
            <w:pPr>
              <w:pStyle w:val="Compact"/>
            </w:pPr>
            <w:r>
              <w:t xml:space="preserve">74.8%</w:t>
            </w:r>
          </w:p>
        </w:tc>
      </w:tr>
      <w:tr>
        <w:tc>
          <w:tcPr/>
          <w:p>
            <w:pPr>
              <w:pStyle w:val="Compact"/>
            </w:pPr>
            <w:r>
              <w:t xml:space="preserve">Urology</w:t>
            </w:r>
          </w:p>
        </w:tc>
        <w:tc>
          <w:tcPr/>
          <w:p>
            <w:pPr>
              <w:pStyle w:val="Compact"/>
            </w:pPr>
            <w:r>
              <w:t xml:space="preserve">multi_year</w:t>
            </w:r>
          </w:p>
        </w:tc>
        <w:tc>
          <w:tcPr/>
          <w:p>
            <w:pPr>
              <w:pStyle w:val="Compact"/>
            </w:pPr>
            <w:r>
              <w:t xml:space="preserve">517</w:t>
            </w:r>
          </w:p>
        </w:tc>
        <w:tc>
          <w:tcPr/>
          <w:p>
            <w:pPr>
              <w:pStyle w:val="Compact"/>
            </w:pPr>
            <w:r>
              <w:t xml:space="preserve">0.225</w:t>
            </w:r>
          </w:p>
        </w:tc>
        <w:tc>
          <w:tcPr/>
          <w:p>
            <w:pPr>
              <w:pStyle w:val="Compact"/>
            </w:pPr>
            <w:r>
              <w:t xml:space="preserve">25.2%</w:t>
            </w:r>
          </w:p>
        </w:tc>
      </w:tr>
    </w:tbl>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14" Target="https://github.com/mufflyt/sling-volume-patterns" TargetMode="External" /><Relationship Type="http://schemas.openxmlformats.org/officeDocument/2006/relationships/hyperlink" Id="rId30" Target="https://www.abms.org" TargetMode="External" /></Relationships>
</file>

<file path=word/_rels/footnotes.xml.rels><?xml version="1.0" encoding="UTF-8"?><Relationships xmlns="http://schemas.openxmlformats.org/package/2006/relationships"><Relationship Type="http://schemas.openxmlformats.org/officeDocument/2006/relationships/hyperlink" Id="rId14" Target="https://github.com/mufflyt/sling-volume-patterns" TargetMode="External" /><Relationship Type="http://schemas.openxmlformats.org/officeDocument/2006/relationships/hyperlink" Id="rId30" Target="https://www.ab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Specialty Distribution and Surgeon-Level Concentration of Sling Surgery for Stress Urinary Incontinence in Fee-for-Service Medicare, 2013–2023</dc:title>
  <dc:creator>Tyler Muffly, MD</dc:creator>
  <cp:keywords/>
  <dcterms:created xsi:type="dcterms:W3CDTF">2026-07-22T19:08:54Z</dcterms:created>
  <dcterms:modified xsi:type="dcterms:W3CDTF">2026-07-22T19:08:54Z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