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Technical Appendix: Age-Matched Demand Denominators</w:t>
      </w:r>
    </w:p>
    <w:p>
      <w:pPr>
        <w:pStyle w:val="Subtitle"/>
      </w:pPr>
      <w:r>
        <w:t xml:space="preserve">Supplemental Digital Content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the-problem-this-appendix-addresses"/>
    <w:p>
      <w:pPr>
        <w:pStyle w:val="Heading3"/>
      </w:pPr>
      <w:r>
        <w:t xml:space="preserve">1. The problem this appendix addresses</w:t>
      </w:r>
    </w:p>
    <w:p>
      <w:pPr>
        <w:pStyle w:val="FirstParagraph"/>
      </w:pPr>
      <w:r>
        <w:t xml:space="preserve">In the primary analysis every subspecialty is indexed to the same demand</w:t>
      </w:r>
      <w:r>
        <w:t xml:space="preserve"> </w:t>
      </w:r>
      <w:r>
        <w:t xml:space="preserve">denominator: total female population of all ages (ACS 2020, table</w:t>
      </w:r>
      <w:r>
        <w:t xml:space="preserve"> </w:t>
      </w:r>
      <w:r>
        <w:rPr>
          <w:rStyle w:val="VerbatimChar"/>
        </w:rPr>
        <w:t xml:space="preserve">B01001</w:t>
      </w:r>
      <w:r>
        <w:t xml:space="preserve">,</w:t>
      </w:r>
      <w:r>
        <w:t xml:space="preserve"> </w:t>
      </w:r>
      <w:r>
        <w:t xml:space="preserve">variable</w:t>
      </w:r>
      <w:r>
        <w:t xml:space="preserve"> </w:t>
      </w:r>
      <w:r>
        <w:rPr>
          <w:rStyle w:val="VerbatimChar"/>
        </w:rPr>
        <w:t xml:space="preserve">B01001_026</w:t>
      </w:r>
      <w:r>
        <w:t xml:space="preserve">; 164,690,617 women across the contiguous United States).</w:t>
      </w:r>
    </w:p>
    <w:p>
      <w:pPr>
        <w:pStyle w:val="BodyText"/>
      </w:pPr>
      <w:r>
        <w:t xml:space="preserve">That choice is defensible as a</w:t>
      </w:r>
      <w:r>
        <w:t xml:space="preserve"> </w:t>
      </w:r>
      <w:r>
        <w:rPr>
          <w:i/>
          <w:iCs/>
        </w:rPr>
        <w:t xml:space="preserve">standardized</w:t>
      </w:r>
      <w:r>
        <w:t xml:space="preserve"> </w:t>
      </w:r>
      <w:r>
        <w:t xml:space="preserve">measure of geographic</w:t>
      </w:r>
      <w:r>
        <w:t xml:space="preserve"> </w:t>
      </w:r>
      <w:r>
        <w:t xml:space="preserve">reachability, and the manuscript says so. But it has a consequence that a</w:t>
      </w:r>
      <w:r>
        <w:t xml:space="preserve"> </w:t>
      </w:r>
      <w:r>
        <w:t xml:space="preserve">careful reader will notice immediately: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pediatric and adolescent gynecology</w:t>
      </w:r>
      <w:r>
        <w:t xml:space="preserve"> </w:t>
      </w:r>
      <w:r>
        <w:t xml:space="preserve">is measured against a population that</w:t>
      </w:r>
      <w:r>
        <w:t xml:space="preserve"> </w:t>
      </w:r>
      <w:r>
        <w:t xml:space="preserve">includes 80-year-old women;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gynecologic oncology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urogynecology</w:t>
      </w:r>
      <w:r>
        <w:t xml:space="preserve"> </w:t>
      </w:r>
      <w:r>
        <w:t xml:space="preserve">are measured against a</w:t>
      </w:r>
      <w:r>
        <w:t xml:space="preserve"> </w:t>
      </w:r>
      <w:r>
        <w:t xml:space="preserve">population that includes 6-year-old girls.</w:t>
      </w:r>
    </w:p>
    <w:p>
      <w:pPr>
        <w:pStyle w:val="FirstParagraph"/>
      </w:pPr>
      <w:r>
        <w:t xml:space="preserve">Because accessibility is supply divided by weighted demand, a denominator</w:t>
      </w:r>
      <w:r>
        <w:t xml:space="preserve"> </w:t>
      </w:r>
      <w:r>
        <w:t xml:space="preserve">containing large numbers of people who are not candidates for a given</w:t>
      </w:r>
      <w:r>
        <w:t xml:space="preserve"> </w:t>
      </w:r>
      <w:r>
        <w:t xml:space="preserve">subspecialty deflates that subspecialty’s apparent access. The finding that</w:t>
      </w:r>
      <w:r>
        <w:t xml:space="preserve"> </w:t>
      </w:r>
      <w:r>
        <w:t xml:space="preserve">complex family planning and pediatric and adolescent gynecology have the lowest</w:t>
      </w:r>
      <w:r>
        <w:t xml:space="preserve"> </w:t>
      </w:r>
      <w:r>
        <w:t xml:space="preserve">access is therefore, in part, an artifact of who is counted in the denominator</w:t>
      </w:r>
      <w:r>
        <w:t xml:space="preserve"> </w:t>
      </w:r>
      <w:r>
        <w:t xml:space="preserve">rather than a statement about service availability.</w:t>
      </w:r>
    </w:p>
    <w:p>
      <w:pPr>
        <w:pStyle w:val="BodyText"/>
      </w:pPr>
      <w:r>
        <w:t xml:space="preserve">This appendix reports a prespecified sensitivity analysis in which each</w:t>
      </w:r>
      <w:r>
        <w:t xml:space="preserve"> </w:t>
      </w:r>
      <w:r>
        <w:t xml:space="preserve">subspecialty is indexed to an age range plausibly served by that subspecialty.</w:t>
      </w:r>
    </w:p>
    <w:bookmarkEnd w:id="20"/>
    <w:bookmarkStart w:id="21" w:name="prespecification"/>
    <w:p>
      <w:pPr>
        <w:pStyle w:val="Heading3"/>
      </w:pPr>
      <w:r>
        <w:t xml:space="preserve">2. Prespecification</w:t>
      </w:r>
    </w:p>
    <w:p>
      <w:pPr>
        <w:pStyle w:val="FirstParagraph"/>
      </w:pPr>
      <w:r>
        <w:t xml:space="preserve">The age windows, the ACS variables implementing them, the estimands, and the</w:t>
      </w:r>
      <w:r>
        <w:t xml:space="preserve"> </w:t>
      </w:r>
      <w:r>
        <w:t xml:space="preserve">interpretation rules were written to</w:t>
      </w:r>
      <w:r>
        <w:t xml:space="preserve"> </w:t>
      </w:r>
      <w:r>
        <w:rPr>
          <w:rStyle w:val="VerbatimChar"/>
        </w:rPr>
        <w:t xml:space="preserve">inst/multiverse/age_matched_denominator.yml</w:t>
      </w:r>
      <w:r>
        <w:t xml:space="preserve"> </w:t>
      </w:r>
      <w:r>
        <w:t xml:space="preserve">and recorded by SHA-256</w:t>
      </w:r>
      <w:r>
        <w:t xml:space="preserve"> </w:t>
      </w:r>
      <w:r>
        <w:t xml:space="preserve">(</w:t>
      </w:r>
      <w:r>
        <w:rPr>
          <w:rStyle w:val="VerbatimChar"/>
        </w:rPr>
        <w:t xml:space="preserve">inst/multiverse/age_matched_denominator.sha256</w:t>
      </w:r>
      <w:r>
        <w:t xml:space="preserve">)</w:t>
      </w:r>
      <w:r>
        <w:t xml:space="preserve"> </w:t>
      </w:r>
      <w:r>
        <w:rPr>
          <w:b/>
          <w:bCs/>
        </w:rPr>
        <w:t xml:space="preserve">before any outcome was</w:t>
      </w:r>
      <w:r>
        <w:rPr>
          <w:b/>
          <w:bCs/>
        </w:rPr>
        <w:t xml:space="preserve"> </w:t>
      </w:r>
      <w:r>
        <w:rPr>
          <w:b/>
          <w:bCs/>
        </w:rPr>
        <w:t xml:space="preserve">computed</w:t>
      </w:r>
      <w:r>
        <w:t xml:space="preserve">. The analysis code verifies that hash before reading data and aborts</w:t>
      </w:r>
      <w:r>
        <w:t xml:space="preserve"> </w:t>
      </w:r>
      <w:r>
        <w:t xml:space="preserve">if the manifest has changed. Manifest versions were incremented rather than</w:t>
      </w:r>
      <w:r>
        <w:t xml:space="preserve"> </w:t>
      </w:r>
      <w:r>
        <w:t xml:space="preserve">edited in place; the history of revisions, and the reason for each, is in the</w:t>
      </w:r>
      <w:r>
        <w:t xml:space="preserve"> </w:t>
      </w:r>
      <w:r>
        <w:t xml:space="preserve">file itself.</w:t>
      </w:r>
    </w:p>
    <w:p>
      <w:pPr>
        <w:pStyle w:val="BodyText"/>
      </w:pPr>
      <w:r>
        <w:t xml:space="preserve">Age ranges are a clinical judgement, contributed by the senior author, and are</w:t>
      </w:r>
      <w:r>
        <w:t xml:space="preserve"> </w:t>
      </w:r>
      <w:r>
        <w:t xml:space="preserve">recorded as such rather than derived from the data.</w:t>
      </w:r>
    </w:p>
    <w:bookmarkEnd w:id="21"/>
    <w:bookmarkStart w:id="22" w:name="age-windows"/>
    <w:p>
      <w:pPr>
        <w:pStyle w:val="Heading3"/>
      </w:pPr>
      <w:r>
        <w:t xml:space="preserve">3. Age windows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Subspecialty</w:t>
            </w:r>
          </w:p>
        </w:tc>
        <w:tc>
          <w:tcPr/>
          <w:p>
            <w:pPr>
              <w:pStyle w:val="Compact"/>
            </w:pPr>
            <w:r>
              <w:t xml:space="preserve">Age window</w:t>
            </w:r>
          </w:p>
        </w:tc>
        <w:tc>
          <w:tcPr/>
          <w:p>
            <w:pPr>
              <w:pStyle w:val="Compact"/>
            </w:pPr>
            <w:r>
              <w:t xml:space="preserve">Clinical intent</w:t>
            </w:r>
          </w:p>
        </w:tc>
        <w:tc>
          <w:tcPr/>
          <w:p>
            <w:pPr>
              <w:pStyle w:val="Compact"/>
            </w:pPr>
            <w:r>
              <w:t xml:space="preserve">ACS bands (total)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Pediatric and adolescent gynecology</w:t>
            </w:r>
          </w:p>
        </w:tc>
        <w:tc>
          <w:tcPr/>
          <w:p>
            <w:pPr>
              <w:pStyle w:val="Compact"/>
            </w:pPr>
            <w:r>
              <w:t xml:space="preserve">under 20</w:t>
            </w:r>
          </w:p>
        </w:tc>
        <w:tc>
          <w:tcPr/>
          <w:p>
            <w:pPr>
              <w:pStyle w:val="Compact"/>
            </w:pPr>
            <w:r>
              <w:t xml:space="preserve">under 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B01001_027</w:t>
            </w:r>
            <w:r>
              <w:t xml:space="preserve">–</w:t>
            </w:r>
            <w:r>
              <w:rPr>
                <w:rStyle w:val="VerbatimChar"/>
              </w:rPr>
              <w:t xml:space="preserve">_031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Complex family planning</w:t>
            </w:r>
          </w:p>
        </w:tc>
        <w:tc>
          <w:tcPr/>
          <w:p>
            <w:pPr>
              <w:pStyle w:val="Compact"/>
            </w:pPr>
            <w:r>
              <w:t xml:space="preserve">under 35</w:t>
            </w:r>
          </w:p>
        </w:tc>
        <w:tc>
          <w:tcPr/>
          <w:p>
            <w:pPr>
              <w:pStyle w:val="Compact"/>
            </w:pPr>
            <w:r>
              <w:t xml:space="preserve">under 40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B01001_027</w:t>
            </w:r>
            <w:r>
              <w:t xml:space="preserve">–</w:t>
            </w:r>
            <w:r>
              <w:rPr>
                <w:rStyle w:val="VerbatimChar"/>
              </w:rPr>
              <w:t xml:space="preserve">_036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Gynecologic oncology</w:t>
            </w:r>
          </w:p>
        </w:tc>
        <w:tc>
          <w:tcPr/>
          <w:p>
            <w:pPr>
              <w:pStyle w:val="Compact"/>
            </w:pPr>
            <w:r>
              <w:t xml:space="preserve">45 and over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B01001_039</w:t>
            </w:r>
            <w:r>
              <w:t xml:space="preserve">–</w:t>
            </w:r>
            <w:r>
              <w:rPr>
                <w:rStyle w:val="VerbatimChar"/>
              </w:rPr>
              <w:t xml:space="preserve">_049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Urogynecology and reconstructive pelvic surgery</w:t>
            </w:r>
          </w:p>
        </w:tc>
        <w:tc>
          <w:tcPr/>
          <w:p>
            <w:pPr>
              <w:pStyle w:val="Compact"/>
            </w:pPr>
            <w:r>
              <w:t xml:space="preserve">45 and over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B01001_039</w:t>
            </w:r>
            <w:r>
              <w:t xml:space="preserve">–</w:t>
            </w:r>
            <w:r>
              <w:rPr>
                <w:rStyle w:val="VerbatimChar"/>
              </w:rPr>
              <w:t xml:space="preserve">_049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Maternal-fetal medicine</w:t>
            </w:r>
          </w:p>
        </w:tc>
        <w:tc>
          <w:tcPr/>
          <w:p>
            <w:pPr>
              <w:pStyle w:val="Compact"/>
            </w:pPr>
            <w:r>
              <w:t xml:space="preserve">15 to 44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B01001_030</w:t>
            </w:r>
            <w:r>
              <w:t xml:space="preserve">–</w:t>
            </w:r>
            <w:r>
              <w:rPr>
                <w:rStyle w:val="VerbatimChar"/>
              </w:rPr>
              <w:t xml:space="preserve">_038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Reproductive endocrinology and infertility</w:t>
            </w:r>
          </w:p>
        </w:tc>
        <w:tc>
          <w:tcPr/>
          <w:p>
            <w:pPr>
              <w:pStyle w:val="Compact"/>
            </w:pPr>
            <w:r>
              <w:t xml:space="preserve">15 to 44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B01001_030</w:t>
            </w:r>
            <w:r>
              <w:t xml:space="preserve">–</w:t>
            </w:r>
            <w:r>
              <w:rPr>
                <w:rStyle w:val="VerbatimChar"/>
              </w:rPr>
              <w:t xml:space="preserve">_038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Minimally invasive gynecologic surgery</w:t>
            </w:r>
          </w:p>
        </w:tc>
        <w:tc>
          <w:tcPr/>
          <w:p>
            <w:pPr>
              <w:pStyle w:val="Compact"/>
            </w:pPr>
            <w:r>
              <w:t xml:space="preserve">15 and over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B01001_030</w:t>
            </w:r>
            <w:r>
              <w:t xml:space="preserve">–</w:t>
            </w:r>
            <w:r>
              <w:rPr>
                <w:rStyle w:val="VerbatimChar"/>
              </w:rPr>
              <w:t xml:space="preserve">_049</w:t>
            </w:r>
          </w:p>
        </w:tc>
      </w:tr>
    </w:tbl>
    <w:bookmarkEnd w:id="22"/>
    <w:bookmarkStart w:id="23" w:name="X9aab2d055d6273a4145253705c6bc56a60836a7"/>
    <w:p>
      <w:pPr>
        <w:pStyle w:val="Heading3"/>
      </w:pPr>
      <w:r>
        <w:t xml:space="preserve">4. Why two windows differ from the clinical intent</w:t>
      </w:r>
    </w:p>
    <w:p>
      <w:pPr>
        <w:pStyle w:val="FirstParagraph"/>
      </w:pPr>
      <w:r>
        <w:t xml:space="preserve">The disparity contrasts re-weight the same accessibility surface by subgroup</w:t>
      </w:r>
      <w:r>
        <w:t xml:space="preserve"> </w:t>
      </w:r>
      <w:r>
        <w:t xml:space="preserve">population. Rurality is assigned at tract level (RUCA), so the rural and</w:t>
      </w:r>
      <w:r>
        <w:t xml:space="preserve"> </w:t>
      </w:r>
      <w:r>
        <w:t xml:space="preserve">metropolitan layers can use the fine-grained</w:t>
      </w:r>
      <w:r>
        <w:t xml:space="preserve"> </w:t>
      </w:r>
      <w:r>
        <w:rPr>
          <w:rStyle w:val="VerbatimChar"/>
        </w:rPr>
        <w:t xml:space="preserve">B01001</w:t>
      </w:r>
      <w:r>
        <w:t xml:space="preserve"> </w:t>
      </w:r>
      <w:r>
        <w:t xml:space="preserve">table, which has 23 female</w:t>
      </w:r>
      <w:r>
        <w:t xml:space="preserve"> </w:t>
      </w:r>
      <w:r>
        <w:t xml:space="preserve">age bands. The race-specific layers must use the ACS race iterations</w:t>
      </w:r>
      <w:r>
        <w:t xml:space="preserve"> </w:t>
      </w:r>
      <w:r>
        <w:rPr>
          <w:rStyle w:val="VerbatimChar"/>
        </w:rPr>
        <w:t xml:space="preserve">B01001H</w:t>
      </w:r>
      <w:r>
        <w:t xml:space="preserve"> </w:t>
      </w:r>
      <w:r>
        <w:t xml:space="preserve">(White alone, not Hispanic) and</w:t>
      </w:r>
      <w:r>
        <w:t xml:space="preserve"> </w:t>
      </w:r>
      <w:r>
        <w:rPr>
          <w:rStyle w:val="VerbatimChar"/>
        </w:rPr>
        <w:t xml:space="preserve">B01001C</w:t>
      </w:r>
      <w:r>
        <w:t xml:space="preserve"> </w:t>
      </w:r>
      <w:r>
        <w:t xml:space="preserve">(American Indian and Alaska</w:t>
      </w:r>
      <w:r>
        <w:t xml:space="preserve"> </w:t>
      </w:r>
      <w:r>
        <w:t xml:space="preserve">Native alone), which have only</w:t>
      </w:r>
      <w:r>
        <w:t xml:space="preserve"> </w:t>
      </w:r>
      <w:r>
        <w:rPr>
          <w:b/>
          <w:bCs/>
        </w:rPr>
        <w:t xml:space="preserve">14</w:t>
      </w:r>
      <w:r>
        <w:t xml:space="preserve"> </w:t>
      </w:r>
      <w:r>
        <w:t xml:space="preserve">female age bands and are decadal above age</w:t>
      </w:r>
      <w:r>
        <w:t xml:space="preserve"> </w:t>
      </w:r>
      <w:r>
        <w:t xml:space="preserve">35.</w:t>
      </w:r>
    </w:p>
    <w:p>
      <w:pPr>
        <w:pStyle w:val="BodyText"/>
      </w:pPr>
      <w:r>
        <w:t xml:space="preserve">The band edges common to all three tables are:</w:t>
      </w:r>
    </w:p>
    <w:p>
      <w:pPr>
        <w:pStyle w:val="SourceCode"/>
      </w:pPr>
      <w:r>
        <w:rPr>
          <w:rStyle w:val="VerbatimChar"/>
        </w:rPr>
        <w:t xml:space="preserve">0  5  10  15  18  20  25  30  35  45  55  65  75  85</w:t>
      </w:r>
    </w:p>
    <w:p>
      <w:pPr>
        <w:pStyle w:val="FirstParagraph"/>
      </w:pPr>
      <w:r>
        <w:t xml:space="preserve">Ages 40, 50, 60, 70 and 80 do not exist as boundaries in the race iterations.</w:t>
      </w:r>
      <w:r>
        <w:t xml:space="preserve"> </w:t>
      </w:r>
      <w:r>
        <w:t xml:space="preserve">Five of the seven clinically-specified windows already fell on common edges. Two</w:t>
      </w:r>
      <w:r>
        <w:t xml:space="preserve"> </w:t>
      </w:r>
      <w:r>
        <w:t xml:space="preserve">did not: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pediatric and adolescent gynecology</w:t>
      </w:r>
      <w:r>
        <w:t xml:space="preserve">, intended as under 21, was moved to</w:t>
      </w:r>
      <w:r>
        <w:t xml:space="preserve"> </w:t>
      </w:r>
      <w:r>
        <w:rPr>
          <w:b/>
          <w:bCs/>
        </w:rPr>
        <w:t xml:space="preserve">under 20</w:t>
      </w:r>
      <w:r>
        <w:t xml:space="preserve"> </w:t>
      </w:r>
      <w:r>
        <w:t xml:space="preserve">(the adjacent common edge, one year away; the alternative was 25);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complex family planning</w:t>
      </w:r>
      <w:r>
        <w:t xml:space="preserve">, intended as under 40, was moved to</w:t>
      </w:r>
      <w:r>
        <w:t xml:space="preserve"> </w:t>
      </w:r>
      <w:r>
        <w:rPr>
          <w:b/>
          <w:bCs/>
        </w:rPr>
        <w:t xml:space="preserve">under 35</w:t>
      </w:r>
      <w:r>
        <w:t xml:space="preserve"> </w:t>
      </w:r>
      <w:r>
        <w:t xml:space="preserve">(the two adjacent common edges, 35 and 45, are equidistant).</w:t>
      </w:r>
    </w:p>
    <w:p>
      <w:pPr>
        <w:pStyle w:val="FirstParagraph"/>
      </w:pPr>
      <w:r>
        <w:t xml:space="preserve">The alternative to shifting was to interpolate within a straddling band, which</w:t>
      </w:r>
      <w:r>
        <w:t xml:space="preserve"> </w:t>
      </w:r>
      <w:r>
        <w:t xml:space="preserve">would impose a uniform-age-distribution assumption precisely where the American</w:t>
      </w:r>
      <w:r>
        <w:t xml:space="preserve"> </w:t>
      </w:r>
      <w:r>
        <w:t xml:space="preserve">Indian and Alaska Native cell counts are smallest and least stable. Shifting to</w:t>
      </w:r>
      <w:r>
        <w:t xml:space="preserve"> </w:t>
      </w:r>
      <w:r>
        <w:t xml:space="preserve">a common edge means every contrast in every subspecialty uses one age window,</w:t>
      </w:r>
      <w:r>
        <w:t xml:space="preserve"> </w:t>
      </w:r>
      <w:r>
        <w:t xml:space="preserve">so the rurality and race comparisons are directly comparable rather than</w:t>
      </w:r>
      <w:r>
        <w:t xml:space="preserve"> </w:t>
      </w:r>
      <w:r>
        <w:t xml:space="preserve">requiring reconciliation.</w:t>
      </w:r>
    </w:p>
    <w:p>
      <w:pPr>
        <w:pStyle w:val="BodyText"/>
      </w:pPr>
      <w:r>
        <w:rPr>
          <w:b/>
          <w:bCs/>
        </w:rPr>
        <w:t xml:space="preserve">Direction of the complex family planning choice.</w:t>
      </w:r>
      <w:r>
        <w:t xml:space="preserve"> </w:t>
      </w:r>
      <w:r>
        <w:t xml:space="preserve">Under-35 is the narrower of</w:t>
      </w:r>
      <w:r>
        <w:t xml:space="preserve"> </w:t>
      </w:r>
      <w:r>
        <w:t xml:space="preserve">the two equidistant options. A narrower demand denominator raises apparent</w:t>
      </w:r>
      <w:r>
        <w:t xml:space="preserve"> </w:t>
      </w:r>
      <w:r>
        <w:t xml:space="preserve">access. Complex family planning reports the lowest access of the seven</w:t>
      </w:r>
      <w:r>
        <w:t xml:space="preserve"> </w:t>
      </w:r>
      <w:r>
        <w:t xml:space="preserve">subspecialties in the primary analysis, so this choice moves that estimate in</w:t>
      </w:r>
      <w:r>
        <w:t xml:space="preserve"> </w:t>
      </w:r>
      <w:r>
        <w:t xml:space="preserve">the direction that makes it look better. This was recorded in the manifest</w:t>
      </w:r>
      <w:r>
        <w:t xml:space="preserve"> </w:t>
      </w:r>
      <w:r>
        <w:t xml:space="preserve">before results were computed.</w:t>
      </w:r>
    </w:p>
    <w:bookmarkEnd w:id="23"/>
    <w:bookmarkStart w:id="27" w:name="Xee35b51c83d70aacae319dc7b6c1c5be519cf9c"/>
    <w:p>
      <w:pPr>
        <w:pStyle w:val="Heading3"/>
      </w:pPr>
      <w:r>
        <w:t xml:space="preserve">4a. Formal statement: where the denominator enters, and what it can change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 population cells on the analysis grid 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 provider</w:t>
      </w:r>
      <w:r>
        <w:t xml:space="preserve"> </w:t>
      </w:r>
      <w:r>
        <w:t xml:space="preserve">locations. Write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demand population in cell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r>
        <w:t xml:space="preserve">supply at provider</w:t>
      </w:r>
      <w:r>
        <w:t xml:space="preserve"> </w:t>
      </w:r>
      <m:oMath>
        <m:r>
          <m:t>j</m:t>
        </m:r>
      </m:oMath>
      <w:r>
        <w:t xml:space="preserve">, and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the incremental distance-decay weight</w:t>
      </w:r>
      <w:r>
        <w:t xml:space="preserve"> </w:t>
      </w:r>
      <w:r>
        <w:t xml:space="preserve">linking them. The two steps of E2SFCA are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j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j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r>
            <m:t>  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sSub>
            <m:e>
              <m:r>
                <m:t>R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demand denominator enters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step 1.</w:t>
      </w:r>
      <w:r>
        <w:t xml:space="preserve"> </w:t>
      </w:r>
      <w:r>
        <w:t xml:space="preserve">Age-matching replaces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P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sup>
          </m:sSubSup>
          <m:r>
            <m:t> </m:t>
          </m:r>
          <m:r>
            <m:rPr>
              <m:sty m:val="p"/>
            </m:rPr>
            <m:t>=</m:t>
          </m:r>
          <m:r>
            <m:t> </m:t>
          </m:r>
          <m:sSubSup>
            <m:e>
              <m:r>
                <m:t>α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sup>
          </m:sSubSup>
          <m:r>
            <m:t> 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α</m:t>
            </m:r>
          </m:e>
          <m:sub>
            <m:r>
              <m:t>i</m:t>
            </m:r>
          </m:sub>
          <m:sup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share of cell</w:t>
      </w:r>
      <w:r>
        <w:t xml:space="preserve"> </w:t>
      </w:r>
      <m:oMath>
        <m:r>
          <m:t>i</m:t>
        </m:r>
      </m:oMath>
      <w:r>
        <w:t xml:space="preserve">’s female population</w:t>
      </w:r>
      <w:r>
        <w:t xml:space="preserve"> </w:t>
      </w:r>
      <w:r>
        <w:t xml:space="preserve">falling inside subspecialty</w:t>
      </w:r>
      <w:r>
        <w:t xml:space="preserve"> </w:t>
      </w:r>
      <m:oMath>
        <m:r>
          <m:t>s</m:t>
        </m:r>
      </m:oMath>
      <w:r>
        <w:t xml:space="preserve">’s age window. Nationally,</w:t>
      </w:r>
      <w:r>
        <w:t xml:space="preserve"> </w:t>
      </w:r>
      <m:oMath>
        <m:sSup>
          <m:e>
            <m:r>
              <m:t>α</m:t>
            </m:r>
          </m:e>
          <m:sup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P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(</m:t>
                </m:r>
                <m:r>
                  <m:t>s</m:t>
                </m:r>
                <m:r>
                  <m:rPr>
                    <m:sty m:val="p"/>
                  </m:rPr>
                  <m:t>)</m:t>
                </m:r>
              </m:sup>
            </m:sSubSup>
          </m:e>
        </m:nary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quantity plotted in</w:t>
      </w:r>
      <w:r>
        <w:t xml:space="preserve"> </w:t>
      </w:r>
      <w:r>
        <w:t xml:space="preserve">Figure S1, Panel A: 0.24 for pediatric and adolescent gynecology, 0.82 for</w:t>
      </w:r>
      <w:r>
        <w:t xml:space="preserve"> </w:t>
      </w:r>
      <w:r>
        <w:t xml:space="preserve">minimally invasive gynecologic surgery.</w:t>
      </w:r>
    </w:p>
    <w:p>
      <w:pPr>
        <w:pStyle w:val="BodyText"/>
      </w:pPr>
      <w:r>
        <w:t xml:space="preserve">The reported subgroup mean for population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(rural, metropolitan,</w:t>
      </w:r>
      <w:r>
        <w:t xml:space="preserve"> </w:t>
      </w:r>
      <w:r>
        <w:t xml:space="preserve">White, American Indian and Alaska Native) is the population-weighted average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G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G</m:t>
                      </m:r>
                    </m:sup>
                  </m:sSubSup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G</m:t>
                      </m:r>
                    </m:sup>
                  </m:sSubSup>
                </m:e>
              </m:nary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reported contrast is a ratio of two such means, for example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rPr>
                <m:nor/>
                <m:sty m:val="p"/>
              </m:rPr>
              <m:t>rural</m:t>
            </m:r>
          </m:sub>
        </m:sSub>
        <m:r>
          <m:rPr>
            <m:sty m:val="p"/>
          </m:rPr>
          <m:t>/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rPr>
                <m:nor/>
                <m:sty m:val="p"/>
              </m:rPr>
              <m:t>metro</m:t>
            </m:r>
          </m:sub>
        </m:sSub>
      </m:oMath>
      <w:r>
        <w:t xml:space="preserve">.</w:t>
      </w:r>
    </w:p>
    <w:bookmarkStart w:id="24" w:name="Xc17afee6ebc923162ec91a3c7d30031ce787c4f"/>
    <w:p>
      <w:pPr>
        <w:pStyle w:val="Heading4"/>
      </w:pPr>
      <w:r>
        <w:t xml:space="preserve">Why levels are not comparable, and ratios are</w:t>
      </w:r>
    </w:p>
    <w:p>
      <w:pPr>
        <w:pStyle w:val="FirstParagraph"/>
      </w:pPr>
      <w:r>
        <w:rPr>
          <w:b/>
          <w:bCs/>
        </w:rPr>
        <w:t xml:space="preserve">Proposition.</w:t>
      </w:r>
      <w:r>
        <w:t xml:space="preserve"> </w:t>
      </w:r>
      <w:r>
        <w:t xml:space="preserve">If</w:t>
      </w:r>
      <w:r>
        <w:t xml:space="preserve"> </w:t>
      </w:r>
      <m:oMath>
        <m:sSubSup>
          <m:e>
            <m:r>
              <m:t>α</m:t>
            </m:r>
          </m:e>
          <m:sub>
            <m:r>
              <m:t>i</m:t>
            </m:r>
          </m:sub>
          <m:sup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for every cell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— that is, if</w:t>
      </w:r>
      <w:r>
        <w:t xml:space="preserve"> </w:t>
      </w:r>
      <w:r>
        <w:t xml:space="preserve">the age-eligible share were spatially uniform — then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R</m:t>
              </m:r>
            </m:e>
            <m:sub>
              <m:r>
                <m:t>j</m:t>
              </m:r>
            </m:sub>
            <m: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j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α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α</m:t>
              </m:r>
            </m:den>
          </m:f>
          <m:sSub>
            <m:e>
              <m:r>
                <m:t>R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Sup>
            <m:e>
              <m:r>
                <m:t>A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α</m:t>
              </m:r>
            </m:den>
          </m:f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G</m:t>
              </m:r>
            </m:sub>
            <m: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α</m:t>
              </m:r>
            </m:den>
          </m:f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G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every accessibility level is inflated by the constant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α</m:t>
        </m:r>
      </m:oMath>
      <w:r>
        <w:t xml:space="preserve"> </w:t>
      </w:r>
      <w:r>
        <w:t xml:space="preserve">while</w:t>
      </w:r>
      <w:r>
        <w:t xml:space="preserve"> </w:t>
      </w:r>
      <w:r>
        <w:rPr>
          <w:b/>
          <w:bCs/>
        </w:rPr>
        <w:t xml:space="preserve">every contrast ratio is exactly unchanged</w:t>
      </w:r>
      <w:r>
        <w:t xml:space="preserve">, because the factor cancels: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Sup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num>
            <m:den>
              <m:sSubSup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α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</m:sSub>
            </m:num>
            <m:den>
              <m:sSup>
                <m:e>
                  <m:r>
                    <m:t>α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</m:sSub>
            </m:num>
            <m:den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 the formal content of the interpretation rule in section 7. Gynecologic oncology’s national mean moves from 0.5408 to 1.2461, an observed factor of</w:t>
      </w:r>
      <w:r>
        <w:t xml:space="preserve"> </w:t>
      </w:r>
      <w:r>
        <w:rPr>
          <w:b/>
          <w:bCs/>
        </w:rPr>
        <w:t xml:space="preserve">2.3044</w:t>
      </w:r>
      <w:r>
        <w:t xml:space="preserve">, against a predicted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0.4340</m:t>
        </m:r>
        <m:r>
          <m:rPr>
            <m:sty m:val="p"/>
          </m:rPr>
          <m:t>=</m:t>
        </m:r>
        <m:r>
          <m:t>2.3043</m:t>
        </m:r>
      </m:oMath>
      <w:r>
        <w:t xml:space="preserve">. It is arithmetic, not a finding.</w:t>
      </w:r>
    </w:p>
    <w:p>
      <w:pPr>
        <w:pStyle w:val="BodyText"/>
      </w:pPr>
      <w:r>
        <w:rPr>
          <w:b/>
          <w:bCs/>
        </w:rPr>
        <w:t xml:space="preserve">Corollary — what the analysis actually tests.</w:t>
      </w:r>
      <w:r>
        <w:t xml:space="preserve"> </w:t>
      </w:r>
      <w:r>
        <w:t xml:space="preserve">Because the uniform case</w:t>
      </w:r>
      <w:r>
        <w:t xml:space="preserve"> </w:t>
      </w:r>
      <w:r>
        <w:t xml:space="preserve">leaves contrasts exactly unchanged,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movement in a contrast under</w:t>
      </w:r>
      <w:r>
        <w:t xml:space="preserve"> </w:t>
      </w:r>
      <w:r>
        <w:t xml:space="preserve">age-matching is attributable entirely to</w:t>
      </w:r>
      <w:r>
        <w:t xml:space="preserve"> </w:t>
      </w:r>
      <w:r>
        <w:rPr>
          <w:b/>
          <w:bCs/>
        </w:rPr>
        <w:t xml:space="preserve">spatial and between-group variation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b>
          <m:e>
            <m:r>
              <m:t>α</m:t>
            </m:r>
          </m:e>
          <m:sub>
            <m:r>
              <m:t>i</m:t>
            </m:r>
          </m:sub>
        </m:sSub>
      </m:oMath>
      <w:r>
        <w:t xml:space="preserve">. The analysis is therefore not a test of whether access differs,</w:t>
      </w:r>
      <w:r>
        <w:t xml:space="preserve"> </w:t>
      </w:r>
      <w:r>
        <w:t xml:space="preserve">but of whether the age composition of the population covaries with the geography</w:t>
      </w:r>
      <w:r>
        <w:t xml:space="preserve"> </w:t>
      </w:r>
      <w:r>
        <w:t xml:space="preserve">of access, or with group membership, strongly enough to move a disparity.</w:t>
      </w:r>
    </w:p>
    <w:bookmarkEnd w:id="24"/>
    <w:bookmarkStart w:id="25" w:name="a-testable-prediction-and-its-result"/>
    <w:p>
      <w:pPr>
        <w:pStyle w:val="Heading4"/>
      </w:pPr>
      <w:r>
        <w:t xml:space="preserve">A testable prediction, and its result</w:t>
      </w:r>
    </w:p>
    <w:p>
      <w:pPr>
        <w:pStyle w:val="FirstParagraph"/>
      </w:pPr>
      <w:r>
        <w:t xml:space="preserve">The two race groups have materially different age structures nationally: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721"/>
        <w:gridCol w:w="1262"/>
        <w:gridCol w:w="355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Age window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White NH share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AIAN share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rho = alpha_AIAN / alpha_White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 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1.4246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 and over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0.7303</w:t>
            </w:r>
          </w:p>
        </w:tc>
      </w:tr>
    </w:tbl>
    <w:p>
      <w:pPr>
        <w:pStyle w:val="BodyText"/>
      </w:pPr>
      <w:r>
        <w:t xml:space="preserve">The American Indian and Alaska Native female population is younger. Age</w:t>
      </w:r>
      <w:r>
        <w:t xml:space="preserve"> </w:t>
      </w:r>
      <w:r>
        <w:t xml:space="preserve">restriction therefore does not scale the two groups equally, and the direction</w:t>
      </w:r>
      <w:r>
        <w:t xml:space="preserve"> </w:t>
      </w:r>
      <w:r>
        <w:t xml:space="preserve">of the effect is predictable. When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the age window retains</w:t>
      </w:r>
      <w:r>
        <w:t xml:space="preserve"> </w:t>
      </w:r>
      <w:r>
        <w:t xml:space="preserve">proportionally</w:t>
      </w:r>
      <w:r>
        <w:t xml:space="preserve"> </w:t>
      </w:r>
      <w:r>
        <w:rPr>
          <w:i/>
          <w:iCs/>
        </w:rPr>
        <w:t xml:space="preserve">more</w:t>
      </w:r>
      <w:r>
        <w:t xml:space="preserve"> </w:t>
      </w:r>
      <w:r>
        <w:t xml:space="preserve">AIAN demand, which raises the demand denominator in cells</w:t>
      </w:r>
      <w:r>
        <w:t xml:space="preserve"> </w:t>
      </w:r>
      <w:r>
        <w:t xml:space="preserve">where those women live, lowering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hence their measured access relative</w:t>
      </w:r>
      <w:r>
        <w:t xml:space="preserve"> </w:t>
      </w:r>
      <w:r>
        <w:t xml:space="preserve">to White-area access. When</w:t>
      </w:r>
      <w:r>
        <w:t xml:space="preserve"> </w:t>
      </w:r>
      <m:oMath>
        <m:r>
          <m:t>ρ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the reverse holds. Formally, the contrast</w:t>
      </w:r>
      <w:r>
        <w:t xml:space="preserve"> </w:t>
      </w:r>
      <w:r>
        <w:t xml:space="preserve">should move in the direction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sign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5"/>
        <w:gridCol w:w="589"/>
        <w:gridCol w:w="1769"/>
        <w:gridCol w:w="2022"/>
        <w:gridCol w:w="842"/>
        <w:gridCol w:w="758"/>
        <w:gridCol w:w="84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Subspecialty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AIAN:White, all ages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AIAN:White, age-matched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1.4246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MFM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FPMRS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The predicted direction is observed in</w:t>
      </w:r>
      <w:r>
        <w:t xml:space="preserve"> </w:t>
      </w:r>
      <w:r>
        <w:rPr>
          <w:b/>
          <w:bCs/>
        </w:rPr>
        <w:t xml:space="preserve">7 of 7</w:t>
      </w:r>
      <w:r>
        <w:t xml:space="preserve"> </w:t>
      </w:r>
      <w:r>
        <w:t xml:space="preserve">subspecialties.</w:t>
      </w:r>
    </w:p>
    <w:p>
      <w:pPr>
        <w:pStyle w:val="BodyText"/>
      </w:pPr>
      <w:r>
        <w:t xml:space="preserve">The changes in the American Indian and Alaska Native contrast are therefore not</w:t>
      </w:r>
      <w:r>
        <w:t xml:space="preserve"> </w:t>
      </w:r>
      <w:r>
        <w:t xml:space="preserve">noise: they are the mechanical consequence of a younger age structure</w:t>
      </w:r>
      <w:r>
        <w:t xml:space="preserve"> </w:t>
      </w:r>
      <w:r>
        <w:t xml:space="preserve">interacting with a narrower age window. The disparity persists in every</w:t>
      </w:r>
      <w:r>
        <w:t xml:space="preserve"> </w:t>
      </w:r>
      <w:r>
        <w:t xml:space="preserve">subspecialty, but age-matching</w:t>
      </w:r>
      <w:r>
        <w:t xml:space="preserve"> </w:t>
      </w:r>
      <w:r>
        <w:rPr>
          <w:i/>
          <w:iCs/>
        </w:rPr>
        <w:t xml:space="preserve">widens</w:t>
      </w:r>
      <w:r>
        <w:t xml:space="preserve"> </w:t>
      </w:r>
      <w:r>
        <w:t xml:space="preserve">it wherever the window favours younger</w:t>
      </w:r>
      <w:r>
        <w:t xml:space="preserve"> </w:t>
      </w:r>
      <w:r>
        <w:t xml:space="preserve">women and</w:t>
      </w:r>
      <w:r>
        <w:t xml:space="preserve"> </w:t>
      </w:r>
      <w:r>
        <w:rPr>
          <w:i/>
          <w:iCs/>
        </w:rPr>
        <w:t xml:space="preserve">narrows</w:t>
      </w:r>
      <w:r>
        <w:t xml:space="preserve"> </w:t>
      </w:r>
      <w:r>
        <w:t xml:space="preserve">it wherever the window favours older women.</w:t>
      </w:r>
    </w:p>
    <w:bookmarkEnd w:id="25"/>
    <w:bookmarkStart w:id="26" w:name="conservation"/>
    <w:p>
      <w:pPr>
        <w:pStyle w:val="Heading4"/>
      </w:pPr>
      <w:r>
        <w:t xml:space="preserve">Conservation</w:t>
      </w:r>
    </w:p>
    <w:p>
      <w:pPr>
        <w:pStyle w:val="FirstParagraph"/>
      </w:pPr>
      <w:r>
        <w:t xml:space="preserve">The engine satisfies the identity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S</m:t>
                  </m:r>
                </m:e>
                <m:sub>
                  <m:r>
                    <m:t>j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over providers reachable by some population — accessibility redistributes supply</w:t>
      </w:r>
      <w:r>
        <w:t xml:space="preserve"> </w:t>
      </w:r>
      <w:r>
        <w:t xml:space="preserve">across space without creating or destroying it. This holds separately under each</w:t>
      </w:r>
      <w:r>
        <w:t xml:space="preserve"> </w:t>
      </w:r>
      <w:r>
        <w:t xml:space="preserve">denominator regime, with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substituted throughout; it is verified</w:t>
      </w:r>
      <w:r>
        <w:t xml:space="preserve"> </w:t>
      </w:r>
      <w:r>
        <w:t xml:space="preserve">numerically in the package test suite rather than assumed here.</w:t>
      </w:r>
    </w:p>
    <w:bookmarkEnd w:id="26"/>
    <w:bookmarkEnd w:id="27"/>
    <w:bookmarkStart w:id="28" w:name="b.-supply-conservation"/>
    <w:p>
      <w:pPr>
        <w:pStyle w:val="Heading3"/>
      </w:pPr>
      <w:r>
        <w:t xml:space="preserve">4b. Supply conservation</w:t>
      </w:r>
    </w:p>
    <w:p>
      <w:pPr>
        <w:pStyle w:val="FirstParagraph"/>
      </w:pPr>
      <w:r>
        <w:t xml:space="preserve">Age-restricted accessibility estimates are only meaningful if the supply side is</w:t>
      </w:r>
      <w:r>
        <w:t xml:space="preserve"> </w:t>
      </w:r>
      <w:r>
        <w:t xml:space="preserve">complete. Every provider origin entering the model must have an associated</w:t>
      </w:r>
      <w:r>
        <w:t xml:space="preserve"> </w:t>
      </w:r>
      <w:r>
        <w:t xml:space="preserve">drive-time catchment. The pipeline fails closed if any does not, naming the</w:t>
      </w:r>
      <w:r>
        <w:t xml:space="preserve"> </w:t>
      </w:r>
      <w:r>
        <w:t xml:space="preserve">offending origins and quantifying the supply they carry, rather than dropping</w:t>
      </w:r>
      <w:r>
        <w:t xml:space="preserve"> </w:t>
      </w:r>
      <w:r>
        <w:t xml:space="preserve">them and continuing.</w:t>
      </w:r>
    </w:p>
    <w:p>
      <w:pPr>
        <w:pStyle w:val="BodyText"/>
      </w:pPr>
      <w:r>
        <w:t xml:space="preserve">This is enforced rather than assumed because the failure mode is silent: supply</w:t>
      </w:r>
      <w:r>
        <w:t xml:space="preserve"> </w:t>
      </w:r>
      <w:r>
        <w:t xml:space="preserve">with no catchment contributes to no one’s accessibility, so it deflates every</w:t>
      </w:r>
      <w:r>
        <w:t xml:space="preserve"> </w:t>
      </w:r>
      <w:r>
        <w:t xml:space="preserve">downstream mean while each individual value still looks plausible. An earlier</w:t>
      </w:r>
      <w:r>
        <w:t xml:space="preserve"> </w:t>
      </w:r>
      <w:r>
        <w:t xml:space="preserve">version of this analysis dropped unmatched origins by configuration and landed</w:t>
      </w:r>
      <w:r>
        <w:t xml:space="preserve"> </w:t>
      </w:r>
      <w:r>
        <w:t xml:space="preserve">below the frozen reference, with the loss visible only in a column that nothing</w:t>
      </w:r>
      <w:r>
        <w:t xml:space="preserve"> </w:t>
      </w:r>
      <w:r>
        <w:t xml:space="preserve">compared.</w:t>
      </w:r>
    </w:p>
    <w:p>
      <w:pPr>
        <w:pStyle w:val="BodyText"/>
      </w:pPr>
      <w:r>
        <w:t xml:space="preserve">For gynecologic oncology that shortfall was</w:t>
      </w:r>
      <w:r>
        <w:t xml:space="preserve"> </w:t>
      </w:r>
      <w:r>
        <w:rPr>
          <w:b/>
          <w:bCs/>
        </w:rPr>
        <w:t xml:space="preserve">0.000%</w:t>
      </w:r>
      <w:r>
        <w:t xml:space="preserve"> </w:t>
      </w:r>
      <w:r>
        <w:t xml:space="preserve">relative to the frozen reference, from 0 of 516 provider origins having no catchment. All results reported here come from runs in which supply is fully conserved.</w:t>
      </w:r>
    </w:p>
    <w:bookmarkEnd w:id="28"/>
    <w:bookmarkStart w:id="29" w:name="validation-of-the-denominators"/>
    <w:p>
      <w:pPr>
        <w:pStyle w:val="Heading3"/>
      </w:pPr>
      <w:r>
        <w:t xml:space="preserve">5. Validation of the denominators</w:t>
      </w:r>
    </w:p>
    <w:p>
      <w:pPr>
        <w:pStyle w:val="FirstParagraph"/>
      </w:pPr>
      <w:r>
        <w:t xml:space="preserve">Three checks were run before any accessibility computation.</w:t>
      </w:r>
    </w:p>
    <w:p>
      <w:pPr>
        <w:pStyle w:val="BodyText"/>
      </w:pPr>
      <w:r>
        <w:rPr>
          <w:b/>
          <w:bCs/>
        </w:rPr>
        <w:t xml:space="preserve">Conservation.</w:t>
      </w:r>
      <w:r>
        <w:t xml:space="preserve"> </w:t>
      </w:r>
      <w:r>
        <w:t xml:space="preserve">Summing every female age band must reproduce the published</w:t>
      </w:r>
      <w:r>
        <w:t xml:space="preserve"> </w:t>
      </w:r>
      <w:r>
        <w:t xml:space="preserve">female total for each table. Exact agreement in all three: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Published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Sum of bands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Relative difference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B01001 (total)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164,690,617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164,690,617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B01001H (White NH)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99,126,561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99,126,561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B01001C (AIAN)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1,296,971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1,296,971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</w:tr>
    </w:tbl>
    <w:p>
      <w:pPr>
        <w:pStyle w:val="BodyText"/>
      </w:pPr>
      <w:r>
        <w:rPr>
          <w:b/>
          <w:bCs/>
        </w:rPr>
        <w:t xml:space="preserve">Overlap identity.</w:t>
      </w:r>
      <w:r>
        <w:t xml:space="preserve"> </w:t>
      </w:r>
      <w:r>
        <w:t xml:space="preserve">The MIGS window (15 and over) and the PAG window (under</w:t>
      </w:r>
      <w:r>
        <w:t xml:space="preserve"> </w:t>
      </w:r>
      <w:r>
        <w:t xml:space="preserve">20) together span all ages but both contain ages 15–19. Their sum minus the</w:t>
      </w:r>
      <w:r>
        <w:t xml:space="preserve"> </w:t>
      </w:r>
      <w:r>
        <w:t xml:space="preserve">published female total must therefore equal the female population aged 15–19:</w:t>
      </w:r>
    </w:p>
    <w:p>
      <w:pPr>
        <w:pStyle w:val="SourceCode"/>
      </w:pPr>
      <w:r>
        <w:rPr>
          <w:rStyle w:val="VerbatimChar"/>
        </w:rPr>
        <w:t xml:space="preserve">135,193,418 + 39,796,726 - 164,690,617 = 10,299,527</w:t>
      </w:r>
      <w:r>
        <w:br/>
      </w:r>
      <w:r>
        <w:rPr>
          <w:rStyle w:val="VerbatimChar"/>
        </w:rPr>
        <w:t xml:space="preserve">ACS female aged 15-19      = 10,299,527</w:t>
      </w:r>
    </w:p>
    <w:p>
      <w:pPr>
        <w:pStyle w:val="FirstParagraph"/>
      </w:pPr>
      <w:r>
        <w:t xml:space="preserve">This check uses only published totals and is independent of the band lists.</w:t>
      </w:r>
    </w:p>
    <w:p>
      <w:pPr>
        <w:pStyle w:val="BodyText"/>
      </w:pPr>
      <w:r>
        <w:rPr>
          <w:b/>
          <w:bCs/>
        </w:rPr>
        <w:t xml:space="preserve">Partition.</w:t>
      </w:r>
      <w:r>
        <w:t xml:space="preserve"> </w:t>
      </w:r>
      <w:r>
        <w:t xml:space="preserve">In every tract, metropolitan plus rural population must not</w:t>
      </w:r>
      <w:r>
        <w:t xml:space="preserve"> </w:t>
      </w:r>
      <w:r>
        <w:t xml:space="preserve">exceed the total. RUCA leaves some tracts in neither class, so equality is not</w:t>
      </w:r>
      <w:r>
        <w:t xml:space="preserve"> </w:t>
      </w:r>
      <w:r>
        <w:t xml:space="preserve">required, but excess would indicate a classification error.</w:t>
      </w:r>
    </w:p>
    <w:bookmarkEnd w:id="29"/>
    <w:bookmarkStart w:id="30" w:name="analysis"/>
    <w:p>
      <w:pPr>
        <w:pStyle w:val="Heading3"/>
      </w:pPr>
      <w:r>
        <w:t xml:space="preserve">6. Analysis</w:t>
      </w:r>
    </w:p>
    <w:p>
      <w:pPr>
        <w:pStyle w:val="FirstParagraph"/>
      </w:pPr>
      <w:r>
        <w:t xml:space="preserve">Both denominator regimes — all-ages and age-matched — were computed in a single</w:t>
      </w:r>
      <w:r>
        <w:t xml:space="preserve"> </w:t>
      </w:r>
      <w:r>
        <w:t xml:space="preserve">run using</w:t>
      </w:r>
      <w:r>
        <w:t xml:space="preserve"> </w:t>
      </w:r>
      <w:r>
        <w:rPr>
          <w:b/>
          <w:bCs/>
        </w:rPr>
        <w:t xml:space="preserve">identical</w:t>
      </w:r>
      <w:r>
        <w:t xml:space="preserve"> </w:t>
      </w:r>
      <w:r>
        <w:t xml:space="preserve">grid geometry, isochrones, provider supply, distance-decay</w:t>
      </w:r>
      <w:r>
        <w:t xml:space="preserve"> </w:t>
      </w:r>
      <w:r>
        <w:t xml:space="preserve">weights (Luo and Qi 2009 weight set 1: 1.00, 0.68, 0.22, 0.09), grid resolution</w:t>
      </w:r>
      <w:r>
        <w:t xml:space="preserve"> </w:t>
      </w:r>
      <w:r>
        <w:t xml:space="preserve">(1,000 m, EPSG:5070) and allocation method (mass-conserving, area-weighted).</w:t>
      </w:r>
      <w:r>
        <w:t xml:space="preserve"> </w:t>
      </w:r>
      <w:r>
        <w:t xml:space="preserve">Only the demand denominator differs. Any incompleteness in the reproduction</w:t>
      </w:r>
      <w:r>
        <w:t xml:space="preserve"> </w:t>
      </w:r>
      <w:r>
        <w:t xml:space="preserve">inputs therefore affects both regimes equally and cancels in the contrast.</w:t>
      </w:r>
    </w:p>
    <w:p>
      <w:pPr>
        <w:pStyle w:val="BodyText"/>
      </w:pPr>
      <w:r>
        <w:t xml:space="preserve">Per-subspecialty denominators (contiguous United States, ACS 2020):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5"/>
        <w:gridCol w:w="1159"/>
        <w:gridCol w:w="1159"/>
        <w:gridCol w:w="1255"/>
        <w:gridCol w:w="1062"/>
        <w:gridCol w:w="1062"/>
        <w:gridCol w:w="96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Subspecialty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Metropolitan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White NH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39,796,726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33,292,612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6,504,114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19,947,271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371,800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72,631,023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61,415,930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11,215,093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37,851,078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655,722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and over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71,471,924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58,547,361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12,924,563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49,743,630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475,291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FPMRS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and over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71,471,924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58,547,361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12,924,563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49,743,630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475,291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MFM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to 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63,721,494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54,250,022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9,471,472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34,820,896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549,173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to 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63,721,494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54,250,022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9,471,472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34,820,896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549,173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and over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135,193,418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112,797,383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22,396,035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84,564,526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1,024,464</w:t>
            </w:r>
          </w:p>
        </w:tc>
      </w:tr>
    </w:tbl>
    <w:bookmarkEnd w:id="30"/>
    <w:bookmarkStart w:id="31" w:name="interpretation-rule-fixed-in-advance"/>
    <w:p>
      <w:pPr>
        <w:pStyle w:val="Heading3"/>
      </w:pPr>
      <w:r>
        <w:t xml:space="preserve">7. Interpretation rule, fixed in advance</w:t>
      </w:r>
    </w:p>
    <w:p>
      <w:pPr>
        <w:pStyle w:val="FirstParagraph"/>
      </w:pPr>
      <w:r>
        <w:t xml:space="preserve">Age-matched and all-ages accessibility values are</w:t>
      </w:r>
      <w:r>
        <w:t xml:space="preserve"> </w:t>
      </w:r>
      <w:r>
        <w:rPr>
          <w:b/>
          <w:bCs/>
        </w:rPr>
        <w:t xml:space="preserve">not comparable in level</w:t>
      </w:r>
      <w:r>
        <w:t xml:space="preserve">.</w:t>
      </w:r>
      <w:r>
        <w:t xml:space="preserve"> </w:t>
      </w:r>
      <w:r>
        <w:t xml:space="preserve">They have different denominators and are therefore different estimands. A change</w:t>
      </w:r>
      <w:r>
        <w:t xml:space="preserve"> </w:t>
      </w:r>
      <w:r>
        <w:t xml:space="preserve">in the national mean between regimes is arithmetic, not a finding: halving the</w:t>
      </w:r>
      <w:r>
        <w:t xml:space="preserve"> </w:t>
      </w:r>
      <w:r>
        <w:t xml:space="preserve">denominator approximately doubles the reported value.</w:t>
      </w:r>
    </w:p>
    <w:p>
      <w:pPr>
        <w:pStyle w:val="BodyText"/>
      </w:pPr>
      <w:r>
        <w:t xml:space="preserve">Only two things may be compared across regimes: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of each contrast (rural versus metropolitan; American</w:t>
      </w:r>
      <w:r>
        <w:t xml:space="preserve"> </w:t>
      </w:r>
      <w:r>
        <w:t xml:space="preserve">Indian and Alaska Native area versus White area);</w:t>
      </w:r>
    </w:p>
    <w:p>
      <w:pPr>
        <w:pStyle w:val="Compact"/>
        <w:numPr>
          <w:ilvl w:val="0"/>
          <w:numId w:val="1003"/>
        </w:numPr>
      </w:pPr>
      <w:r>
        <w:t xml:space="preserve">whether each qualitative claim in the manuscript remains true.</w:t>
      </w:r>
    </w:p>
    <w:bookmarkEnd w:id="31"/>
    <w:bookmarkStart w:id="32" w:name="results"/>
    <w:p>
      <w:pPr>
        <w:pStyle w:val="Heading3"/>
      </w:pPr>
      <w:r>
        <w:t xml:space="preserve">8. Results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1"/>
        <w:gridCol w:w="1284"/>
        <w:gridCol w:w="1284"/>
        <w:gridCol w:w="1498"/>
        <w:gridCol w:w="1284"/>
        <w:gridCol w:w="117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Subspecialty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Denominator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National 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Rural:metro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AIAN:White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and over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71,471,924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ages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164,690,617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FPMRS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and over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71,471,924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FPMRS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ages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164,690,617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MFM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to 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63,721,494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1.9535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MFM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ages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164,690,617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to 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63,721,494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ages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164,690,617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and over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135,193,418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ages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164,690,617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39,796,726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ages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164,690,617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72,631,023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ages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164,690,617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0.9748</w:t>
            </w:r>
          </w:p>
        </w:tc>
      </w:tr>
    </w:tbl>
    <w:p>
      <w:pPr>
        <w:pStyle w:val="BodyText"/>
      </w:pPr>
      <w:r>
        <w:rPr>
          <w:b/>
          <w:bCs/>
        </w:rPr>
        <w:t xml:space="preserve">Claim survival.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C2</w:t>
      </w:r>
      <w:r>
        <w:t xml:space="preserve"> </w:t>
      </w:r>
      <w:r>
        <w:t xml:space="preserve">(rural below metropolitan in all seven):</w:t>
      </w:r>
      <w:r>
        <w:t xml:space="preserve"> </w:t>
      </w:r>
      <w:r>
        <w:rPr>
          <w:b/>
          <w:bCs/>
        </w:rPr>
        <w:t xml:space="preserve">holds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C3</w:t>
      </w:r>
      <w:r>
        <w:t xml:space="preserve"> </w:t>
      </w:r>
      <w:r>
        <w:t xml:space="preserve">(AIAN area below White area in all seven):</w:t>
      </w:r>
      <w:r>
        <w:t xml:space="preserve"> </w:t>
      </w:r>
      <w:r>
        <w:rPr>
          <w:b/>
          <w:bCs/>
        </w:rPr>
        <w:t xml:space="preserve">holds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C5</w:t>
      </w:r>
      <w:r>
        <w:t xml:space="preserve"> </w:t>
      </w:r>
      <w:r>
        <w:t xml:space="preserve">(subspecialty ordering stable):</w:t>
      </w:r>
      <w:r>
        <w:t xml:space="preserve"> </w:t>
      </w:r>
      <w:r>
        <w:rPr>
          <w:b/>
          <w:bCs/>
        </w:rPr>
        <w:t xml:space="preserve">FAILS</w:t>
      </w:r>
    </w:p>
    <w:p>
      <w:pPr>
        <w:pStyle w:val="Compact"/>
        <w:numPr>
          <w:ilvl w:val="1"/>
          <w:numId w:val="1005"/>
        </w:numPr>
      </w:pPr>
      <w:r>
        <w:t xml:space="preserve">ordering, all ages: MFM &gt; GO &gt; REI &gt; FPMRS &gt; MIGS &gt; PAG &gt; CFP</w:t>
      </w:r>
    </w:p>
    <w:p>
      <w:pPr>
        <w:pStyle w:val="Compact"/>
        <w:numPr>
          <w:ilvl w:val="1"/>
          <w:numId w:val="1005"/>
        </w:numPr>
      </w:pPr>
      <w:r>
        <w:t xml:space="preserve">ordering, age-matched: MFM &gt; REI &gt; GO &gt; FPMRS &gt; PAG &gt; MIGS &gt; CFP</w:t>
      </w:r>
    </w:p>
    <w:bookmarkEnd w:id="32"/>
    <w:bookmarkStart w:id="36" w:name="figure-s1"/>
    <w:p>
      <w:pPr>
        <w:pStyle w:val="Heading3"/>
      </w:pPr>
      <w:r>
        <w:t xml:space="preserve">Figure S1</w:t>
      </w:r>
    </w:p>
    <w:p>
      <w:pPr>
        <w:pStyle w:val="CaptionedFigure"/>
      </w:pPr>
      <w:r>
        <w:drawing>
          <wp:inline>
            <wp:extent cx="5334000" cy="2000249"/>
            <wp:effectExtent b="0" l="0" r="0" t="0"/>
            <wp:docPr descr="Age-matched versus all-ages demand denominators. Panel A: the share of the all-ages female population retained by each subspecialty’s age window; all-ages indexing measures every subspecialty against 100 percent. Panel B: the two disparity contrasts, paired within subspecialty. Ratios are dimensionless and therefore comparable across regimes, unlike the underlying levels. Panel C: rank by national mean access; rank is comparable across regimes even though the values are not." title="" id="34" name="Picture"/>
            <a:graphic>
              <a:graphicData uri="http://schemas.openxmlformats.org/drawingml/2006/picture">
                <pic:pic>
                  <pic:nvPicPr>
                    <pic:cNvPr descr="appendix_age_matched_denominators_files/figures/fig_age_matched_denominators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Age-matched versus all-ages demand denominators. Panel A: the share of the all-ages female population retained by each subspecialty’s age window; all-ages indexing measures every subspecialty against 100 percent. Panel B: the two disparity contrasts, paired within subspecialty. Ratios are dimensionless and therefore comparable across regimes, unlike the underlying levels. Panel C: rank by national mean access; rank is comparable across regimes even though the values are not.</w:t>
      </w:r>
    </w:p>
    <w:p>
      <w:pPr>
        <w:pStyle w:val="BodyText"/>
      </w:pPr>
      <w:r>
        <w:rPr>
          <w:b/>
          <w:bCs/>
        </w:rPr>
        <w:t xml:space="preserve">Note on what this figure deliberately omits.</w:t>
      </w:r>
      <w:r>
        <w:t xml:space="preserve"> </w:t>
      </w:r>
      <w:r>
        <w:t xml:space="preserve">National mean access is not plotted for the two regimes side by side. Those values have different denominators and are different estimands; gynecologic oncology moves from 0.5408 to 1.2461 under age-matching, which is arithmetic rather than a change in access. A chart placing them together would invite precisely the misreading section 7 forbids.</w:t>
      </w:r>
    </w:p>
    <w:p>
      <w:pPr>
        <w:pStyle w:val="BodyText"/>
      </w:pPr>
      <w:r>
        <w:rPr>
          <w:b/>
          <w:bCs/>
        </w:rPr>
        <w:t xml:space="preserve">Anticipated in advance:</w:t>
      </w:r>
      <w:r>
        <w:t xml:space="preserve"> </w:t>
      </w:r>
      <w:r>
        <w:t xml:space="preserve">age-matching can legitimately reorder the</w:t>
      </w:r>
      <w:r>
        <w:t xml:space="preserve"> </w:t>
      </w:r>
      <w:r>
        <w:t xml:space="preserve">subspecialties, because the ordering in the primary analysis partly reflects how</w:t>
      </w:r>
      <w:r>
        <w:t xml:space="preserve"> </w:t>
      </w:r>
      <w:r>
        <w:t xml:space="preserve">much of the all-ages female population is a plausible candidate for each</w:t>
      </w:r>
      <w:r>
        <w:t xml:space="preserve"> </w:t>
      </w:r>
      <w:r>
        <w:t xml:space="preserve">subspecialty. A reordering is a result of this analysis, not a failure of it.</w:t>
      </w:r>
    </w:p>
    <w:bookmarkEnd w:id="36"/>
    <w:bookmarkStart w:id="37" w:name="limitations"/>
    <w:p>
      <w:pPr>
        <w:pStyle w:val="Heading3"/>
      </w:pPr>
      <w:r>
        <w:t xml:space="preserve">9. Limitations</w:t>
      </w:r>
    </w:p>
    <w:p>
      <w:pPr>
        <w:pStyle w:val="FirstParagraph"/>
      </w:pPr>
      <w:r>
        <w:rPr>
          <w:b/>
          <w:bCs/>
        </w:rPr>
        <w:t xml:space="preserve">Age is a proxy for candidacy, not a definition of it.</w:t>
      </w:r>
      <w:r>
        <w:t xml:space="preserve"> </w:t>
      </w:r>
      <w:r>
        <w:t xml:space="preserve">A 50-year-old woman</w:t>
      </w:r>
      <w:r>
        <w:t xml:space="preserve"> </w:t>
      </w:r>
      <w:r>
        <w:t xml:space="preserve">may require complex family planning services; a 30-year-old may require</w:t>
      </w:r>
      <w:r>
        <w:t xml:space="preserve"> </w:t>
      </w:r>
      <w:r>
        <w:t xml:space="preserve">gynecologic oncology. These windows describe the population a subspecialty</w:t>
      </w:r>
      <w:r>
        <w:t xml:space="preserve"> </w:t>
      </w:r>
      <w:r>
        <w:t xml:space="preserve">predominantly serves, not an eligibility rule.</w:t>
      </w:r>
    </w:p>
    <w:p>
      <w:pPr>
        <w:pStyle w:val="BodyText"/>
      </w:pPr>
      <w:r>
        <w:rPr>
          <w:b/>
          <w:bCs/>
        </w:rPr>
        <w:t xml:space="preserve">The race contrasts are constrained by ACS granularity.</w:t>
      </w:r>
      <w:r>
        <w:t xml:space="preserve"> </w:t>
      </w:r>
      <w:r>
        <w:t xml:space="preserve">The race iterations</w:t>
      </w:r>
      <w:r>
        <w:t xml:space="preserve"> </w:t>
      </w:r>
      <w:r>
        <w:t xml:space="preserve">are decadal above age 35, which is why two windows were shifted. Finer</w:t>
      </w:r>
      <w:r>
        <w:t xml:space="preserve"> </w:t>
      </w:r>
      <w:r>
        <w:t xml:space="preserve">age-matching is available for the rurality contrast than for the race contrast;</w:t>
      </w:r>
      <w:r>
        <w:t xml:space="preserve"> </w:t>
      </w:r>
      <w:r>
        <w:t xml:space="preserve">using the finer resolution only where it exists would produce contrasts that are</w:t>
      </w:r>
      <w:r>
        <w:t xml:space="preserve"> </w:t>
      </w:r>
      <w:r>
        <w:t xml:space="preserve">not comparable to one another, and was deliberately not done.</w:t>
      </w:r>
    </w:p>
    <w:p>
      <w:pPr>
        <w:pStyle w:val="BodyText"/>
      </w:pPr>
      <w:r>
        <w:rPr>
          <w:b/>
          <w:bCs/>
        </w:rPr>
        <w:t xml:space="preserve">Area-level race measurement is unchanged.</w:t>
      </w:r>
      <w:r>
        <w:t xml:space="preserve"> </w:t>
      </w:r>
      <w:r>
        <w:t xml:space="preserve">As in the primary analysis, race</w:t>
      </w:r>
      <w:r>
        <w:t xml:space="preserve"> </w:t>
      </w:r>
      <w:r>
        <w:t xml:space="preserve">contrasts compare accessibility in areas where American Indian and Alaska Native</w:t>
      </w:r>
      <w:r>
        <w:t xml:space="preserve"> </w:t>
      </w:r>
      <w:r>
        <w:t xml:space="preserve">women live against areas where White women live. They are ecological measures</w:t>
      </w:r>
      <w:r>
        <w:t xml:space="preserve"> </w:t>
      </w:r>
      <w:r>
        <w:t xml:space="preserve">and do not describe individual experience.</w:t>
      </w:r>
    </w:p>
    <w:p>
      <w:pPr>
        <w:pStyle w:val="BodyText"/>
      </w:pPr>
      <w:r>
        <w:rPr>
          <w:b/>
          <w:bCs/>
        </w:rPr>
        <w:t xml:space="preserve">The American Indian and Alaska Native denominator remains small.</w:t>
      </w:r>
      <w:r>
        <w:t xml:space="preserve"> </w:t>
      </w:r>
      <w:r>
        <w:t xml:space="preserve">At</w:t>
      </w:r>
      <w:r>
        <w:t xml:space="preserve"> </w:t>
      </w:r>
      <w:r>
        <w:t xml:space="preserve">1,296,971 women nationally against 99,126,561 White women — a 76-fold</w:t>
      </w:r>
      <w:r>
        <w:t xml:space="preserve"> </w:t>
      </w:r>
      <w:r>
        <w:t xml:space="preserve">difference — these estimates are the least stable in the study, before and after</w:t>
      </w:r>
      <w:r>
        <w:t xml:space="preserve"> </w:t>
      </w:r>
      <w:r>
        <w:t xml:space="preserve">age-matching.</w:t>
      </w:r>
    </w:p>
    <w:p>
      <w:pPr>
        <w:pStyle w:val="BodyText"/>
      </w:pPr>
      <w:r>
        <w:rPr>
          <w:b/>
          <w:bCs/>
        </w:rPr>
        <w:t xml:space="preserve">Potential, not realized, access.</w:t>
      </w:r>
      <w:r>
        <w:t xml:space="preserve"> </w:t>
      </w:r>
      <w:r>
        <w:t xml:space="preserve">Age-matching addresses who is counted in</w:t>
      </w:r>
      <w:r>
        <w:t xml:space="preserve"> </w:t>
      </w:r>
      <w:r>
        <w:t xml:space="preserve">the denominator. It does not address insurance acceptance, appointment</w:t>
      </w:r>
      <w:r>
        <w:t xml:space="preserve"> </w:t>
      </w:r>
      <w:r>
        <w:t xml:space="preserve">availability, transportation, or whether care is sought.</w:t>
      </w:r>
    </w:p>
    <w:bookmarkEnd w:id="37"/>
    <w:bookmarkStart w:id="38" w:name="reproducibility"/>
    <w:p>
      <w:pPr>
        <w:pStyle w:val="Heading3"/>
      </w:pPr>
      <w:r>
        <w:t xml:space="preserve">10. Reproducibility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Frozen specification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inst/multiverse/age_matched_denominator.yml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Specification hash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inst/multiverse/age_matched_denominator.sha256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Denominator construction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tools/multiverse/age_matched_denominators.R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Analysis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tools/multiverse/run_age_matched.R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artifacts/multiverse/age_matched_results.csv</w:t>
            </w:r>
          </w:p>
        </w:tc>
      </w:tr>
    </w:tbl>
    <w:p>
      <w:pPr>
        <w:pStyle w:val="BodyText"/>
      </w:pPr>
      <w:r>
        <w:t xml:space="preserve">The specification hash is verified at run time; the analysis refuses to execute</w:t>
      </w:r>
      <w:r>
        <w:t xml:space="preserve"> </w:t>
      </w:r>
      <w:r>
        <w:t xml:space="preserve">against a modified manifest.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3" Target="media/rId33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Appendix: Age-Matched Demand Denominators</dc:title>
  <dc:creator/>
  <cp:keywords/>
  <dcterms:created xsi:type="dcterms:W3CDTF">2026-08-29T03:40:19Z</dcterms:created>
  <dcterms:modified xsi:type="dcterms:W3CDTF">2026-08-29T03:40:19Z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  <property fmtid="{D5CDD505-2E9C-101B-9397-08002B2CF9AE}" pid="3" name="subtitle">
    <vt:lpwstr>Supplemental Digital Content</vt:lpwstr>
  </property>
</Properties>
</file>