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307 words (O&amp;G limit 300);</w:t>
      </w:r>
      <w:r>
        <w:t xml:space="preserve"> </w:t>
      </w:r>
      <w:r>
        <w:t xml:space="preserve">main text, approximately 4,070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4,231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how reachable each specialty group</w:t>
      </w:r>
      <w:r>
        <w:t xml:space="preserve"> </w:t>
      </w:r>
      <w:r>
        <w:t xml:space="preserve">was for the 2020 female population (164,690,617 women; American</w:t>
      </w:r>
      <w:r>
        <w:t xml:space="preserve"> </w:t>
      </w:r>
      <w:r>
        <w:t xml:space="preserve">Community Survey). Potential geographic accessibility was estimated with</w:t>
      </w:r>
      <w:r>
        <w:t xml:space="preserve"> </w:t>
      </w:r>
      <w:r>
        <w:t xml:space="preserve">an enhanced two-step floating catchment area model, which rewards</w:t>
      </w:r>
      <w:r>
        <w:t xml:space="preserve"> </w:t>
      </w:r>
      <w:r>
        <w:t xml:space="preserve">shorter drives and accounts for competing demand for the same</w:t>
      </w:r>
      <w:r>
        <w:t xml:space="preserve"> </w:t>
      </w:r>
      <w:r>
        <w:t xml:space="preserve">specialists. We compared access by urban versus rural location and by</w:t>
      </w:r>
      <w:r>
        <w:t xml:space="preserve"> </w:t>
      </w:r>
      <w:r>
        <w:t xml:space="preserve">race 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American Indian or Alaska Native women had the highest zero-access share</w:t>
      </w:r>
      <w:r>
        <w:t xml:space="preserve"> </w:t>
      </w:r>
      <w:r>
        <w:t xml:space="preserve">(9.4%), 8.2 points higher than non-Hispanic White women. From 2013 to</w:t>
      </w:r>
      <w:r>
        <w:t xml:space="preserve"> </w:t>
      </w:r>
      <w:r>
        <w:t xml:space="preserve">2022, minimally invasive gynecologic surgery increased most (50.1%) and</w:t>
      </w:r>
      <w:r>
        <w:t xml:space="preserve"> </w:t>
      </w:r>
      <w:r>
        <w:t xml:space="preserve">maternal-fetal medicine alone declined (-30.2%). Disparities held across</w:t>
      </w:r>
      <w:r>
        <w:t xml:space="preserve"> </w:t>
      </w:r>
      <w:r>
        <w:t xml:space="preserve">sensitivity analyses varying decay, catchment, and resolution.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specialty</w:t>
      </w:r>
      <w:r>
        <w:t xml:space="preserve"> </w:t>
      </w:r>
      <w:r>
        <w:t xml:space="preserve">groups (five ABOG subspecialties and two focused-practice designations)</w:t>
      </w:r>
      <w:r>
        <w:t xml:space="preserve"> </w:t>
      </w:r>
      <w:r>
        <w:t xml:space="preserve">on one framework; it measures accessibility as travel time along the</w:t>
      </w:r>
      <w:r>
        <w:t xml:space="preserve"> </w:t>
      </w:r>
      <w:r>
        <w:t xml:space="preserve">actual road network rather than straight-line or county-centroid</w:t>
      </w:r>
      <w:r>
        <w:t xml:space="preserve"> </w:t>
      </w:r>
      <w:r>
        <w:t xml:space="preserve">distance; it allocates tract-level population to a 500-m computational</w:t>
      </w:r>
      <w:r>
        <w:t xml:space="preserve"> </w:t>
      </w:r>
      <w:r>
        <w:t xml:space="preserve">grid while preserving tract totals, rather than using the county; and it</w:t>
      </w:r>
      <w:r>
        <w:t xml:space="preserve"> </w:t>
      </w:r>
      <w:r>
        <w:t xml:space="preserve">identifies subspecialists from ABOG certification records, the</w:t>
      </w:r>
      <w:r>
        <w:t xml:space="preserve"> </w:t>
      </w:r>
      <w:r>
        <w:t xml:space="preserve">certification standard used to define subspecialty, rather than society</w:t>
      </w:r>
      <w:r>
        <w:t xml:space="preserve"> </w:t>
      </w:r>
      <w:r>
        <w:t xml:space="preserve">rosters or provider registries, computed annually across more than a</w:t>
      </w:r>
      <w:r>
        <w:t xml:space="preserve"> </w:t>
      </w:r>
      <w:r>
        <w:t xml:space="preserve">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the physician’s entry to the subspecialty), so a physician</w:t>
      </w:r>
      <w:r>
        <w:t xml:space="preserve"> </w:t>
      </w:r>
      <w:r>
        <w:t xml:space="preserve">contributed to a subspecialty’s accessibility surface only in the years</w:t>
      </w:r>
      <w:r>
        <w:t xml:space="preserve"> </w:t>
      </w:r>
      <w:r>
        <w:t xml:space="preserve">in which they were active, and relocations were tracked so that each</w:t>
      </w:r>
      <w:r>
        <w:t xml:space="preserve"> </w:t>
      </w:r>
      <w:r>
        <w:t xml:space="preserve">physician was placed at their practice location for the year in</w:t>
      </w:r>
      <w:r>
        <w:t xml:space="preserve"> </w:t>
      </w:r>
      <w:r>
        <w:t xml:space="preserve">question. Each physician was placed at a single practice location per</w:t>
      </w:r>
      <w:r>
        <w:t xml:space="preserve"> </w:t>
      </w:r>
      <w:r>
        <w:t xml:space="preserve">year; quality-control testing identified no physician-years with</w:t>
      </w:r>
      <w:r>
        <w:t xml:space="preserve"> </w:t>
      </w:r>
      <w:r>
        <w:t xml:space="preserve">multiple concurrent locations, so no supply was double-counted</w:t>
      </w:r>
      <w:r>
        <w:t xml:space="preserve"> </w:t>
      </w:r>
      <w:r>
        <w:t xml:space="preserve">(eMethods). Physicians were included only if their practice address</w:t>
      </w:r>
      <w:r>
        <w:t xml:space="preserve"> </w:t>
      </w:r>
      <w:r>
        <w:t xml:space="preserve">geocoded successfully to a contiguous-U.S. location; unmatched,</w:t>
      </w:r>
      <w:r>
        <w:t xml:space="preserve"> </w:t>
      </w:r>
      <w:r>
        <w:t xml:space="preserve">ungeocoded, or non-contiguous records were excluded. Each specialty</w:t>
      </w:r>
      <w:r>
        <w:t xml:space="preserve"> </w:t>
      </w:r>
      <w:r>
        <w:t xml:space="preserve">group’s supply is therefore a geocoded, contiguous-U.S.,</w:t>
      </w:r>
      <w:r>
        <w:t xml:space="preserve"> </w:t>
      </w:r>
      <w:r>
        <w:t xml:space="preserve">clinically-active count for the year, and will be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successful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empirically selected distance-decay weights across the four bands</w:t>
      </w:r>
      <w:r>
        <w:t xml:space="preserve"> </w:t>
      </w:r>
      <w:r>
        <w:t xml:space="preserve">(weights 1, 0.68, 0.22, and 0.09 for 30/60/120/180 minutes; these</w:t>
      </w:r>
      <w:r>
        <w:t xml:space="preserve"> </w:t>
      </w:r>
      <w:r>
        <w:t xml:space="preserve">approximate a Gaussian falloff on the inner bands but were selected from</w:t>
      </w:r>
      <w:r>
        <w:t xml:space="preserve"> </w:t>
      </w:r>
      <w:r>
        <w:t xml:space="preserve">prior empirical work rather than derived from an exact Gaussian, and a</w:t>
      </w:r>
      <w:r>
        <w:t xml:space="preserve"> </w:t>
      </w:r>
      <w:r>
        <w:t xml:space="preserve">true Gaussian is examined in the sensitivity analysis). Supply is the</w:t>
      </w:r>
      <w:r>
        <w:t xml:space="preserve"> </w:t>
      </w:r>
      <w:r>
        <w:t xml:space="preserve">count of distinct active subspecialists at each location; accessibility</w:t>
      </w:r>
      <w:r>
        <w:t xml:space="preserve"> </w:t>
      </w:r>
      <w:r>
        <w:t xml:space="preserve">is a relative index (subspecialists per 100,000 women) and,</w:t>
      </w:r>
      <w:r>
        <w:t xml:space="preserve"> </w:t>
      </w:r>
      <w:r>
        <w:t xml:space="preserve">equivalently, a Spatial Access Ratio normalized to the national mean of</w:t>
      </w:r>
      <w:r>
        <w:t xml:space="preserve"> </w:t>
      </w:r>
      <w:r>
        <w:t xml:space="preserve">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the 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preserved the full modeled population total (0.00% loss, vs</w:t>
      </w:r>
      <w:r>
        <w:t xml:space="preserve"> </w:t>
      </w:r>
      <w:r>
        <w:t xml:space="preserve">1.06% under conventional centroid allocation), each tract’s modeled</w:t>
      </w:r>
      <w:r>
        <w:t xml:space="preserve"> </w:t>
      </w:r>
      <w:r>
        <w:t xml:space="preserve">female population total was retained in the accessibility estimates</w:t>
      </w:r>
      <w:r>
        <w:t xml:space="preserve"> </w:t>
      </w:r>
      <w:r>
        <w:t xml:space="preserve">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specialty groups;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specialty groups. A state-level E2SFCA analysis</w:t>
      </w:r>
      <w:r>
        <w:t xml:space="preserve"> </w:t>
      </w:r>
      <w:r>
        <w:t xml:space="preserve">similarly found 18.4% of Georgia tracts with zero access and, by</w:t>
      </w:r>
      <w:r>
        <w:t xml:space="preserve"> </w:t>
      </w:r>
      <w:r>
        <w:t xml:space="preserve">combining spatial access with social vulnerability, doubly disadvantaged</w:t>
      </w:r>
      <w:r>
        <w:t xml:space="preserve"> </w:t>
      </w:r>
      <w:r>
        <w:t xml:space="preserve">communities 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findings thus indicate a</w:t>
      </w:r>
      <w:r>
        <w:t xml:space="preserve"> </w:t>
      </w:r>
      <w:r>
        <w:t xml:space="preserve">persistent geographic mismatch between specialist locations and the</w:t>
      </w:r>
      <w:r>
        <w:t xml:space="preserve"> </w:t>
      </w:r>
      <w:r>
        <w:t xml:space="preserve">populations potentially seeking care, and because the denominator is</w:t>
      </w:r>
      <w:r>
        <w:t xml:space="preserve"> </w:t>
      </w:r>
      <w:r>
        <w:t xml:space="preserve">total population rather than disease or procedure demand, these</w:t>
      </w:r>
      <w:r>
        <w:t xml:space="preserve"> </w:t>
      </w:r>
      <w:r>
        <w:t xml:space="preserve">estimates locate where the geographic component of access is most</w:t>
      </w:r>
      <w:r>
        <w:t xml:space="preserve"> </w:t>
      </w:r>
      <w:r>
        <w:t xml:space="preserve">deficient, not where clinical need is greatest. Narrowing the gaps</w:t>
      </w:r>
      <w:r>
        <w:t xml:space="preserve"> </w:t>
      </w:r>
      <w:r>
        <w:t xml:space="preserve">therefore likely requires strategies that decouple access from physician</w:t>
      </w:r>
      <w:r>
        <w:t xml:space="preserve"> </w:t>
      </w:r>
      <w:r>
        <w:t xml:space="preserve">relocation, such as hub-and-spoke models, telehealth, provider</w:t>
      </w:r>
      <w:r>
        <w:t xml:space="preserve"> </w:t>
      </w:r>
      <w:r>
        <w:t xml:space="preserve">knowledge-sharing networks 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 specialty</w:t>
      </w:r>
      <w:r>
        <w:t xml:space="preserve"> </w:t>
      </w:r>
      <w:r>
        <w:t xml:space="preserve">groups, so across-subspecialty comparisons reflect workforce size and</w:t>
      </w:r>
      <w:r>
        <w:t xml:space="preserve"> </w:t>
      </w:r>
      <w:r>
        <w:t xml:space="preserve">clinical scope as well as access; the index measures potential rather</w:t>
      </w:r>
      <w:r>
        <w:t xml:space="preserve"> </w:t>
      </w:r>
      <w:r>
        <w:t xml:space="preserve">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 limits</w:t>
      </w:r>
      <w:r>
        <w:t xml:space="preserve"> </w:t>
      </w:r>
      <w:r>
        <w:t xml:space="preserve">generalizability to the full U.S. American Indian or Alaska Native</w:t>
      </w:r>
      <w:r>
        <w:t xml:space="preserve"> </w:t>
      </w:r>
      <w:r>
        <w:t xml:space="preserve">population and omits Alaska Native communities with distinct</w:t>
      </w:r>
      <w:r>
        <w:t xml:space="preserve"> </w:t>
      </w:r>
      <w:r>
        <w:t xml:space="preserve">transportation barriers.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alternative distance-decay weights (sharper and</w:t>
      </w:r>
      <w:r>
        <w:t xml:space="preserve"> </w:t>
      </w:r>
      <w:r>
        <w:t xml:space="preserve">slower falloff), a reduced catchment (dropping the 180-minute band), and</w:t>
      </w:r>
      <w:r>
        <w:t xml:space="preserve"> </w:t>
      </w:r>
      <w:r>
        <w:t xml:space="preserve">a finer 500-m grid, and compared the national ranking and the rurality</w:t>
      </w:r>
      <w:r>
        <w:t xml:space="preserve"> </w:t>
      </w:r>
      <w:r>
        <w:t xml:space="preserve">and race contrasts with the base specification (Appendix Table S2).</w:t>
      </w:r>
      <w:r>
        <w:t xml:space="preserve"> </w:t>
      </w:r>
      <w:r>
        <w:t xml:space="preserve">Analyses used R version 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true-Gaussian,</w:t>
      </w:r>
      <w:r>
        <w:t xml:space="preserve"> </w:t>
      </w:r>
      <w:r>
        <w:t xml:space="preserve">dropped-band, and production-resolution specifications, and for 6 of 7</w:t>
      </w:r>
      <w:r>
        <w:t xml:space="preserve"> </w:t>
      </w:r>
      <w:r>
        <w:t xml:space="preserve">under the slowest decay and the M2SFCA maldistribution penalty (complex</w:t>
      </w:r>
      <w:r>
        <w:t xml:space="preserve"> </w:t>
      </w:r>
      <w:r>
        <w:t xml:space="preserve">family planning, already near parity, crossed to a slight advantage).</w:t>
      </w:r>
      <w:r>
        <w:t xml:space="preserve"> </w:t>
      </w:r>
      <w:r>
        <w:t xml:space="preserve">Magnitudes did move, and Table S2 reports them: the median rural:metro</w:t>
      </w:r>
      <w:r>
        <w:t xml:space="preserve"> </w:t>
      </w:r>
      <w:r>
        <w:t xml:space="preserve">accessibility ratio was 0.44 at the reference specification and ranged</w:t>
      </w:r>
      <w:r>
        <w:t xml:space="preserve"> </w:t>
      </w:r>
      <w:r>
        <w:t xml:space="preserve">from 0.22 (M2SFCA maldistribution penalty; deeper rural gap) to 0.56</w:t>
      </w:r>
      <w:r>
        <w:t xml:space="preserve"> </w:t>
      </w:r>
      <w:r>
        <w:t xml:space="preserve">(slower distance decay; shallower gap), while the median AIAN:White</w:t>
      </w:r>
      <w:r>
        <w:t xml:space="preserve"> </w:t>
      </w:r>
      <w:r>
        <w:t xml:space="preserve">ratio moved only within 0.77-0.83 (reference 0.78); direction never</w:t>
      </w:r>
      <w:r>
        <w:t xml:space="preserve"> </w:t>
      </w:r>
      <w:r>
        <w:t xml:space="preserve">reversed, and the production-resolution (500-m) grid reproduced the</w:t>
      </w:r>
      <w:r>
        <w:t xml:space="preserve"> </w:t>
      </w:r>
      <w:r>
        <w:t xml:space="preserve">reference results almost exactly. This insensitivity of direction to the</w:t>
      </w:r>
      <w:r>
        <w:t xml:space="preserve"> </w:t>
      </w:r>
      <w:r>
        <w:t xml:space="preserve">distance-decay weights is consistent with prior enhanced two-step</w:t>
      </w:r>
      <w:r>
        <w:t xml:space="preserve"> </w:t>
      </w:r>
      <w:r>
        <w:t xml:space="preserve">floating catchment area analyses, including studies of mental health and</w:t>
      </w:r>
      <w:r>
        <w:t xml:space="preserve"> </w:t>
      </w:r>
      <w:r>
        <w:t xml:space="preserve">of maternal-health services, in which access estimates were likewise</w:t>
      </w:r>
      <w:r>
        <w:t xml:space="preserve"> </w:t>
      </w:r>
      <w:r>
        <w:t xml:space="preserve">robust to varying the 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materially lower accessibility (by at least 10 percent) than</w:t>
      </w:r>
      <w:r>
        <w:t xml:space="preserve"> </w:t>
      </w:r>
      <w:r>
        <w:t xml:space="preserve">non-Hispanic White women for 6 of the seven specialty groups (and lower</w:t>
      </w:r>
      <w:r>
        <w:t xml:space="preserve"> </w:t>
      </w:r>
      <w:r>
        <w:t xml:space="preserve">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women,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in a</w:t>
      </w:r>
      <w:r>
        <w:t xml:space="preserve"> </w:t>
      </w:r>
      <w:r>
        <w:t xml:space="preserve">sensitivity analysis that varied the distance-decay weights, the</w:t>
      </w:r>
      <w:r>
        <w:t xml:space="preserve"> </w:t>
      </w:r>
      <w:r>
        <w:t xml:space="preserve">catchment bands, and the grid resolution, the rural disadvantage held</w:t>
      </w:r>
      <w:r>
        <w:t xml:space="preserve"> </w:t>
      </w:r>
      <w:r>
        <w:t xml:space="preserve">for all 7 subspecialties under every specification, and the rural and</w:t>
      </w:r>
      <w:r>
        <w:t xml:space="preserve"> </w:t>
      </w:r>
      <w:r>
        <w:t xml:space="preserve">race contrasts moved in magnitude but never reversed in direction</w:t>
      </w:r>
      <w:r>
        <w:t xml:space="preserve"> </w:t>
      </w:r>
      <w:r>
        <w:t xml:space="preserve">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female pelvic medicine and reconstructive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varying the distance-decay weights, the</w:t>
      </w:r>
      <w:r>
        <w:t xml:space="preserve"> </w:t>
      </w:r>
      <w:r>
        <w:t xml:space="preserve">catchment bands, and the grid resolution left the direction of the</w:t>
      </w:r>
      <w:r>
        <w:t xml:space="preserve"> </w:t>
      </w:r>
      <w:r>
        <w:t xml:space="preserve">rurality and race disparities unchanged (Appendix Table S2; the national</w:t>
      </w:r>
      <w:r>
        <w:t xml:space="preserve"> </w:t>
      </w:r>
      <w:r>
        <w:t xml:space="preserve">mean and its ranking are invariant to these choices by the conservation</w:t>
      </w:r>
      <w:r>
        <w:t xml:space="preserve"> </w:t>
      </w:r>
      <w:r>
        <w:t xml:space="preserve">property and are not a robustness result). Fourth, the zero-access</w:t>
      </w:r>
      <w:r>
        <w:t xml:space="preserve"> </w:t>
      </w:r>
      <w:r>
        <w:t xml:space="preserve">metric is defined at the tract level (the share of a group living in</w:t>
      </w:r>
      <w:r>
        <w:t xml:space="preserve"> </w:t>
      </w:r>
      <w:r>
        <w:t xml:space="preserve">tracts with zero mean modeled access) and may undercount people in</w:t>
      </w:r>
      <w:r>
        <w:t xml:space="preserve"> </w:t>
      </w:r>
      <w:r>
        <w:t xml:space="preserve">zero-access locations within partially served tracts. A cell-level</w:t>
      </w:r>
      <w:r>
        <w:t xml:space="preserve"> </w:t>
      </w:r>
      <w:r>
        <w:t xml:space="preserve">estimator for 2020 (the area-weighted share of each tract that lies in</w:t>
      </w:r>
      <w:r>
        <w:t xml:space="preserve"> </w:t>
      </w:r>
      <w:r>
        <w:t xml:space="preserve">grid cells with zero access, weighted by the tract’s group population)</w:t>
      </w:r>
      <w:r>
        <w:t xml:space="preserve"> </w:t>
      </w:r>
      <w:r>
        <w:t xml:space="preserve">gave higher zero-access shares than the tract-mean metric (median +0.7</w:t>
      </w:r>
      <w:r>
        <w:t xml:space="preserve"> </w:t>
      </w:r>
      <w:r>
        <w:t xml:space="preserve">percentage points across groups and subspecialties, and up to +7.3 for</w:t>
      </w:r>
      <w:r>
        <w:t xml:space="preserve"> </w:t>
      </w:r>
      <w:r>
        <w:t xml:space="preserve">American Indian or Alaska Native and +5.8 for rural women; Appendix</w:t>
      </w:r>
      <w:r>
        <w:t xml:space="preserve"> </w:t>
      </w:r>
      <w:r>
        <w:t xml:space="preserve">Table S3). However, both estimators assume uniform population density</w:t>
      </w:r>
      <w:r>
        <w:t xml:space="preserve"> </w:t>
      </w:r>
      <w:r>
        <w:t xml:space="preserve">within each tract, so this difference does not establish that the</w:t>
      </w:r>
      <w:r>
        <w:t xml:space="preserve"> </w:t>
      </w:r>
      <w:r>
        <w:t xml:space="preserve">tract-mean metric understates the true burden; it shows only that the</w:t>
      </w:r>
      <w:r>
        <w:t xml:space="preserve"> </w:t>
      </w:r>
      <w:r>
        <w:t xml:space="preserve">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p>
      <w:r>
        <w:pict>
          <v:rect style="width:0;height:1.5pt" o:hralign="center" o:hrstd="t" o:hr="t"/>
        </w:pict>
      </w:r>
    </w:p>
    <w:bookmarkStart w:id="224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(FPMRS) cohort counts only physicians certified through the ABOG</w:t>
      </w:r>
      <w:r>
        <w:t xml:space="preserve"> </w:t>
      </w:r>
      <w:r>
        <w:t xml:space="preserve">pathway; physicians who entered urogynecology through the American Board</w:t>
      </w:r>
      <w:r>
        <w:t xml:space="preserve"> </w:t>
      </w:r>
      <w:r>
        <w:t xml:space="preserve">of Urology (ABU) pathway are not captured. The 2020 FPMRS supply in</w:t>
      </w:r>
      <w:r>
        <w:t xml:space="preserve"> </w:t>
      </w:r>
      <w:r>
        <w:t xml:space="preserve">Table 1 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2026-08-02T15:13:54Z</dcterms:created>
  <dcterms:modified xsi:type="dcterms:W3CDTF">2026-08-02T15:13:54Z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