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1B8C" w14:textId="77777777" w:rsidR="00BE00D1" w:rsidRPr="00BE00D1" w:rsidRDefault="00BE00D1" w:rsidP="00BE00D1">
      <w:pPr>
        <w:jc w:val="center"/>
        <w:rPr>
          <w:b/>
          <w:bCs/>
          <w:sz w:val="32"/>
          <w:szCs w:val="32"/>
        </w:rPr>
      </w:pPr>
      <w:r w:rsidRPr="00BE00D1">
        <w:rPr>
          <w:b/>
          <w:bCs/>
          <w:sz w:val="32"/>
          <w:szCs w:val="32"/>
        </w:rPr>
        <w:t>Project Charter: Brokerage Retirement Accounts Application</w:t>
      </w:r>
    </w:p>
    <w:p w14:paraId="5071BB73" w14:textId="77777777" w:rsidR="00BE00D1" w:rsidRPr="00BE00D1" w:rsidRDefault="00BE00D1" w:rsidP="00BE00D1">
      <w:pPr>
        <w:jc w:val="center"/>
        <w:rPr>
          <w:sz w:val="32"/>
          <w:szCs w:val="32"/>
        </w:rPr>
      </w:pPr>
      <w:r w:rsidRPr="00BE00D1">
        <w:rPr>
          <w:sz w:val="32"/>
          <w:szCs w:val="32"/>
        </w:rPr>
        <w:t>Project Name: Brokerage Retirement Accounts Application</w:t>
      </w:r>
    </w:p>
    <w:p w14:paraId="363112B4" w14:textId="77777777" w:rsidR="00BE00D1" w:rsidRPr="00BE00D1" w:rsidRDefault="00BE00D1" w:rsidP="00BE00D1">
      <w:pPr>
        <w:jc w:val="center"/>
        <w:rPr>
          <w:sz w:val="32"/>
          <w:szCs w:val="32"/>
        </w:rPr>
      </w:pPr>
      <w:r w:rsidRPr="00BE00D1">
        <w:rPr>
          <w:sz w:val="32"/>
          <w:szCs w:val="32"/>
        </w:rPr>
        <w:t>Project Owner: Shannon Musgrave</w:t>
      </w:r>
    </w:p>
    <w:p w14:paraId="13A75AC3" w14:textId="749E65B0" w:rsidR="00BE00D1" w:rsidRPr="00BE00D1" w:rsidRDefault="00BE00D1" w:rsidP="00BE00D1">
      <w:pPr>
        <w:jc w:val="center"/>
        <w:rPr>
          <w:sz w:val="32"/>
          <w:szCs w:val="32"/>
        </w:rPr>
      </w:pPr>
      <w:r w:rsidRPr="00BE00D1">
        <w:rPr>
          <w:sz w:val="32"/>
          <w:szCs w:val="32"/>
        </w:rPr>
        <w:t xml:space="preserve">Created: June </w:t>
      </w:r>
      <w:r w:rsidRPr="00BE00D1">
        <w:rPr>
          <w:sz w:val="32"/>
          <w:szCs w:val="32"/>
        </w:rPr>
        <w:t>1</w:t>
      </w:r>
      <w:r w:rsidRPr="00BE00D1">
        <w:rPr>
          <w:sz w:val="32"/>
          <w:szCs w:val="32"/>
        </w:rPr>
        <w:t>, 2025</w:t>
      </w:r>
    </w:p>
    <w:p w14:paraId="16519660" w14:textId="77777777" w:rsidR="00BE00D1" w:rsidRPr="00BE00D1" w:rsidRDefault="00BE00D1" w:rsidP="00BE00D1">
      <w:pPr>
        <w:jc w:val="center"/>
        <w:rPr>
          <w:sz w:val="32"/>
          <w:szCs w:val="32"/>
        </w:rPr>
      </w:pPr>
      <w:r w:rsidRPr="00BE00D1">
        <w:rPr>
          <w:sz w:val="32"/>
          <w:szCs w:val="32"/>
        </w:rPr>
        <w:t>Version: 1.0</w:t>
      </w:r>
    </w:p>
    <w:p w14:paraId="7DF15D34" w14:textId="5302A8CE" w:rsidR="004A474B" w:rsidRDefault="00BE00D1" w:rsidP="00BE00D1">
      <w:pPr>
        <w:jc w:val="center"/>
      </w:pPr>
      <w:r w:rsidRPr="00BE00D1">
        <w:rPr>
          <w:b/>
          <w:bCs/>
          <w:sz w:val="32"/>
          <w:szCs w:val="32"/>
        </w:rPr>
        <w:cr/>
      </w:r>
      <w:r w:rsidR="003B667B">
        <w:cr/>
      </w:r>
    </w:p>
    <w:tbl>
      <w:tblPr>
        <w:tblStyle w:val="TableGrid"/>
        <w:tblW w:w="0" w:type="auto"/>
        <w:tblLook w:val="04A0" w:firstRow="1" w:lastRow="0" w:firstColumn="1" w:lastColumn="0" w:noHBand="0" w:noVBand="1"/>
      </w:tblPr>
      <w:tblGrid>
        <w:gridCol w:w="4675"/>
        <w:gridCol w:w="4675"/>
      </w:tblGrid>
      <w:tr w:rsidR="003B667B" w14:paraId="1774A9B1" w14:textId="77777777" w:rsidTr="003B667B">
        <w:tc>
          <w:tcPr>
            <w:tcW w:w="4675" w:type="dxa"/>
          </w:tcPr>
          <w:p w14:paraId="7C6BAE37" w14:textId="2E977AAE" w:rsidR="003B667B" w:rsidRDefault="003B667B" w:rsidP="003B667B">
            <w:pPr>
              <w:jc w:val="center"/>
            </w:pPr>
            <w:r>
              <w:t>Item</w:t>
            </w:r>
          </w:p>
        </w:tc>
        <w:tc>
          <w:tcPr>
            <w:tcW w:w="4675" w:type="dxa"/>
          </w:tcPr>
          <w:p w14:paraId="4A075C81" w14:textId="7A8FA306" w:rsidR="003B667B" w:rsidRDefault="003B667B" w:rsidP="003B667B">
            <w:pPr>
              <w:jc w:val="center"/>
            </w:pPr>
            <w:r>
              <w:t>Response</w:t>
            </w:r>
          </w:p>
        </w:tc>
      </w:tr>
      <w:tr w:rsidR="003B667B" w14:paraId="6A4B89BE" w14:textId="77777777" w:rsidTr="003B667B">
        <w:tc>
          <w:tcPr>
            <w:tcW w:w="4675" w:type="dxa"/>
          </w:tcPr>
          <w:p w14:paraId="719EA332" w14:textId="221290B4" w:rsidR="003B667B" w:rsidRDefault="003B667B" w:rsidP="003B667B">
            <w:pPr>
              <w:jc w:val="center"/>
            </w:pPr>
            <w:r>
              <w:t>Business Case/Vision</w:t>
            </w:r>
          </w:p>
        </w:tc>
        <w:tc>
          <w:tcPr>
            <w:tcW w:w="4675" w:type="dxa"/>
          </w:tcPr>
          <w:p w14:paraId="0EE986A7" w14:textId="77777777" w:rsidR="00BE00D1" w:rsidRPr="00BE00D1" w:rsidRDefault="00BE00D1" w:rsidP="00BE00D1">
            <w:r w:rsidRPr="00BE00D1">
              <w:t>The Brokerage Retirement Accounts Application addresses the need for small to medium-sized investment firms and individual financial advisors to efficiently manage client brokerage and retirement accounts. By transitioning from a limited console-based system to a modern C# WPF application, it provides a user-friendly GUI, secure data handling, and persistent storage. The application streamlines account management, enhances security through encryption and hashing, and supports dynamic account creation, reducing manual processes and improving client service delivery. It offers a cost-effective, scalable solution compared to enterprise-level financial software.</w:t>
            </w:r>
          </w:p>
          <w:p w14:paraId="6DE7A255" w14:textId="19978B82" w:rsidR="003B667B" w:rsidRDefault="003B667B" w:rsidP="003B667B">
            <w:pPr>
              <w:jc w:val="center"/>
            </w:pPr>
          </w:p>
        </w:tc>
      </w:tr>
      <w:tr w:rsidR="003B667B" w14:paraId="1D353CD0" w14:textId="77777777" w:rsidTr="003B667B">
        <w:tc>
          <w:tcPr>
            <w:tcW w:w="4675" w:type="dxa"/>
          </w:tcPr>
          <w:p w14:paraId="6EF02965" w14:textId="3A9A85B5" w:rsidR="003B667B" w:rsidRDefault="003B667B" w:rsidP="003B667B">
            <w:pPr>
              <w:jc w:val="center"/>
            </w:pPr>
            <w:r>
              <w:t>Mission Statement</w:t>
            </w:r>
          </w:p>
        </w:tc>
        <w:tc>
          <w:tcPr>
            <w:tcW w:w="4675" w:type="dxa"/>
          </w:tcPr>
          <w:p w14:paraId="6692FBC5" w14:textId="77777777" w:rsidR="00BE00D1" w:rsidRPr="00BE00D1" w:rsidRDefault="00BE00D1" w:rsidP="00BE00D1">
            <w:r w:rsidRPr="00BE00D1">
              <w:t xml:space="preserve">The mission of the Brokerage Retirement Accounts Application is to provide a dependable, secure, and user-centric platform for managing client investment accounts. By leveraging C# WPF with MVVM architecture, secure authentication (SHA-256 hashing), and encrypted data storage (AES), the application ensures accurate account tracking, dynamic user management, and compliance with </w:t>
            </w:r>
            <w:r w:rsidRPr="00BE00D1">
              <w:lastRenderedPageBreak/>
              <w:t>financial data security standards, enabling investment firms to focus on client success.</w:t>
            </w:r>
          </w:p>
          <w:p w14:paraId="0E70ECB3" w14:textId="77777777" w:rsidR="003B667B" w:rsidRDefault="003B667B" w:rsidP="003B667B">
            <w:pPr>
              <w:jc w:val="center"/>
            </w:pPr>
          </w:p>
        </w:tc>
      </w:tr>
      <w:tr w:rsidR="003B667B" w14:paraId="65D780B5" w14:textId="77777777" w:rsidTr="003B667B">
        <w:tc>
          <w:tcPr>
            <w:tcW w:w="4675" w:type="dxa"/>
          </w:tcPr>
          <w:p w14:paraId="1E6AAA5E" w14:textId="5548FC8F" w:rsidR="003B667B" w:rsidRDefault="003B667B" w:rsidP="003B667B">
            <w:pPr>
              <w:jc w:val="center"/>
            </w:pPr>
            <w:r>
              <w:lastRenderedPageBreak/>
              <w:t>Project Team (members and roles)</w:t>
            </w:r>
          </w:p>
        </w:tc>
        <w:tc>
          <w:tcPr>
            <w:tcW w:w="4675" w:type="dxa"/>
          </w:tcPr>
          <w:p w14:paraId="62C495EB" w14:textId="77777777" w:rsidR="003B667B" w:rsidRDefault="003B667B" w:rsidP="003B667B">
            <w:pPr>
              <w:jc w:val="center"/>
            </w:pPr>
            <w:r>
              <w:t>Project Owner: Shannon Musgrave</w:t>
            </w:r>
          </w:p>
          <w:p w14:paraId="46BDE378" w14:textId="77777777" w:rsidR="003B667B" w:rsidRDefault="003B667B" w:rsidP="003B667B">
            <w:pPr>
              <w:jc w:val="center"/>
            </w:pPr>
            <w:r>
              <w:t>Lead Developer: Shannon Musgrave</w:t>
            </w:r>
          </w:p>
          <w:p w14:paraId="14455402" w14:textId="77777777" w:rsidR="003B667B" w:rsidRDefault="003B667B" w:rsidP="003B667B">
            <w:pPr>
              <w:jc w:val="center"/>
            </w:pPr>
            <w:r>
              <w:t>Data Specialist: TBD</w:t>
            </w:r>
          </w:p>
          <w:p w14:paraId="11686F7C" w14:textId="77777777" w:rsidR="003B667B" w:rsidRDefault="003B667B" w:rsidP="003B667B">
            <w:pPr>
              <w:jc w:val="center"/>
            </w:pPr>
            <w:r>
              <w:t>UI/UX Designer: TBD</w:t>
            </w:r>
          </w:p>
          <w:p w14:paraId="7D169177" w14:textId="229CA45B" w:rsidR="003B667B" w:rsidRDefault="003B667B" w:rsidP="003B667B">
            <w:pPr>
              <w:jc w:val="center"/>
            </w:pPr>
            <w:r>
              <w:t>Quality Assurance: TBD</w:t>
            </w:r>
          </w:p>
        </w:tc>
      </w:tr>
      <w:tr w:rsidR="003B667B" w14:paraId="1AEB4B1B" w14:textId="77777777" w:rsidTr="003B667B">
        <w:tc>
          <w:tcPr>
            <w:tcW w:w="4675" w:type="dxa"/>
          </w:tcPr>
          <w:p w14:paraId="177190F9" w14:textId="6A2482CB" w:rsidR="003B667B" w:rsidRDefault="003B667B" w:rsidP="003B667B">
            <w:pPr>
              <w:jc w:val="center"/>
            </w:pPr>
            <w:r>
              <w:t>Success Criteria</w:t>
            </w:r>
          </w:p>
        </w:tc>
        <w:tc>
          <w:tcPr>
            <w:tcW w:w="4675" w:type="dxa"/>
          </w:tcPr>
          <w:p w14:paraId="08CA04F3" w14:textId="77777777" w:rsidR="00BE00D1" w:rsidRDefault="00BE00D1" w:rsidP="00BE00D1">
            <w:pPr>
              <w:jc w:val="center"/>
            </w:pPr>
            <w:r>
              <w:t>Users can create, authenticate, and manage accounts with secure SHA-256 password hashing.</w:t>
            </w:r>
          </w:p>
          <w:p w14:paraId="492CA5C2" w14:textId="77777777" w:rsidR="00BE00D1" w:rsidRDefault="00BE00D1" w:rsidP="00BE00D1">
            <w:pPr>
              <w:jc w:val="center"/>
            </w:pPr>
          </w:p>
          <w:p w14:paraId="50DFE841" w14:textId="77777777" w:rsidR="00BE00D1" w:rsidRDefault="00BE00D1" w:rsidP="00BE00D1">
            <w:pPr>
              <w:jc w:val="center"/>
            </w:pPr>
            <w:r>
              <w:t>Supports CRUD operations for client accounts, including fields: Account ID, Client Name, Account Type (e.g., brokerage, retirement), Balance, and User ID.</w:t>
            </w:r>
          </w:p>
          <w:p w14:paraId="38DDEB38" w14:textId="77777777" w:rsidR="00BE00D1" w:rsidRDefault="00BE00D1" w:rsidP="00BE00D1">
            <w:pPr>
              <w:jc w:val="center"/>
            </w:pPr>
          </w:p>
          <w:p w14:paraId="34958282" w14:textId="77777777" w:rsidR="00BE00D1" w:rsidRDefault="00BE00D1" w:rsidP="00BE00D1">
            <w:pPr>
              <w:jc w:val="center"/>
            </w:pPr>
            <w:r>
              <w:t>Implements MVVM architecture for maintainable data binding and UI separation.</w:t>
            </w:r>
          </w:p>
          <w:p w14:paraId="66BC93C9" w14:textId="77777777" w:rsidR="00BE00D1" w:rsidRDefault="00BE00D1" w:rsidP="00BE00D1">
            <w:pPr>
              <w:jc w:val="center"/>
            </w:pPr>
          </w:p>
          <w:p w14:paraId="6B7E68B3" w14:textId="77777777" w:rsidR="00BE00D1" w:rsidRDefault="00BE00D1" w:rsidP="00BE00D1">
            <w:pPr>
              <w:jc w:val="center"/>
            </w:pPr>
            <w:r>
              <w:t>Provides real-time updates to account balances and transaction history.</w:t>
            </w:r>
          </w:p>
          <w:p w14:paraId="1819DD62" w14:textId="6B837D55" w:rsidR="00BE00D1" w:rsidRDefault="00BE00D1" w:rsidP="00BE00D1">
            <w:pPr>
              <w:jc w:val="center"/>
            </w:pPr>
            <w:r>
              <w:cr/>
            </w:r>
          </w:p>
          <w:p w14:paraId="1FB7E219" w14:textId="2FD1A0FD" w:rsidR="0051228D" w:rsidRDefault="0051228D" w:rsidP="0051228D">
            <w:pPr>
              <w:jc w:val="center"/>
            </w:pPr>
            <w:r>
              <w:t>Finished by deadline.</w:t>
            </w:r>
          </w:p>
          <w:p w14:paraId="7AD3658A" w14:textId="77480307" w:rsidR="003B667B" w:rsidRDefault="003B667B" w:rsidP="0051228D">
            <w:pPr>
              <w:jc w:val="center"/>
            </w:pPr>
          </w:p>
        </w:tc>
      </w:tr>
      <w:tr w:rsidR="003B667B" w14:paraId="488149DA" w14:textId="77777777" w:rsidTr="003B667B">
        <w:tc>
          <w:tcPr>
            <w:tcW w:w="4675" w:type="dxa"/>
          </w:tcPr>
          <w:p w14:paraId="00CD7726" w14:textId="0C63904E" w:rsidR="003B667B" w:rsidRDefault="003B667B" w:rsidP="003B667B">
            <w:pPr>
              <w:jc w:val="center"/>
            </w:pPr>
            <w:r>
              <w:t>Key Project Risks</w:t>
            </w:r>
          </w:p>
        </w:tc>
        <w:tc>
          <w:tcPr>
            <w:tcW w:w="4675" w:type="dxa"/>
          </w:tcPr>
          <w:p w14:paraId="6F5C3988" w14:textId="737C3AA1" w:rsidR="0051228D" w:rsidRDefault="00BE00D1" w:rsidP="0051228D">
            <w:pPr>
              <w:jc w:val="center"/>
            </w:pPr>
            <w:r>
              <w:t>Security breach – High</w:t>
            </w:r>
          </w:p>
          <w:p w14:paraId="7AF53DEC" w14:textId="46B04524" w:rsidR="00BE00D1" w:rsidRDefault="00BE00D1" w:rsidP="0051228D">
            <w:pPr>
              <w:jc w:val="center"/>
            </w:pPr>
            <w:r>
              <w:t>Data persistence – Medium</w:t>
            </w:r>
          </w:p>
          <w:p w14:paraId="6560AAB2" w14:textId="5D27FDA8" w:rsidR="00BE00D1" w:rsidRDefault="00BE00D1" w:rsidP="0051228D">
            <w:pPr>
              <w:jc w:val="center"/>
            </w:pPr>
            <w:r>
              <w:t>Windows Compatibility - Low</w:t>
            </w:r>
          </w:p>
        </w:tc>
      </w:tr>
      <w:tr w:rsidR="003B667B" w14:paraId="3D5D1B80" w14:textId="77777777" w:rsidTr="003B667B">
        <w:tc>
          <w:tcPr>
            <w:tcW w:w="4675" w:type="dxa"/>
          </w:tcPr>
          <w:p w14:paraId="0AC6E2C9" w14:textId="41C3EBCD" w:rsidR="003B667B" w:rsidRDefault="003B667B" w:rsidP="003B667B">
            <w:pPr>
              <w:jc w:val="center"/>
            </w:pPr>
            <w:r>
              <w:t>Rules of Behavior (values and principles)</w:t>
            </w:r>
          </w:p>
        </w:tc>
        <w:tc>
          <w:tcPr>
            <w:tcW w:w="4675" w:type="dxa"/>
          </w:tcPr>
          <w:p w14:paraId="2D3A1740" w14:textId="77777777" w:rsidR="003B667B" w:rsidRDefault="0051228D" w:rsidP="003B667B">
            <w:pPr>
              <w:jc w:val="center"/>
            </w:pPr>
            <w:r>
              <w:t>Open communication</w:t>
            </w:r>
          </w:p>
          <w:p w14:paraId="616A196B" w14:textId="77777777" w:rsidR="0051228D" w:rsidRDefault="0051228D" w:rsidP="003B667B">
            <w:pPr>
              <w:jc w:val="center"/>
            </w:pPr>
            <w:r>
              <w:t>Respect all ideas</w:t>
            </w:r>
          </w:p>
          <w:p w14:paraId="0BC1EBFE" w14:textId="77777777" w:rsidR="0051228D" w:rsidRDefault="0051228D" w:rsidP="003B667B">
            <w:pPr>
              <w:jc w:val="center"/>
            </w:pPr>
            <w:r>
              <w:t>Prioritize quality</w:t>
            </w:r>
          </w:p>
          <w:p w14:paraId="0AF6E934" w14:textId="623AF44B" w:rsidR="0051228D" w:rsidRDefault="0051228D" w:rsidP="00BE00D1">
            <w:pPr>
              <w:jc w:val="center"/>
            </w:pPr>
            <w:r>
              <w:t>Take ownership of responsibilities, tasks, deadlines</w:t>
            </w:r>
          </w:p>
        </w:tc>
      </w:tr>
      <w:tr w:rsidR="003B667B" w14:paraId="4EED1B6C" w14:textId="77777777" w:rsidTr="003B667B">
        <w:tc>
          <w:tcPr>
            <w:tcW w:w="4675" w:type="dxa"/>
          </w:tcPr>
          <w:p w14:paraId="4FAD1AE8" w14:textId="290DE705" w:rsidR="003B667B" w:rsidRDefault="003B667B" w:rsidP="003B667B">
            <w:pPr>
              <w:jc w:val="center"/>
            </w:pPr>
            <w:r>
              <w:t>Communication Guidelines</w:t>
            </w:r>
          </w:p>
        </w:tc>
        <w:tc>
          <w:tcPr>
            <w:tcW w:w="4675" w:type="dxa"/>
          </w:tcPr>
          <w:p w14:paraId="187408D4" w14:textId="6BE8331D" w:rsidR="003B667B" w:rsidRDefault="0051228D" w:rsidP="003B667B">
            <w:pPr>
              <w:jc w:val="center"/>
            </w:pPr>
            <w:r>
              <w:t>Utilize Microsoft Teams group chat, avoid sidebars</w:t>
            </w:r>
          </w:p>
          <w:p w14:paraId="30B039AF" w14:textId="77777777" w:rsidR="0051228D" w:rsidRDefault="0051228D" w:rsidP="003B667B">
            <w:pPr>
              <w:jc w:val="center"/>
            </w:pPr>
            <w:r>
              <w:t>Respond to requests within 1 business day</w:t>
            </w:r>
          </w:p>
          <w:p w14:paraId="7ED75165" w14:textId="77777777" w:rsidR="0051228D" w:rsidRDefault="0051228D" w:rsidP="003B667B">
            <w:pPr>
              <w:jc w:val="center"/>
            </w:pPr>
            <w:r>
              <w:t>Disagree respectfully with others</w:t>
            </w:r>
          </w:p>
          <w:p w14:paraId="3EEE16CA" w14:textId="66DC9D96" w:rsidR="0051228D" w:rsidRDefault="0051228D" w:rsidP="003B667B">
            <w:pPr>
              <w:jc w:val="center"/>
            </w:pPr>
          </w:p>
        </w:tc>
      </w:tr>
    </w:tbl>
    <w:p w14:paraId="4FAEE9C2" w14:textId="77777777" w:rsidR="003B667B" w:rsidRDefault="003B667B" w:rsidP="003B667B">
      <w:pPr>
        <w:jc w:val="center"/>
      </w:pPr>
    </w:p>
    <w:sectPr w:rsidR="003B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0D"/>
    <w:rsid w:val="003B667B"/>
    <w:rsid w:val="0044613B"/>
    <w:rsid w:val="004A474B"/>
    <w:rsid w:val="0051228D"/>
    <w:rsid w:val="0089074D"/>
    <w:rsid w:val="00917C0D"/>
    <w:rsid w:val="009F40D6"/>
    <w:rsid w:val="00AC3C1B"/>
    <w:rsid w:val="00BE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B939"/>
  <w15:chartTrackingRefBased/>
  <w15:docId w15:val="{93AA59DD-747A-4588-BFB1-5EA20C5A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C0D"/>
    <w:rPr>
      <w:rFonts w:eastAsiaTheme="majorEastAsia" w:cstheme="majorBidi"/>
      <w:color w:val="272727" w:themeColor="text1" w:themeTint="D8"/>
    </w:rPr>
  </w:style>
  <w:style w:type="paragraph" w:styleId="Title">
    <w:name w:val="Title"/>
    <w:basedOn w:val="Normal"/>
    <w:next w:val="Normal"/>
    <w:link w:val="TitleChar"/>
    <w:uiPriority w:val="10"/>
    <w:qFormat/>
    <w:rsid w:val="00917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C0D"/>
    <w:pPr>
      <w:spacing w:before="160"/>
      <w:jc w:val="center"/>
    </w:pPr>
    <w:rPr>
      <w:i/>
      <w:iCs/>
      <w:color w:val="404040" w:themeColor="text1" w:themeTint="BF"/>
    </w:rPr>
  </w:style>
  <w:style w:type="character" w:customStyle="1" w:styleId="QuoteChar">
    <w:name w:val="Quote Char"/>
    <w:basedOn w:val="DefaultParagraphFont"/>
    <w:link w:val="Quote"/>
    <w:uiPriority w:val="29"/>
    <w:rsid w:val="00917C0D"/>
    <w:rPr>
      <w:i/>
      <w:iCs/>
      <w:color w:val="404040" w:themeColor="text1" w:themeTint="BF"/>
    </w:rPr>
  </w:style>
  <w:style w:type="paragraph" w:styleId="ListParagraph">
    <w:name w:val="List Paragraph"/>
    <w:basedOn w:val="Normal"/>
    <w:uiPriority w:val="34"/>
    <w:qFormat/>
    <w:rsid w:val="00917C0D"/>
    <w:pPr>
      <w:ind w:left="720"/>
      <w:contextualSpacing/>
    </w:pPr>
  </w:style>
  <w:style w:type="character" w:styleId="IntenseEmphasis">
    <w:name w:val="Intense Emphasis"/>
    <w:basedOn w:val="DefaultParagraphFont"/>
    <w:uiPriority w:val="21"/>
    <w:qFormat/>
    <w:rsid w:val="00917C0D"/>
    <w:rPr>
      <w:i/>
      <w:iCs/>
      <w:color w:val="0F4761" w:themeColor="accent1" w:themeShade="BF"/>
    </w:rPr>
  </w:style>
  <w:style w:type="paragraph" w:styleId="IntenseQuote">
    <w:name w:val="Intense Quote"/>
    <w:basedOn w:val="Normal"/>
    <w:next w:val="Normal"/>
    <w:link w:val="IntenseQuoteChar"/>
    <w:uiPriority w:val="30"/>
    <w:qFormat/>
    <w:rsid w:val="00917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C0D"/>
    <w:rPr>
      <w:i/>
      <w:iCs/>
      <w:color w:val="0F4761" w:themeColor="accent1" w:themeShade="BF"/>
    </w:rPr>
  </w:style>
  <w:style w:type="character" w:styleId="IntenseReference">
    <w:name w:val="Intense Reference"/>
    <w:basedOn w:val="DefaultParagraphFont"/>
    <w:uiPriority w:val="32"/>
    <w:qFormat/>
    <w:rsid w:val="00917C0D"/>
    <w:rPr>
      <w:b/>
      <w:bCs/>
      <w:smallCaps/>
      <w:color w:val="0F4761" w:themeColor="accent1" w:themeShade="BF"/>
      <w:spacing w:val="5"/>
    </w:rPr>
  </w:style>
  <w:style w:type="table" w:styleId="TableGrid">
    <w:name w:val="Table Grid"/>
    <w:basedOn w:val="TableNormal"/>
    <w:uiPriority w:val="39"/>
    <w:rsid w:val="003B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84958">
      <w:bodyDiv w:val="1"/>
      <w:marLeft w:val="0"/>
      <w:marRight w:val="0"/>
      <w:marTop w:val="0"/>
      <w:marBottom w:val="0"/>
      <w:divBdr>
        <w:top w:val="none" w:sz="0" w:space="0" w:color="auto"/>
        <w:left w:val="none" w:sz="0" w:space="0" w:color="auto"/>
        <w:bottom w:val="none" w:sz="0" w:space="0" w:color="auto"/>
        <w:right w:val="none" w:sz="0" w:space="0" w:color="auto"/>
      </w:divBdr>
      <w:divsChild>
        <w:div w:id="2146195913">
          <w:marLeft w:val="0"/>
          <w:marRight w:val="0"/>
          <w:marTop w:val="0"/>
          <w:marBottom w:val="0"/>
          <w:divBdr>
            <w:top w:val="none" w:sz="0" w:space="0" w:color="auto"/>
            <w:left w:val="none" w:sz="0" w:space="0" w:color="auto"/>
            <w:bottom w:val="none" w:sz="0" w:space="0" w:color="auto"/>
            <w:right w:val="none" w:sz="0" w:space="0" w:color="auto"/>
          </w:divBdr>
        </w:div>
      </w:divsChild>
    </w:div>
    <w:div w:id="278609660">
      <w:bodyDiv w:val="1"/>
      <w:marLeft w:val="0"/>
      <w:marRight w:val="0"/>
      <w:marTop w:val="0"/>
      <w:marBottom w:val="0"/>
      <w:divBdr>
        <w:top w:val="none" w:sz="0" w:space="0" w:color="auto"/>
        <w:left w:val="none" w:sz="0" w:space="0" w:color="auto"/>
        <w:bottom w:val="none" w:sz="0" w:space="0" w:color="auto"/>
        <w:right w:val="none" w:sz="0" w:space="0" w:color="auto"/>
      </w:divBdr>
      <w:divsChild>
        <w:div w:id="1453548605">
          <w:marLeft w:val="0"/>
          <w:marRight w:val="0"/>
          <w:marTop w:val="0"/>
          <w:marBottom w:val="0"/>
          <w:divBdr>
            <w:top w:val="none" w:sz="0" w:space="0" w:color="auto"/>
            <w:left w:val="none" w:sz="0" w:space="0" w:color="auto"/>
            <w:bottom w:val="none" w:sz="0" w:space="0" w:color="auto"/>
            <w:right w:val="none" w:sz="0" w:space="0" w:color="auto"/>
          </w:divBdr>
        </w:div>
      </w:divsChild>
    </w:div>
    <w:div w:id="673649981">
      <w:bodyDiv w:val="1"/>
      <w:marLeft w:val="0"/>
      <w:marRight w:val="0"/>
      <w:marTop w:val="0"/>
      <w:marBottom w:val="0"/>
      <w:divBdr>
        <w:top w:val="none" w:sz="0" w:space="0" w:color="auto"/>
        <w:left w:val="none" w:sz="0" w:space="0" w:color="auto"/>
        <w:bottom w:val="none" w:sz="0" w:space="0" w:color="auto"/>
        <w:right w:val="none" w:sz="0" w:space="0" w:color="auto"/>
      </w:divBdr>
      <w:divsChild>
        <w:div w:id="784352942">
          <w:marLeft w:val="0"/>
          <w:marRight w:val="0"/>
          <w:marTop w:val="0"/>
          <w:marBottom w:val="0"/>
          <w:divBdr>
            <w:top w:val="none" w:sz="0" w:space="0" w:color="auto"/>
            <w:left w:val="none" w:sz="0" w:space="0" w:color="auto"/>
            <w:bottom w:val="none" w:sz="0" w:space="0" w:color="auto"/>
            <w:right w:val="none" w:sz="0" w:space="0" w:color="auto"/>
          </w:divBdr>
        </w:div>
      </w:divsChild>
    </w:div>
    <w:div w:id="1140464278">
      <w:bodyDiv w:val="1"/>
      <w:marLeft w:val="0"/>
      <w:marRight w:val="0"/>
      <w:marTop w:val="0"/>
      <w:marBottom w:val="0"/>
      <w:divBdr>
        <w:top w:val="none" w:sz="0" w:space="0" w:color="auto"/>
        <w:left w:val="none" w:sz="0" w:space="0" w:color="auto"/>
        <w:bottom w:val="none" w:sz="0" w:space="0" w:color="auto"/>
        <w:right w:val="none" w:sz="0" w:space="0" w:color="auto"/>
      </w:divBdr>
      <w:divsChild>
        <w:div w:id="1389915772">
          <w:marLeft w:val="0"/>
          <w:marRight w:val="0"/>
          <w:marTop w:val="0"/>
          <w:marBottom w:val="0"/>
          <w:divBdr>
            <w:top w:val="none" w:sz="0" w:space="0" w:color="auto"/>
            <w:left w:val="none" w:sz="0" w:space="0" w:color="auto"/>
            <w:bottom w:val="none" w:sz="0" w:space="0" w:color="auto"/>
            <w:right w:val="none" w:sz="0" w:space="0" w:color="auto"/>
          </w:divBdr>
          <w:divsChild>
            <w:div w:id="1630356546">
              <w:marLeft w:val="0"/>
              <w:marRight w:val="0"/>
              <w:marTop w:val="0"/>
              <w:marBottom w:val="120"/>
              <w:divBdr>
                <w:top w:val="single" w:sz="2" w:space="0" w:color="000000"/>
                <w:left w:val="single" w:sz="2" w:space="0" w:color="000000"/>
                <w:bottom w:val="single" w:sz="2" w:space="0" w:color="000000"/>
                <w:right w:val="single" w:sz="2" w:space="0" w:color="000000"/>
              </w:divBdr>
            </w:div>
            <w:div w:id="934360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9074476">
      <w:bodyDiv w:val="1"/>
      <w:marLeft w:val="0"/>
      <w:marRight w:val="0"/>
      <w:marTop w:val="0"/>
      <w:marBottom w:val="0"/>
      <w:divBdr>
        <w:top w:val="none" w:sz="0" w:space="0" w:color="auto"/>
        <w:left w:val="none" w:sz="0" w:space="0" w:color="auto"/>
        <w:bottom w:val="none" w:sz="0" w:space="0" w:color="auto"/>
        <w:right w:val="none" w:sz="0" w:space="0" w:color="auto"/>
      </w:divBdr>
      <w:divsChild>
        <w:div w:id="981926097">
          <w:marLeft w:val="0"/>
          <w:marRight w:val="0"/>
          <w:marTop w:val="0"/>
          <w:marBottom w:val="0"/>
          <w:divBdr>
            <w:top w:val="none" w:sz="0" w:space="0" w:color="auto"/>
            <w:left w:val="none" w:sz="0" w:space="0" w:color="auto"/>
            <w:bottom w:val="none" w:sz="0" w:space="0" w:color="auto"/>
            <w:right w:val="none" w:sz="0" w:space="0" w:color="auto"/>
          </w:divBdr>
          <w:divsChild>
            <w:div w:id="1449816631">
              <w:marLeft w:val="0"/>
              <w:marRight w:val="0"/>
              <w:marTop w:val="0"/>
              <w:marBottom w:val="120"/>
              <w:divBdr>
                <w:top w:val="single" w:sz="2" w:space="0" w:color="000000"/>
                <w:left w:val="single" w:sz="2" w:space="0" w:color="000000"/>
                <w:bottom w:val="single" w:sz="2" w:space="0" w:color="000000"/>
                <w:right w:val="single" w:sz="2" w:space="0" w:color="000000"/>
              </w:divBdr>
            </w:div>
            <w:div w:id="165402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55180930">
      <w:bodyDiv w:val="1"/>
      <w:marLeft w:val="0"/>
      <w:marRight w:val="0"/>
      <w:marTop w:val="0"/>
      <w:marBottom w:val="0"/>
      <w:divBdr>
        <w:top w:val="none" w:sz="0" w:space="0" w:color="auto"/>
        <w:left w:val="none" w:sz="0" w:space="0" w:color="auto"/>
        <w:bottom w:val="none" w:sz="0" w:space="0" w:color="auto"/>
        <w:right w:val="none" w:sz="0" w:space="0" w:color="auto"/>
      </w:divBdr>
      <w:divsChild>
        <w:div w:id="1279949725">
          <w:marLeft w:val="0"/>
          <w:marRight w:val="0"/>
          <w:marTop w:val="0"/>
          <w:marBottom w:val="0"/>
          <w:divBdr>
            <w:top w:val="none" w:sz="0" w:space="0" w:color="auto"/>
            <w:left w:val="none" w:sz="0" w:space="0" w:color="auto"/>
            <w:bottom w:val="none" w:sz="0" w:space="0" w:color="auto"/>
            <w:right w:val="none" w:sz="0" w:space="0" w:color="auto"/>
          </w:divBdr>
        </w:div>
      </w:divsChild>
    </w:div>
    <w:div w:id="1743791318">
      <w:bodyDiv w:val="1"/>
      <w:marLeft w:val="0"/>
      <w:marRight w:val="0"/>
      <w:marTop w:val="0"/>
      <w:marBottom w:val="0"/>
      <w:divBdr>
        <w:top w:val="none" w:sz="0" w:space="0" w:color="auto"/>
        <w:left w:val="none" w:sz="0" w:space="0" w:color="auto"/>
        <w:bottom w:val="none" w:sz="0" w:space="0" w:color="auto"/>
        <w:right w:val="none" w:sz="0" w:space="0" w:color="auto"/>
      </w:divBdr>
      <w:divsChild>
        <w:div w:id="250047762">
          <w:marLeft w:val="0"/>
          <w:marRight w:val="0"/>
          <w:marTop w:val="0"/>
          <w:marBottom w:val="0"/>
          <w:divBdr>
            <w:top w:val="none" w:sz="0" w:space="0" w:color="auto"/>
            <w:left w:val="none" w:sz="0" w:space="0" w:color="auto"/>
            <w:bottom w:val="none" w:sz="0" w:space="0" w:color="auto"/>
            <w:right w:val="none" w:sz="0" w:space="0" w:color="auto"/>
          </w:divBdr>
        </w:div>
      </w:divsChild>
    </w:div>
    <w:div w:id="2050060790">
      <w:bodyDiv w:val="1"/>
      <w:marLeft w:val="0"/>
      <w:marRight w:val="0"/>
      <w:marTop w:val="0"/>
      <w:marBottom w:val="0"/>
      <w:divBdr>
        <w:top w:val="none" w:sz="0" w:space="0" w:color="auto"/>
        <w:left w:val="none" w:sz="0" w:space="0" w:color="auto"/>
        <w:bottom w:val="none" w:sz="0" w:space="0" w:color="auto"/>
        <w:right w:val="none" w:sz="0" w:space="0" w:color="auto"/>
      </w:divBdr>
      <w:divsChild>
        <w:div w:id="43424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Musgrave</dc:creator>
  <cp:keywords/>
  <dc:description/>
  <cp:lastModifiedBy>Shannon Musgrave</cp:lastModifiedBy>
  <cp:revision>3</cp:revision>
  <dcterms:created xsi:type="dcterms:W3CDTF">2025-06-03T09:17:00Z</dcterms:created>
  <dcterms:modified xsi:type="dcterms:W3CDTF">2025-06-03T09:38:00Z</dcterms:modified>
</cp:coreProperties>
</file>