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MID TEST “LABOUR LAW”</w:t>
      </w:r>
    </w:p>
    <w:p>
      <w:pPr>
        <w:spacing w:after="400"/>
        <w:jc w:val="center"/>
      </w:pPr>
      <w:r>
        <w:rPr>
          <w:rFonts w:ascii="Times New Roman" w:cs="Times New Roman" w:eastAsia="Times New Roman" w:hAnsi="Times New Roman"/>
          <w:i/>
          <w:iCs/>
          <w:sz w:val="24"/>
          <w:szCs w:val="24"/>
        </w:rPr>
        <w:t xml:space="preserve">April 1st, 2026</w:t>
      </w:r>
    </w:p>
    <w:p>
      <w:pPr>
        <w:pStyle w:val="Heading1"/>
      </w:pPr>
      <w:r>
        <w:t xml:space="preserve">1. Comparison of Labour Law Definitions: MG. Levenbach vs. NEH Van Esveld</w:t>
      </w:r>
    </w:p>
    <w:p>
      <w:pPr>
        <w:spacing w:after="200" w:line="360"/>
        <w:jc w:val="both"/>
      </w:pPr>
      <w:r>
        <w:t xml:space="preserve">MG. Levenbach defined Labour Law (Arbeidsrecht) as the body of law that governs labour relations in which work is carried out under the leadership of an employer, along with the conditions of life that are directly connected with the labour relation. Levenbach divided labour law into two main parts: the law governing the individual relationship between employer and worker, and the law governing collective relations, including trade unions and collective bargaining. His definition is thus relatively narrow and centered on the juridical subordination of the worker to the employer’s authority.</w:t>
      </w:r>
    </w:p>
    <w:p>
      <w:pPr>
        <w:spacing w:after="200" w:line="360"/>
        <w:jc w:val="both"/>
      </w:pPr>
      <w:r>
        <w:t xml:space="preserve">NEH Van Esveld, on the other hand, adopted a considerably broader perspective. Van Esveld defined Labour Law as encompassing not only the relationship between employer and employee but also all regulations relating to the welfare of workers. Under his view, social security, worker safety, and government policy regarding labour all fall within the scope of labour law. Van Esveld thus included the socio-economic dimensions of work that Levenbach treated as peripheral.</w:t>
      </w:r>
    </w:p>
    <w:p>
      <w:pPr>
        <w:spacing w:after="200" w:line="360"/>
        <w:jc w:val="both"/>
      </w:pPr>
      <w:r>
        <w:t xml:space="preserve">In comparing the two scholars, the fundamental difference lies in scope. Levenbach’s definition is narrower and more focused on the employment relationship itself, particularly the element of subordination, whereas Van Esveld’s definition is wider and incorporates social aspects such as worker welfare, social insurance, and the state’s role in protecting labour. Levenbach’s approach may be described as primarily juridical, while Van Esveld’s approach is socio-juridical, acknowledging that the law must address not only the contract between the parties but also the broader conditions that affect workers’ lives.</w:t>
      </w:r>
    </w:p>
    <w:p>
      <w:pPr>
        <w:pStyle w:val="Heading1"/>
      </w:pPr>
      <w:r>
        <w:t xml:space="preserve">2. Own Comprehensive Definition of Labour Law</w:t>
      </w:r>
    </w:p>
    <w:p>
      <w:pPr>
        <w:spacing w:after="200" w:line="360"/>
        <w:jc w:val="both"/>
      </w:pPr>
      <w:r>
        <w:t xml:space="preserve">Based on the scope of Labour Law, Labour Paradigm, and its position in the Indonesian Legal System, Labour Law may be comprehensively defined as a set of legal rules, both written and unwritten, that governs the relationship between workers or labourers and employers before, during, and after an employment relationship. This definition encompasses individual and collective labour relations, occupational health and safety, social security for workers, and the resolution of industrial disputes. It is founded upon the paradigm that labour is not a commodity but a manifestation of human dignity, and it occupies a unique position in the Indonesian legal system as a branch of law that is both private, governing contractual relationships, and public, involving state intervention to protect the weaker party.</w:t>
      </w:r>
    </w:p>
    <w:p>
      <w:pPr>
        <w:spacing w:after="200" w:line="360"/>
        <w:jc w:val="both"/>
      </w:pPr>
      <w:r>
        <w:t xml:space="preserve">This definition reflects several important dimensions. In terms of scope, labour law covers individual relations such as work agreements, wages, and working conditions; collective relations such as trade unions, collective bargaining, and strikes; as well as occupational safety, social security, and dispute settlement mechanisms. In terms of the labour paradigm, workers are recognized as human beings with inherent dignity and rights, not merely factors of production. This aligns with Article 27(2) and Article 28D(2) of the 1945 Constitution, which guarantee every citizen the right to work and to receive fair remuneration. In terms of its position within the Indonesian legal system, labour law is a mixed branch of law — partly private law because it is based on contractual relations between parties, and partly public law because the state plays an active role through regulations, criminal sanctions, administrative supervision, and licensing. Labour law is also closely connected to administrative law and to the constitutional guarantees of social justice.</w:t>
      </w:r>
    </w:p>
    <w:p>
      <w:pPr>
        <w:pStyle w:val="Heading1"/>
      </w:pPr>
      <w:r>
        <w:t xml:space="preserve">3. Inside Labour Management Relation vs. Outside Labour Management Relation</w:t>
      </w:r>
    </w:p>
    <w:p>
      <w:pPr>
        <w:spacing w:after="200" w:line="360"/>
        <w:jc w:val="both"/>
      </w:pPr>
      <w:r>
        <w:t xml:space="preserve">The distinction between the “Inside Labour Management Relation” and the “Outside Labour Management Relation” is rooted in the presence or absence of the element of subordination, which is the hallmark of an employment relationship. The Inside Labour Management Relation refers to the legal relationship that arises within the employment relationship, between the employer and the employee during the course of employment. This relationship is governed by Labour Law, primarily Law No. 13 of 2003 on Manpower as amended by the Job Creation Law and its implementing regulations. The reason this falls under Labour Law is threefold: first, there is a subordination relationship in which the worker performs work under the authority and instruction of the employer; second, the state intervenes to protect the worker as the weaker party by setting mandatory minimum standards regarding wages, working hours, leave, and safety; and third, the relationship contains the three essential elements of an employment relationship, namely work (pekerjaan), wages (upah), and instruction or command (perintah).</w:t>
      </w:r>
    </w:p>
    <w:p>
      <w:pPr>
        <w:spacing w:after="200" w:line="360"/>
        <w:jc w:val="both"/>
      </w:pPr>
      <w:r>
        <w:t xml:space="preserve">The Outside Labour Management Relation, by contrast, refers to legal relations that involve work but do not contain the element of subordination. Examples include independent contractor agreements, freelance work, partnership agreements, and service contracts between companies. Because the person performing the work is not subject to the other party’s commands and retains autonomy over how the work is carried out, these relationships do not trigger the protective mechanisms of labour law. Instead, they are governed by Civil Law, particularly Articles 1601 to 1603 of the Kitab Undang-Undang Hukum Perdata (the Indonesian Civil Code) and the general principles of contract law found in Book III of the Civil Code. The key distinguishing factor, therefore, is the element of command or instruction (perintah). Where it is present, the relationship is internal and subject to Labour Law; where it is absent, the relationship is external and subject to Civil Law.</w:t>
      </w:r>
    </w:p>
    <w:p>
      <w:pPr>
        <w:pStyle w:val="Heading1"/>
      </w:pPr>
      <w:r>
        <w:t xml:space="preserve">4. Comparison of Pension Security and Old-Age Security</w:t>
      </w:r>
    </w:p>
    <w:p>
      <w:pPr>
        <w:spacing w:after="200" w:line="360"/>
        <w:jc w:val="both"/>
      </w:pPr>
      <w:r>
        <w:t xml:space="preserve">Pension Security (Jaminan Pensiun, or JP) and Old-Age Security (Jaminan Hari Tua, or JHT) are both social security programs administered by BPJS Ketenagakerjaan under the framework of Law No. 40 of 2004 on the National Social Security System and Law No. 24 of 2011 on BPJS. Despite their common purpose of providing financial protection to workers in their later years, they differ significantly in their nature, mechanism, and benefits.</w:t>
      </w:r>
    </w:p>
    <w:p>
      <w:pPr>
        <w:spacing w:after="200" w:line="360"/>
        <w:jc w:val="both"/>
      </w:pPr>
      <w:r>
        <w:t xml:space="preserve">Old-Age Security (JHT) is a savings-based program with a defined contribution model. Workers and employers contribute a combined 5.7 percent of wages (3.7 percent from the employer and 2 percent from the worker), and the accumulated funds, together with investment returns, are paid out as a lump sum when the worker reaches the age of 56, suffers permanent disability, or dies. In essence, JHT functions like a mandatory savings account in which the worker receives back the total of what has been contributed plus any earned returns. The governing regulation is Government Regulation No. 46 of 2015 as amended.</w:t>
      </w:r>
    </w:p>
    <w:p>
      <w:pPr>
        <w:spacing w:after="200" w:line="360"/>
        <w:jc w:val="both"/>
      </w:pPr>
      <w:r>
        <w:t xml:space="preserve">Pension Security (JP), by contrast, is a benefit-based program with a defined benefit model. The contribution rate is 3 percent of wages (2 percent from the employer and 1 percent from the worker), and unlike JHT, the benefit is paid as a monthly pension upon reaching retirement age, which is currently set at 58 years and is being gradually increased to 65 years. The monthly pension amount is calculated according to a formula: 1 percent multiplied by years of service, multiplied by the worker’s average wage. This means that JP provides a more predictable and sustained form of retirement income, functioning like a traditional pension system. The governing regulation is Government Regulation No. 45 of 2015. In summary, the key difference is that JHT provides a one-time lump-sum payout based on accumulated savings, whereas JP provides a regular monthly income based on a benefit formula, offering greater long-term financial stability for retirees.</w:t>
      </w:r>
    </w:p>
    <w:p>
      <w:pPr>
        <w:pStyle w:val="Heading1"/>
      </w:pPr>
      <w:r>
        <w:t xml:space="preserve">5. Calculation of Robby’s Wages This Month</w:t>
      </w:r>
    </w:p>
    <w:p>
      <w:pPr>
        <w:spacing w:after="200" w:line="360"/>
        <w:jc w:val="both"/>
      </w:pPr>
      <w:r>
        <w:t xml:space="preserve">Robby receives a monthly wage of Rp 17,500,000 and works under a standard schedule of 8 hours per day and 40 hours per week, indicating a 5-day work week system. This month, every Friday he works 10 hours (meaning 2 hours of overtime each Friday) and every Saturday he also works 10 hours (all of which constitute overtime since Saturday is a rest day in a 5-day work week). April 2026 contains 4 Fridays and 4 Saturdays.</w:t>
      </w:r>
    </w:p>
    <w:p>
      <w:pPr>
        <w:spacing w:after="200" w:line="360"/>
        <w:jc w:val="both"/>
      </w:pPr>
      <w:r>
        <w:t xml:space="preserve">To begin the calculation, the hourly wage must first be determined. Under Indonesian labour law, the hourly wage is calculated as 1/173 of the monthly wage. Therefore, Robby’s hourly wage is Rp 17,500,000 divided by 173, which equals approximately Rp 101,156.07.</w:t>
      </w:r>
    </w:p>
    <w:p>
      <w:pPr>
        <w:spacing w:after="200" w:line="360"/>
        <w:jc w:val="both"/>
      </w:pPr>
      <w:r>
        <w:t xml:space="preserve">For overtime on regular working days (Fridays), the calculation follows Government Regulation No. 35 of 2021: the first hour of overtime is compensated at 1.5 times the hourly wage, and each subsequent hour at 2 times the hourly wage. On each Friday, Robby works 2 hours of overtime. The first hour yields 1.5 multiplied by Rp 101,156.07, which equals Rp 151,734.10. The second hour yields 2 multiplied by Rp 101,156.07, which equals Rp 202,312.14. Thus, each Friday’s overtime totals Rp 354,046.24. Over 4 Fridays, the total Friday overtime amounts to Rp 1,416,184.97.</w:t>
      </w:r>
    </w:p>
    <w:p>
      <w:pPr>
        <w:spacing w:after="200" w:line="360"/>
        <w:jc w:val="both"/>
      </w:pPr>
      <w:r>
        <w:t xml:space="preserve">For overtime on rest days (Saturdays), the rates are different. In a 5-day work week system, overtime on a rest day is calculated as follows: the first 8 hours are compensated at 2 times the hourly wage per hour; the 9th hour is compensated at 3 times the hourly wage; and the 10th hour onward at 4 times the hourly wage. Since Robby works 10 hours each Saturday, the calculation is as follows: hours 1 through 8 yield 8 multiplied by 2 multiplied by Rp 101,156.07, totaling Rp 1,618,497.12; the 9th hour yields 3 multiplied by Rp 101,156.07, equaling Rp 303,468.21; and the 10th hour yields 4 multiplied by Rp 101,156.07, equaling Rp 404,624.28. Each Saturday’s overtime therefore totals Rp 2,326,589.61. Over 4 Saturdays, the total Saturday overtime amounts to Rp 9,306,358.44.</w:t>
      </w:r>
    </w:p>
    <w:p>
      <w:pPr>
        <w:spacing w:after="200" w:line="360"/>
        <w:jc w:val="both"/>
      </w:pPr>
      <w:r>
        <w:t xml:space="preserve">Robby’s total wages this month are therefore the sum of his basic monthly wage of Rp 17,500,000, plus the Friday overtime of Rp 1,416,184.97, plus the Saturday overtime of Rp 9,306,358.44, which comes to a grand total of approximately </w:t>
      </w:r>
      <w:r>
        <w:rPr>
          <w:b/>
          <w:bCs/>
        </w:rPr>
        <w:t xml:space="preserve">Rp 28,222,543.41</w:t>
      </w:r>
      <w:r>
        <w:t xml:space="preserve">.</w:t>
      </w:r>
    </w:p>
    <w:p>
      <w:pPr>
        <w:pStyle w:val="Heading1"/>
      </w:pPr>
      <w:r>
        <w:t xml:space="preserve">6. Criminal Sanctions and Fines Under Law No. 1/1970 on Occupational Safety</w:t>
      </w:r>
    </w:p>
    <w:p>
      <w:pPr>
        <w:spacing w:after="200" w:line="360"/>
        <w:jc w:val="both"/>
      </w:pPr>
      <w:r>
        <w:t xml:space="preserve">Law No. 1 of 1970 concerning Occupational Safety imposes criminal sanctions and fines on entrepreneurs who violate its provisions for several fundamental reasons. First, occupational safety is a matter of public interest, not merely a private concern between employer and employee. Workplace accidents do not only harm the individual worker; they also devastate the worker’s family and impose costs on society as a whole. The state has a constitutional duty to protect its citizens, as mandated by the Preamble and Article 27 of the 1945 Constitution. Second, criminal sanctions serve as a powerful deterrent. If only civil remedies such as compensation were available, employers might rationally calculate that it is cheaper to pay damages after an accident than to invest in proper safety measures. Criminal sanctions raise the stakes significantly, making it personally and institutionally dangerous to neglect safety. Third, workers are in a subordinate position relative to their employers and often cannot refuse unsafe working conditions for fear of losing their jobs. Criminal sanctions ensure that employers cannot exploit this power imbalance. Fourth, the law is fundamentally preventive in philosophy — it is far better to prevent accidents from occurring than to compensate victims after the fact, and criminal sanctions reinforce the mandatory nature of safety requirements.</w:t>
      </w:r>
    </w:p>
    <w:p>
      <w:pPr>
        <w:spacing w:after="200" w:line="360"/>
        <w:jc w:val="both"/>
      </w:pPr>
      <w:r>
        <w:t xml:space="preserve">As a concrete example, Article 15 of Law No. 1 of 1970 requires employers to provide personal protective equipment (PPE) to workers. If an entrepreneur operating a chemical factory fails to provide masks, gloves, and protective clothing to workers who handle hazardous chemicals, and this violation is discovered during an inspection, the entrepreneur can be subject to criminal prosecution under Article 15 in conjunction with Article 12 of the law. The sanctions include imprisonment of up to 3 months or a fine. Importantly, this criminal prosecution can proceed regardless of whether any worker has actually been injured, because the law’s purpose is to prevent harm before it occurs, not merely to punish after damage has been done.</w:t>
      </w:r>
    </w:p>
    <w:p>
      <w:pPr>
        <w:pStyle w:val="Heading1"/>
      </w:pPr>
      <w:r>
        <w:t xml:space="preserve">7. Choice Between PKWT and PKWTT</w:t>
      </w:r>
    </w:p>
    <w:p>
      <w:pPr>
        <w:spacing w:after="200" w:line="360"/>
        <w:jc w:val="both"/>
      </w:pPr>
      <w:r>
        <w:t xml:space="preserve">As an employer, I would choose a Work Agreement for Unspecified Time (PKWTT, or Perjanjian Kerja Waktu Tidak Tertentu) over a Work Agreement for Specified Time (PKWT, or Perjanjian Kerja Waktu Tertentu). There are several compelling legal reasons for this choice.</w:t>
      </w:r>
    </w:p>
    <w:p>
      <w:pPr>
        <w:spacing w:after="200" w:line="360"/>
        <w:jc w:val="both"/>
      </w:pPr>
      <w:r>
        <w:t xml:space="preserve">First, PKWT is legally restricted under Article 59 of Law No. 13 of 2003, as amended by the Job Creation Law, to specific types of work only. These include work that is temporary in nature, work expected to be completed in a short period not exceeding five years, seasonal work, and work related to new products or activities still in the trial phase. If any of the employer’s core business operations fall outside these narrowly defined categories, a PKWT would be legally invalid and would automatically convert to a PKWTT by operation of law, creating legal uncertainty and potential disputes. By choosing PKWTT from the outset, the employer avoids this risk entirely.</w:t>
      </w:r>
    </w:p>
    <w:p>
      <w:pPr>
        <w:spacing w:after="200" w:line="360"/>
        <w:jc w:val="both"/>
      </w:pPr>
      <w:r>
        <w:t xml:space="preserve">Second, under a PKWTT arrangement, the employer is permitted to impose a probationary period of up to three months, as provided in Article 60 of the Manpower Law. During this probationary period, the employer can thoroughly evaluate the worker’s performance and suitability. This option is not available under PKWT, which by law cannot include a probationary clause. Third, PKWTT employees tend to demonstrate greater loyalty and commitment to the company, resulting in reduced turnover costs and a more stable workforce. Fourth, under the Job Creation Law reforms, PKWT workers are now entitled to compensation upon contract expiry, which has narrowed the cost advantage that PKWT previously offered. Fifth, if a PKWT is improperly executed — for instance, if it is not written in Bahasa Indonesia, exceeds the permitted time limit, or covers work that is permanent in nature — it will automatically convert to a PKWTT. Choosing PKWTT from the beginning provides the employer with legal certainty and avoids the complications of an inadvertent conversion. However, it should be noted that for genuinely temporary or project-based work, PKWT remains the legally appropriate and practical choice.</w:t>
      </w:r>
    </w:p>
    <w:p>
      <w:pPr>
        <w:pStyle w:val="Heading1"/>
      </w:pPr>
      <w:r>
        <w:t xml:space="preserve">8. Legal Philosophy of Labour Law Norms</w:t>
      </w:r>
    </w:p>
    <w:p>
      <w:pPr>
        <w:pStyle w:val="Heading2"/>
      </w:pPr>
      <w:r>
        <w:t xml:space="preserve">a. Every Employer Is Obligated Not to Hinder the Formation of Trade Unions</w:t>
      </w:r>
    </w:p>
    <w:p>
      <w:pPr>
        <w:spacing w:after="200" w:line="360"/>
        <w:jc w:val="both"/>
      </w:pPr>
      <w:r>
        <w:t xml:space="preserve">The legal philosophy underlying this norm is the principle of Freedom of Association (Kebebasan Berserikat). This principle is rooted in Article 28 and Article 28E of the 1945 Constitution, which guarantee the freedom of association and assembly, as well as in ILO Convention No. 87 on Freedom of Association and ILO Convention No. 98 on the Right to Organise and Collective Bargaining, both of which have been ratified by Indonesia. The norm is further elaborated in Law No. 21 of 2000 on Trade Unions. The philosophy recognizes the inherent inequality of bargaining power between an individual worker and an employer. A single worker standing alone has very little leverage to negotiate wages, working conditions, or other terms of employment. Trade unions serve as the mechanism through which workers can collectively balance this power and engage with employers on a more equal footing. Hindering the formation of trade unions would perpetuate exploitation and undermine the democratic principles that should govern the workplace. This norm is classified as mandatory law (dwingend recht), meaning it cannot be contracted out of or waived by agreement, reflecting the state’s duty to protect fundamental human rights in the employment context.</w:t>
      </w:r>
    </w:p>
    <w:p>
      <w:pPr>
        <w:pStyle w:val="Heading2"/>
      </w:pPr>
      <w:r>
        <w:t xml:space="preserve">b. Every Employer Is Prohibited from Paying Wages Below the Minimum Wage</w:t>
      </w:r>
    </w:p>
    <w:p>
      <w:pPr>
        <w:spacing w:after="200" w:line="360"/>
        <w:jc w:val="both"/>
      </w:pPr>
      <w:r>
        <w:t xml:space="preserve">The legal philosophy behind this prohibition is the protection of human dignity and the guarantee of decent living standards. This is grounded in Article 27(2) of the 1945 Constitution, which provides that every citizen has the right to work and to a livelihood befitting human dignity, and is further implemented through Article 88 of Law No. 13 of 2003. The minimum wage represents the lowest threshold necessary for a single worker to live decently, calculated on the basis of the Decent Living Needs standard (Kebutuhan Hidup Layak, or KHL). This prohibition reflects the fundamental view that labour is not a commodity whose price can be determined purely by the market forces of supply and demand. In a developing country like Indonesia, where there is a significant oversupply of labour, allowing wages to be set entirely by market mechanisms would inevitably drive wages below subsistence levels, causing widespread poverty and violating human dignity. This norm is therefore a matter of public order (ketertiban umum), and any agreement between an employer and a worker that sets wages below the minimum wage is null and void as to the wage clause — the worker is entitled to the minimum wage regardless of what was contractually agreed upon.</w:t>
      </w:r>
    </w:p>
    <w:p>
      <w:pPr>
        <w:pStyle w:val="Heading2"/>
      </w:pPr>
      <w:r>
        <w:t xml:space="preserve">c. Every Worker Has to Follow the Requirements of the Strike</w:t>
      </w:r>
    </w:p>
    <w:p>
      <w:pPr>
        <w:spacing w:after="200" w:line="360"/>
        <w:jc w:val="both"/>
      </w:pPr>
      <w:r>
        <w:t xml:space="preserve">The legal philosophy underlying this norm is the principle of balancing rights with responsibility and ensuring an orderly process. This is grounded in Articles 137 to 145 of Law No. 13 of 2003 and reflects the broader recognition that the right to strike is a fundamental right of workers but not an absolute right. Workers have the right to strike as a last resort when industrial dispute resolution mechanisms have failed. However, strikes must follow certain procedural requirements, including providing a written notification to the employer and the local manpower agency at least seven days in advance, demonstrating that prior negotiation has been attempted and has failed, and ensuring that the strike is conducted peacefully. These requirements exist for several important reasons: the employer must have notice so that it can make preparations and ensure continuity of essential services; third parties, including customers and the public, must not be unduly harmed; and the strike must remain peaceful to avoid violence and property destruction. This philosophy reflects the broader Indonesian principle of harmonious industrial relations (hubungan industrial yang harmonis), in which the state seeks to balance the collective action rights of workers against the interests of social stability and economic continuity. The right to strike is thus protected, but it must be exercised responsibly and within the bounds of the law.</w:t>
      </w:r>
    </w:p>
    <w:p>
      <w:pPr>
        <w:pStyle w:val="Heading1"/>
      </w:pPr>
      <w:r>
        <w:t xml:space="preserve">9. Outsourcing of the Worker vs. Outsourcing of the Work</w:t>
      </w:r>
    </w:p>
    <w:p>
      <w:pPr>
        <w:spacing w:after="200" w:line="360"/>
        <w:jc w:val="both"/>
      </w:pPr>
      <w:r>
        <w:t xml:space="preserve">As an employee, I would prefer Outsourcing of the Work (Pemborongan Pekerjaan) over Outsourcing of the Worker (Penyediaan Jasa Pekerja). There are several legal reasons for this preference.</w:t>
      </w:r>
    </w:p>
    <w:p>
      <w:pPr>
        <w:spacing w:after="200" w:line="360"/>
        <w:jc w:val="both"/>
      </w:pPr>
      <w:r>
        <w:t xml:space="preserve">Under Outsourcing of the Work, as regulated by Articles 64 to 66 of Law No. 13 of 2003 as amended by the Job Creation Law, the outsourcing company (pemborong) bears full legal responsibility for the workers it employs. The scope of work is clearly defined and usually project-based, which gives the worker a clearer role, a more transparent employment relationship, and a better understanding of the terms and expectations of the job. Furthermore, under the Job Creation Law reforms and Government Regulation No. 35 of 2021, there is a “Transfer of Protection of Rights” principle, which provides that if the outsourcing company changes, the new company must guarantee the continuity of the worker’s rights, provided that the work continues and the object of work remains the same. This provides significant employment security for workers in outsourcing-of-work arrangements.</w:t>
      </w:r>
    </w:p>
    <w:p>
      <w:pPr>
        <w:spacing w:after="200" w:line="360"/>
        <w:jc w:val="both"/>
      </w:pPr>
      <w:r>
        <w:t xml:space="preserve">Outsourcing of the Worker, by contrast, creates a more complicated triangular relationship in which the worker is placed at the user company but is employed by the provider company. This arrangement carries greater risks for the employee, including a sense of reduced job security, the possibility of receiving lower benefits than direct employees performing similar work at the user company, and unclear lines of accountability when problems arise. Additionally, Outsourcing of the Worker can legally only be used for supporting activities (kegiatan penunjang) and not for core business activities, which inherently means that such workers are placed in peripheral roles with potentially less opportunity for career development and advancement. For these reasons, Outsourcing of the Work provides a more legally secure, transparent, and dignified arrangement from the employee’s perspective.</w:t>
      </w:r>
    </w:p>
    <w:p>
      <w:pPr>
        <w:pStyle w:val="Heading1"/>
      </w:pPr>
      <w:r>
        <w:t xml:space="preserve">10. Exemption from Foreign Worker Utilization Plan (RPTKA)</w:t>
      </w:r>
    </w:p>
    <w:p>
      <w:pPr>
        <w:spacing w:after="200" w:line="360"/>
        <w:jc w:val="both"/>
      </w:pPr>
      <w:r>
        <w:t xml:space="preserve">Under Indonesian law, the employment of foreign workers generally requires a Foreign Worker Utilization Plan (Rencana Penggunaan Tenaga Kerja Asing, or RPTKA), as provided in Article 43 of Law No. 13 of 2003 as amended by the Job Creation Law and its implementing regulations. However, Government Agencies of foreign countries, International Agencies, and representative diplomatic offices are exempted from this requirement for several important reasons grounded in international law and diplomatic practice.</w:t>
      </w:r>
    </w:p>
    <w:p>
      <w:pPr>
        <w:spacing w:after="200" w:line="360"/>
        <w:jc w:val="both"/>
      </w:pPr>
      <w:r>
        <w:t xml:space="preserve">First, foreign government agencies such as embassies and consulates are protected by the Vienna Convention on Diplomatic Relations of 1961 and the Vienna Convention on Consular Relations of 1963, to which Indonesia is a party. Diplomatic missions enjoy immunity and are considered extensions of the sovereignty of the sending state. Requiring them to submit workforce utilization plans to Indonesian authorities would violate the principle of sovereign equality among nations and contravene the protections of diplomatic immunity. Second, international agencies such as United Nations bodies and the World Bank operate under Headquarters Agreements and enjoy Privileges and Immunities granted by international treaties, such as the Convention on the Privileges and Immunities of the United Nations of 1946. These agreements typically exempt such organizations from host country labour regulations to preserve their independence and their ability to recruit the best international talent without restriction. Third, representative diplomatic offices enjoy similar immunities that prevent the host country from imposing domestic administrative requirements on their staffing decisions.</w:t>
      </w:r>
    </w:p>
    <w:p>
      <w:pPr>
        <w:spacing w:after="200" w:line="360"/>
        <w:jc w:val="both"/>
      </w:pPr>
      <w:r>
        <w:t xml:space="preserve">The underlying principle is international comity and reciprocity — just as these entities are exempt from Indonesian labour regulations on Indonesian soil, Indonesia’s diplomatic missions abroad similarly enjoy exemptions from the local labor regulations of their host countries. Furthermore, these institutions serve public and international purposes rather than commercial ones, which means that the primary rationale for the RPTKA requirement, namely ensuring technology transfer and maximizing employment opportunities for Indonesian nationals, does not fully apply. Many staff positions within these entities require specific nationality, security clearance, or highly specialized international expertise that cannot be substituted by Indonesian workers, making the RPTKA requirement impractical and incompatible with the nature of their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center"/>
    </w:pPr>
    <w:r>
      <w:rPr>
        <w:rFonts w:ascii="Times New Roman" w:cs="Times New Roman" w:eastAsia="Times New Roman" w:hAnsi="Times New Roman"/>
        <w:i/>
        <w:iCs/>
        <w:color w:val="666666"/>
        <w:sz w:val="18"/>
        <w:szCs w:val="18"/>
      </w:rPr>
      <w:t xml:space="preserve">Mid Test – Labour Law – April 1st,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2026-04-01T04:21:14.451Z</dcterms:created>
  <dcterms:modified xsi:type="dcterms:W3CDTF">2026-04-01T04:21:14.452Z</dcterms:modified>
</cp:coreProperties>
</file>

<file path=docProps/custom.xml><?xml version="1.0" encoding="utf-8"?>
<Properties xmlns="http://schemas.openxmlformats.org/officeDocument/2006/custom-properties" xmlns:vt="http://schemas.openxmlformats.org/officeDocument/2006/docPropsVTypes"/>
</file>