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C693" w14:textId="715839C2" w:rsidR="00780ADF" w:rsidRDefault="00780ADF" w:rsidP="00780ADF">
      <w:pPr>
        <w:pStyle w:val="Heading1"/>
        <w:jc w:val="center"/>
      </w:pPr>
      <w:r>
        <w:t>Findings of CPI-INFLATION-IN-INDIA (Analysis)</w:t>
      </w:r>
    </w:p>
    <w:p w14:paraId="1525B732" w14:textId="77777777" w:rsidR="00780ADF" w:rsidRDefault="00780ADF" w:rsidP="00780ADF"/>
    <w:p w14:paraId="0AA88F49" w14:textId="6D7E757B" w:rsidR="00780ADF" w:rsidRDefault="00780ADF" w:rsidP="00780ADF">
      <w:pPr>
        <w:pStyle w:val="Heading2"/>
      </w:pPr>
      <w:r w:rsidRPr="00780ADF">
        <w:t xml:space="preserve">Executive Summary &amp; Key </w:t>
      </w:r>
      <w:proofErr w:type="gramStart"/>
      <w:r w:rsidRPr="00780ADF">
        <w:t>Findings</w:t>
      </w:r>
      <w:r>
        <w:t xml:space="preserve"> :</w:t>
      </w:r>
      <w:proofErr w:type="gramEnd"/>
    </w:p>
    <w:p w14:paraId="7D61EAAD" w14:textId="77777777" w:rsidR="00780ADF" w:rsidRPr="00780ADF" w:rsidRDefault="00780ADF" w:rsidP="00780ADF">
      <w:p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1. Pre vs. Post-COVID Inflation Shift (Problem Statement 4)</w:t>
      </w:r>
    </w:p>
    <w:p w14:paraId="3074EC34" w14:textId="77777777" w:rsidR="00780ADF" w:rsidRPr="00780ADF" w:rsidRDefault="00780ADF" w:rsidP="00780ADF">
      <w:p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A comparative evaluation of monthly inflation rates before COVID-19 (Feb 2019 – Feb 2020) and during/after the onset of the pandemic (March 2020 – Dec 2021) reveals a clear upward pressure across primary economic baskets:</w:t>
      </w:r>
    </w:p>
    <w:p w14:paraId="10965C63" w14:textId="77777777" w:rsidR="00780ADF" w:rsidRPr="00780ADF" w:rsidRDefault="00780ADF" w:rsidP="00780AD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General Index Inflation: Rose from a pre-COVID average of 0.48% to 0.54% post-COVID (+0.05% increase).</w:t>
      </w:r>
    </w:p>
    <w:p w14:paraId="7362FF1B" w14:textId="77777777" w:rsidR="00780ADF" w:rsidRPr="00780ADF" w:rsidRDefault="00780ADF" w:rsidP="00780AD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Healthcare Inflation: Experienced the sharpest surge, jumping from 0.37% to 0.54% (+0.17% increase) driven by pandemic-induced medical demands.</w:t>
      </w:r>
    </w:p>
    <w:p w14:paraId="37E1910A" w14:textId="77777777" w:rsidR="00780ADF" w:rsidRPr="00780ADF" w:rsidRDefault="00780ADF" w:rsidP="00780AD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Essentials Inflation: Increased from 0.40% to 0.51% (+0.12% increase).</w:t>
      </w:r>
    </w:p>
    <w:p w14:paraId="63860B91" w14:textId="77777777" w:rsidR="00780ADF" w:rsidRPr="00780ADF" w:rsidRDefault="00780ADF" w:rsidP="00780ADF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Food Inflation: Climbed from 0.60% to 0.69% (+0.08% increase).</w:t>
      </w:r>
    </w:p>
    <w:p w14:paraId="287698D6" w14:textId="77777777" w:rsidR="00780ADF" w:rsidRPr="00780ADF" w:rsidRDefault="00780ADF" w:rsidP="00780ADF">
      <w:p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2. Global Crude Oil vs. Domestic Inflation Correlation (Problem Statement 5)</w:t>
      </w:r>
    </w:p>
    <w:p w14:paraId="68D21771" w14:textId="77777777" w:rsidR="00780ADF" w:rsidRPr="00780ADF" w:rsidRDefault="00780ADF" w:rsidP="00780ADF">
      <w:p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Contrary to common economic assumptions of a tight coupling between international crude prices and domestic retail inflation in India during this timeframe (2021 dataset window), statistical correlation analysis indicates very weak positive relationships:</w:t>
      </w:r>
    </w:p>
    <w:p w14:paraId="5EDA31C0" w14:textId="77777777" w:rsidR="00780ADF" w:rsidRPr="00780ADF" w:rsidRDefault="00780ADF" w:rsidP="00780ADF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Food vs. Oil Price: Correlation of 0.07 (</w:t>
      </w:r>
      <w:r w:rsidRPr="00780ADF">
        <w:rPr>
          <w:b/>
          <w:bCs/>
          <w:i/>
          <w:iCs/>
          <w:sz w:val="20"/>
          <w:szCs w:val="20"/>
        </w:rPr>
        <w:t>Weak Positive</w:t>
      </w:r>
      <w:r w:rsidRPr="00780ADF">
        <w:rPr>
          <w:b/>
          <w:bCs/>
          <w:sz w:val="20"/>
          <w:szCs w:val="20"/>
        </w:rPr>
        <w:t>)</w:t>
      </w:r>
    </w:p>
    <w:p w14:paraId="73B37B92" w14:textId="77777777" w:rsidR="00780ADF" w:rsidRPr="00780ADF" w:rsidRDefault="00780ADF" w:rsidP="00780ADF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Fuel &amp; Light vs. Oil Price: Correlation of 0.12 (</w:t>
      </w:r>
      <w:r w:rsidRPr="00780ADF">
        <w:rPr>
          <w:b/>
          <w:bCs/>
          <w:i/>
          <w:iCs/>
          <w:sz w:val="20"/>
          <w:szCs w:val="20"/>
        </w:rPr>
        <w:t>Weak Positive</w:t>
      </w:r>
      <w:r w:rsidRPr="00780ADF">
        <w:rPr>
          <w:b/>
          <w:bCs/>
          <w:sz w:val="20"/>
          <w:szCs w:val="20"/>
        </w:rPr>
        <w:t>)</w:t>
      </w:r>
    </w:p>
    <w:p w14:paraId="479894A9" w14:textId="77777777" w:rsidR="00780ADF" w:rsidRPr="00780ADF" w:rsidRDefault="00780ADF" w:rsidP="00780ADF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Transportation &amp; Communication vs. Oil Price: Correlation of 0.05 (</w:t>
      </w:r>
      <w:r w:rsidRPr="00780ADF">
        <w:rPr>
          <w:b/>
          <w:bCs/>
          <w:i/>
          <w:iCs/>
          <w:sz w:val="20"/>
          <w:szCs w:val="20"/>
        </w:rPr>
        <w:t>Very Weak Positive</w:t>
      </w:r>
      <w:r w:rsidRPr="00780ADF">
        <w:rPr>
          <w:b/>
          <w:bCs/>
          <w:sz w:val="20"/>
          <w:szCs w:val="20"/>
        </w:rPr>
        <w:t>)</w:t>
      </w:r>
    </w:p>
    <w:p w14:paraId="438C04B7" w14:textId="77777777" w:rsidR="00780ADF" w:rsidRPr="00780ADF" w:rsidRDefault="00780ADF" w:rsidP="00780ADF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780ADF">
        <w:rPr>
          <w:b/>
          <w:bCs/>
          <w:i/>
          <w:iCs/>
          <w:sz w:val="20"/>
          <w:szCs w:val="20"/>
        </w:rPr>
        <w:t>Finding:</w:t>
      </w:r>
      <w:r w:rsidRPr="00780ADF">
        <w:rPr>
          <w:b/>
          <w:bCs/>
          <w:sz w:val="20"/>
          <w:szCs w:val="20"/>
        </w:rPr>
        <w:t xml:space="preserve"> Domestic administered pricing mechanisms, localized supply chains, and indirect tax buffers cushioned retail consumers from direct global crude price volatility during this observation period.</w:t>
      </w:r>
    </w:p>
    <w:p w14:paraId="6D9DBAD7" w14:textId="77777777" w:rsidR="00780ADF" w:rsidRPr="00780ADF" w:rsidRDefault="00780ADF" w:rsidP="00780ADF">
      <w:p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3. Food Sub-Category Dynamics: YoY Spikes &amp; Cool-downs (Problem Statement 3)</w:t>
      </w:r>
    </w:p>
    <w:p w14:paraId="5715CC8E" w14:textId="77777777" w:rsidR="00780ADF" w:rsidRPr="00780ADF" w:rsidRDefault="00780ADF" w:rsidP="00780ADF">
      <w:p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Comparing food basket indices between May 2022 and May 2023 highlights distinct divergence among kitchen staples:</w:t>
      </w:r>
    </w:p>
    <w:p w14:paraId="7A554690" w14:textId="77777777" w:rsidR="00780ADF" w:rsidRPr="00780ADF" w:rsidRDefault="00780ADF" w:rsidP="00780ADF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Major Deflationary Relief: Oils &amp; Fats saw a significant drop of -32.4 points (falling from 202.4 to 170.0), followed by Vegetables (-13.9 points) and Meat &amp; Fish (-2.7 points).</w:t>
      </w:r>
    </w:p>
    <w:p w14:paraId="3481007E" w14:textId="77777777" w:rsidR="00780ADF" w:rsidRPr="00780ADF" w:rsidRDefault="00780ADF" w:rsidP="00780ADF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780ADF">
        <w:rPr>
          <w:b/>
          <w:bCs/>
          <w:sz w:val="20"/>
          <w:szCs w:val="20"/>
        </w:rPr>
        <w:t>Severe Inflationary Pressures: Spices experienced the highest absolute point surge of +33.1 points (rising from 184.9 to 218.0), alongside Cereals &amp; Products (+19.6 points) and Milk &amp; Products (+14.6 points).</w:t>
      </w:r>
    </w:p>
    <w:p w14:paraId="3B123D41" w14:textId="77777777" w:rsidR="00780ADF" w:rsidRPr="00780ADF" w:rsidRDefault="00780ADF" w:rsidP="00780ADF">
      <w:pPr>
        <w:rPr>
          <w:b/>
          <w:bCs/>
          <w:sz w:val="20"/>
          <w:szCs w:val="20"/>
        </w:rPr>
      </w:pPr>
    </w:p>
    <w:p w14:paraId="2961F071" w14:textId="77777777" w:rsidR="00780ADF" w:rsidRPr="00780ADF" w:rsidRDefault="00780ADF" w:rsidP="00780ADF">
      <w:pPr>
        <w:jc w:val="center"/>
        <w:rPr>
          <w:sz w:val="20"/>
          <w:szCs w:val="20"/>
        </w:rPr>
      </w:pPr>
    </w:p>
    <w:p w14:paraId="23EB49D7" w14:textId="007007CC" w:rsidR="00780ADF" w:rsidRPr="00780ADF" w:rsidRDefault="00780ADF" w:rsidP="00780ADF">
      <w:pPr>
        <w:pStyle w:val="Heading2"/>
        <w:rPr>
          <w:sz w:val="56"/>
          <w:szCs w:val="56"/>
        </w:rPr>
      </w:pPr>
      <w:proofErr w:type="gramStart"/>
      <w:r w:rsidRPr="00780ADF">
        <w:lastRenderedPageBreak/>
        <w:t>Insights</w:t>
      </w:r>
      <w:r>
        <w:t xml:space="preserve"> :</w:t>
      </w:r>
      <w:proofErr w:type="gramEnd"/>
    </w:p>
    <w:p w14:paraId="361EFA57" w14:textId="77777777" w:rsidR="00780ADF" w:rsidRDefault="00780ADF" w:rsidP="00780ADF">
      <w:pPr>
        <w:pStyle w:val="Title"/>
        <w:numPr>
          <w:ilvl w:val="0"/>
          <w:numId w:val="4"/>
        </w:numPr>
        <w:rPr>
          <w:sz w:val="24"/>
          <w:szCs w:val="24"/>
        </w:rPr>
      </w:pPr>
      <w:r w:rsidRPr="00780ADF">
        <w:rPr>
          <w:b/>
          <w:bCs/>
          <w:sz w:val="24"/>
          <w:szCs w:val="24"/>
        </w:rPr>
        <w:t>Targeted Subsidies over Broad Interventions:</w:t>
      </w:r>
      <w:r w:rsidRPr="00780ADF">
        <w:rPr>
          <w:sz w:val="24"/>
          <w:szCs w:val="24"/>
        </w:rPr>
        <w:t xml:space="preserve"> </w:t>
      </w:r>
    </w:p>
    <w:p w14:paraId="147C9440" w14:textId="019E6F42" w:rsidR="00780ADF" w:rsidRPr="00780ADF" w:rsidRDefault="00780ADF" w:rsidP="00780ADF">
      <w:pPr>
        <w:pStyle w:val="Title"/>
        <w:ind w:left="720"/>
        <w:rPr>
          <w:sz w:val="24"/>
          <w:szCs w:val="24"/>
        </w:rPr>
      </w:pPr>
      <w:r w:rsidRPr="00780ADF">
        <w:rPr>
          <w:sz w:val="24"/>
          <w:szCs w:val="24"/>
        </w:rPr>
        <w:t>Since global crude oil price fluctuations show minimal direct statistical correlation with domestic retail transportation and fuel inflation (</w:t>
      </w:r>
      <m:oMath>
        <m:r>
          <w:rPr>
            <w:rFonts w:ascii="Cambria Math" w:hAnsi="Cambria Math"/>
            <w:sz w:val="24"/>
            <w:szCs w:val="24"/>
          </w:rPr>
          <m:t>r≤0.12</m:t>
        </m:r>
      </m:oMath>
      <w:r w:rsidRPr="00780ADF">
        <w:rPr>
          <w:sz w:val="24"/>
          <w:szCs w:val="24"/>
        </w:rPr>
        <w:t>), fiscal policy should focus on domestic supply-chain bottlenecks rather than relying solely on global oil trends to stabilize local prices.</w:t>
      </w:r>
    </w:p>
    <w:p w14:paraId="2A0E023D" w14:textId="77777777" w:rsidR="00780ADF" w:rsidRDefault="00780ADF" w:rsidP="00780ADF">
      <w:pPr>
        <w:pStyle w:val="Title"/>
        <w:numPr>
          <w:ilvl w:val="0"/>
          <w:numId w:val="4"/>
        </w:numPr>
        <w:rPr>
          <w:sz w:val="24"/>
          <w:szCs w:val="24"/>
        </w:rPr>
      </w:pPr>
      <w:r w:rsidRPr="00780ADF">
        <w:rPr>
          <w:b/>
          <w:bCs/>
          <w:sz w:val="24"/>
          <w:szCs w:val="24"/>
        </w:rPr>
        <w:t>Mitigating Volatility in Spices and Cereals:</w:t>
      </w:r>
      <w:r w:rsidRPr="00780ADF">
        <w:rPr>
          <w:sz w:val="24"/>
          <w:szCs w:val="24"/>
        </w:rPr>
        <w:t xml:space="preserve"> </w:t>
      </w:r>
    </w:p>
    <w:p w14:paraId="0A50183F" w14:textId="5D769A65" w:rsidR="00780ADF" w:rsidRPr="00780ADF" w:rsidRDefault="00780ADF" w:rsidP="00780ADF">
      <w:pPr>
        <w:pStyle w:val="Title"/>
        <w:ind w:left="720"/>
        <w:rPr>
          <w:sz w:val="24"/>
          <w:szCs w:val="24"/>
        </w:rPr>
      </w:pPr>
      <w:r w:rsidRPr="00780ADF">
        <w:rPr>
          <w:sz w:val="24"/>
          <w:szCs w:val="24"/>
        </w:rPr>
        <w:t>With Spices (+33.1 pts) and Cereals (+19.6 pts) driving food basket increases, agricultural policy needs targeted buffer stock releases and supply-side incentives for these specific commodities to shield lower-income households.</w:t>
      </w:r>
    </w:p>
    <w:p w14:paraId="0DAE06E7" w14:textId="77777777" w:rsidR="00780ADF" w:rsidRDefault="00780ADF" w:rsidP="00780ADF">
      <w:pPr>
        <w:pStyle w:val="Title"/>
        <w:numPr>
          <w:ilvl w:val="0"/>
          <w:numId w:val="4"/>
        </w:numPr>
        <w:rPr>
          <w:sz w:val="24"/>
          <w:szCs w:val="24"/>
        </w:rPr>
      </w:pPr>
      <w:r w:rsidRPr="00780ADF">
        <w:rPr>
          <w:b/>
          <w:bCs/>
          <w:sz w:val="24"/>
          <w:szCs w:val="24"/>
        </w:rPr>
        <w:t>Healthcare Price Monitoring Post-COVID:</w:t>
      </w:r>
      <w:r w:rsidRPr="00780ADF">
        <w:rPr>
          <w:sz w:val="24"/>
          <w:szCs w:val="24"/>
        </w:rPr>
        <w:t xml:space="preserve"> </w:t>
      </w:r>
    </w:p>
    <w:p w14:paraId="3DBED6D1" w14:textId="7678A710" w:rsidR="00780ADF" w:rsidRDefault="00780ADF" w:rsidP="00780ADF">
      <w:pPr>
        <w:pStyle w:val="Title"/>
        <w:ind w:left="720"/>
        <w:rPr>
          <w:sz w:val="24"/>
          <w:szCs w:val="24"/>
        </w:rPr>
      </w:pPr>
      <w:r w:rsidRPr="00780ADF">
        <w:rPr>
          <w:sz w:val="24"/>
          <w:szCs w:val="24"/>
        </w:rPr>
        <w:t>The substantial structural jump in healthcare inflation (+0.17% average monthly increase post-COVID) highlights the need for continued regulatory oversight on medical services and pharmaceutical pricing to prevent long-term cost-of-living escalation.</w:t>
      </w:r>
    </w:p>
    <w:p w14:paraId="3661A718" w14:textId="77777777" w:rsidR="00DF30DA" w:rsidRDefault="00DF30DA" w:rsidP="00DF30DA"/>
    <w:p w14:paraId="6812A609" w14:textId="4421B880" w:rsidR="00DF30DA" w:rsidRPr="00DF30DA" w:rsidRDefault="00DF30DA" w:rsidP="00DF30DA">
      <w:pPr>
        <w:pStyle w:val="Heading2"/>
      </w:pPr>
      <w:r w:rsidRPr="00DF30DA">
        <w:t xml:space="preserve">Key </w:t>
      </w:r>
      <w:proofErr w:type="gramStart"/>
      <w:r w:rsidRPr="00DF30DA">
        <w:t>Takeaways</w:t>
      </w:r>
      <w:r>
        <w:t xml:space="preserve"> :</w:t>
      </w:r>
      <w:proofErr w:type="gramEnd"/>
    </w:p>
    <w:p w14:paraId="2E788528" w14:textId="77777777" w:rsidR="00DF30DA" w:rsidRPr="00DF30DA" w:rsidRDefault="00DF30DA" w:rsidP="00DF30DA">
      <w:pPr>
        <w:ind w:left="360"/>
      </w:pPr>
      <w:r w:rsidRPr="00DF30DA">
        <w:rPr>
          <w:b/>
          <w:bCs/>
        </w:rPr>
        <w:t>The Pandemic Effect:</w:t>
      </w:r>
      <w:r w:rsidRPr="00DF30DA">
        <w:t xml:space="preserve"> COVID-19 structurally elevated baseline inflation across essentials, food, and healthcare, shifting consumer purchasing power downward.</w:t>
      </w:r>
    </w:p>
    <w:p w14:paraId="609919DC" w14:textId="02D7507D" w:rsidR="00DF30DA" w:rsidRPr="00DF30DA" w:rsidRDefault="00DF30DA" w:rsidP="00DF30DA">
      <w:pPr>
        <w:ind w:left="360"/>
      </w:pPr>
      <w:r>
        <w:rPr>
          <w:b/>
          <w:bCs/>
        </w:rPr>
        <w:t>D</w:t>
      </w:r>
      <w:r w:rsidRPr="00DF30DA">
        <w:rPr>
          <w:b/>
          <w:bCs/>
        </w:rPr>
        <w:t>ivergent Food Trends:</w:t>
      </w:r>
      <w:r w:rsidRPr="00DF30DA">
        <w:t xml:space="preserve"> High volatility within the food basket cancels out aggregate stability—while cooking oils and vegetables offered cost relief, spikes in spices and cereals offset these gains.</w:t>
      </w:r>
    </w:p>
    <w:p w14:paraId="6C81EDF4" w14:textId="77777777" w:rsidR="00DF30DA" w:rsidRPr="00DF30DA" w:rsidRDefault="00DF30DA" w:rsidP="00DF30DA">
      <w:pPr>
        <w:ind w:left="360"/>
      </w:pPr>
      <w:r w:rsidRPr="00DF30DA">
        <w:rPr>
          <w:b/>
          <w:bCs/>
        </w:rPr>
        <w:t>Insulated Retail Pricing:</w:t>
      </w:r>
      <w:r w:rsidRPr="00DF30DA">
        <w:t xml:space="preserve"> India’s domestic retail market exhibited resilience against raw international oil shocks during the </w:t>
      </w:r>
      <w:proofErr w:type="spellStart"/>
      <w:r w:rsidRPr="00DF30DA">
        <w:t>analyzed</w:t>
      </w:r>
      <w:proofErr w:type="spellEnd"/>
      <w:r w:rsidRPr="00DF30DA">
        <w:t xml:space="preserve"> window due to local pricing buffers.</w:t>
      </w:r>
    </w:p>
    <w:p w14:paraId="466058B7" w14:textId="77777777" w:rsidR="00DF30DA" w:rsidRPr="00DF30DA" w:rsidRDefault="00DF30DA" w:rsidP="00DF30DA"/>
    <w:p w14:paraId="3A08B40E" w14:textId="77777777" w:rsidR="00780ADF" w:rsidRPr="00780ADF" w:rsidRDefault="00780ADF" w:rsidP="00780ADF">
      <w:pPr>
        <w:pStyle w:val="Title"/>
        <w:rPr>
          <w:sz w:val="20"/>
          <w:szCs w:val="20"/>
        </w:rPr>
      </w:pPr>
    </w:p>
    <w:sectPr w:rsidR="00780ADF" w:rsidRPr="0078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6699"/>
    <w:multiLevelType w:val="multilevel"/>
    <w:tmpl w:val="8AD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1108E"/>
    <w:multiLevelType w:val="multilevel"/>
    <w:tmpl w:val="87B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205BF"/>
    <w:multiLevelType w:val="multilevel"/>
    <w:tmpl w:val="4858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D1257"/>
    <w:multiLevelType w:val="multilevel"/>
    <w:tmpl w:val="7B8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34577"/>
    <w:multiLevelType w:val="multilevel"/>
    <w:tmpl w:val="3E8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2760">
    <w:abstractNumId w:val="4"/>
  </w:num>
  <w:num w:numId="2" w16cid:durableId="718166906">
    <w:abstractNumId w:val="3"/>
  </w:num>
  <w:num w:numId="3" w16cid:durableId="1109277827">
    <w:abstractNumId w:val="0"/>
  </w:num>
  <w:num w:numId="4" w16cid:durableId="613555942">
    <w:abstractNumId w:val="2"/>
  </w:num>
  <w:num w:numId="5" w16cid:durableId="116385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DF"/>
    <w:rsid w:val="001D15F0"/>
    <w:rsid w:val="00463AE0"/>
    <w:rsid w:val="00602580"/>
    <w:rsid w:val="00780ADF"/>
    <w:rsid w:val="00D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3534"/>
  <w15:chartTrackingRefBased/>
  <w15:docId w15:val="{E9212DDC-59D5-475C-B4E9-E0EB7677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0A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muflih</dc:creator>
  <cp:keywords/>
  <dc:description/>
  <cp:lastModifiedBy>mohd muflih</cp:lastModifiedBy>
  <cp:revision>1</cp:revision>
  <dcterms:created xsi:type="dcterms:W3CDTF">2026-10-20T06:06:00Z</dcterms:created>
  <dcterms:modified xsi:type="dcterms:W3CDTF">2026-10-20T06:22:00Z</dcterms:modified>
</cp:coreProperties>
</file>