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3CD89" w14:textId="77777777" w:rsidR="00462ADD" w:rsidRDefault="00000000">
      <w:pPr>
        <w:pStyle w:val="Title"/>
      </w:pPr>
      <w:r>
        <w:t>Retail Sales Performance Analysis</w:t>
      </w:r>
    </w:p>
    <w:p w14:paraId="21F0F5F6" w14:textId="77777777" w:rsidR="00462ADD" w:rsidRDefault="00000000">
      <w:pPr>
        <w:pStyle w:val="Author"/>
      </w:pPr>
      <w:r>
        <w:t>Patricia Mugabe</w:t>
      </w:r>
    </w:p>
    <w:p w14:paraId="34189524" w14:textId="77777777" w:rsidR="00462ADD" w:rsidRDefault="00000000">
      <w:pPr>
        <w:pStyle w:val="Date"/>
      </w:pPr>
      <w:r>
        <w:t>2026-05-25</w:t>
      </w:r>
    </w:p>
    <w:sdt>
      <w:sdtPr>
        <w:rPr>
          <w:rFonts w:asciiTheme="minorHAnsi" w:eastAsiaTheme="minorEastAsia" w:hAnsiTheme="minorHAnsi" w:cstheme="minorBidi"/>
          <w:color w:val="auto"/>
          <w:sz w:val="24"/>
          <w:szCs w:val="24"/>
        </w:rPr>
        <w:id w:val="143323210"/>
        <w:docPartObj>
          <w:docPartGallery w:val="Table of Contents"/>
          <w:docPartUnique/>
        </w:docPartObj>
      </w:sdtPr>
      <w:sdtContent>
        <w:p w14:paraId="2E1E5774" w14:textId="77777777" w:rsidR="00462ADD" w:rsidRDefault="00000000">
          <w:pPr>
            <w:pStyle w:val="TOCHeading"/>
          </w:pPr>
          <w:r>
            <w:t>Table of Contents</w:t>
          </w:r>
        </w:p>
        <w:p w14:paraId="5D0DBAA8" w14:textId="77777777" w:rsidR="00462ADD" w:rsidRDefault="00000000">
          <w:r>
            <w:fldChar w:fldCharType="begin"/>
          </w:r>
          <w:r>
            <w:instrText>TOC \o "1-3" \h \z \u</w:instrText>
          </w:r>
          <w:r>
            <w:fldChar w:fldCharType="separate"/>
          </w:r>
          <w:r>
            <w:fldChar w:fldCharType="end"/>
          </w:r>
        </w:p>
      </w:sdtContent>
    </w:sdt>
    <w:p w14:paraId="72BE9DBD" w14:textId="77777777" w:rsidR="00462ADD" w:rsidRDefault="00000000">
      <w:pPr>
        <w:pStyle w:val="Heading2"/>
      </w:pPr>
      <w:bookmarkStart w:id="0" w:name="executive-summary"/>
      <w:r>
        <w:t>Executive Summary</w:t>
      </w:r>
    </w:p>
    <w:p w14:paraId="15B64C48" w14:textId="77777777" w:rsidR="00462ADD" w:rsidRDefault="00000000">
      <w:pPr>
        <w:pStyle w:val="FirstParagraph"/>
      </w:pPr>
      <w:r>
        <w:t>This report presents a comprehensive analysis of retail sales performance across four regions for the fiscal year 2024. The analysis examines revenue distribution by region and product category, evaluates sales representative performance against targets, and provides strategic recommendations to guide resource allocation and growth planning.</w:t>
      </w:r>
    </w:p>
    <w:p w14:paraId="0D9919EF" w14:textId="77777777" w:rsidR="00462ADD" w:rsidRDefault="00000000">
      <w:pPr>
        <w:pStyle w:val="Heading3"/>
      </w:pPr>
      <w:bookmarkStart w:id="1" w:name="regional-sales-performance"/>
      <w:r>
        <w:t>1. Regional Sales Performance</w:t>
      </w:r>
    </w:p>
    <w:p w14:paraId="4584AD02" w14:textId="77777777" w:rsidR="00462ADD" w:rsidRDefault="00000000">
      <w:pPr>
        <w:pStyle w:val="SourceCode"/>
      </w:pPr>
      <w:r>
        <w:rPr>
          <w:rStyle w:val="VerbatimChar"/>
        </w:rPr>
        <w:t>## # A tibble: 4 × 2</w:t>
      </w:r>
      <w:r>
        <w:br/>
      </w:r>
      <w:r>
        <w:rPr>
          <w:rStyle w:val="VerbatimChar"/>
        </w:rPr>
        <w:t>##   Region Total_Sales</w:t>
      </w:r>
      <w:r>
        <w:br/>
      </w:r>
      <w:r>
        <w:rPr>
          <w:rStyle w:val="VerbatimChar"/>
        </w:rPr>
        <w:t>##   &lt;chr&gt;        &lt;int&gt;</w:t>
      </w:r>
      <w:r>
        <w:br/>
      </w:r>
      <w:r>
        <w:rPr>
          <w:rStyle w:val="VerbatimChar"/>
        </w:rPr>
        <w:t>## 1 East       1929000</w:t>
      </w:r>
      <w:r>
        <w:br/>
      </w:r>
      <w:r>
        <w:rPr>
          <w:rStyle w:val="VerbatimChar"/>
        </w:rPr>
        <w:t>## 2 North      2397000</w:t>
      </w:r>
      <w:r>
        <w:br/>
      </w:r>
      <w:r>
        <w:rPr>
          <w:rStyle w:val="VerbatimChar"/>
        </w:rPr>
        <w:t>## 3 South      2835000</w:t>
      </w:r>
      <w:r>
        <w:br/>
      </w:r>
      <w:r>
        <w:rPr>
          <w:rStyle w:val="VerbatimChar"/>
        </w:rPr>
        <w:t>## 4 West       1419000</w:t>
      </w:r>
    </w:p>
    <w:p w14:paraId="0DEDEEA3" w14:textId="77777777" w:rsidR="00462ADD" w:rsidRDefault="00000000">
      <w:pPr>
        <w:pStyle w:val="FirstParagraph"/>
      </w:pPr>
      <w:r>
        <w:rPr>
          <w:noProof/>
        </w:rPr>
        <w:lastRenderedPageBreak/>
        <w:drawing>
          <wp:inline distT="0" distB="0" distL="0" distR="0" wp14:anchorId="6A80FE8C" wp14:editId="71B2258F">
            <wp:extent cx="5334000" cy="42672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MBA-Dissertation-Presentation_files/MBA-Dissertation-Presentation_files/figure-docx/unnamed-chunk-1-1.png"/>
                    <pic:cNvPicPr>
                      <a:picLocks noChangeAspect="1" noChangeArrowheads="1"/>
                    </pic:cNvPicPr>
                  </pic:nvPicPr>
                  <pic:blipFill>
                    <a:blip r:embed="rId5"/>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rPr>
          <w:b/>
          <w:bCs/>
        </w:rPr>
        <w:t>Finding:</w:t>
      </w:r>
      <w:r>
        <w:t xml:space="preserve"> The Southern region recorded the highest total sales in 2024, followed by the North and East regions. The Western region returned the lowest revenue figures, representing a significant performance gap relative to the South.</w:t>
      </w:r>
    </w:p>
    <w:p w14:paraId="7BE88C92" w14:textId="77777777" w:rsidR="00462ADD" w:rsidRDefault="00000000">
      <w:pPr>
        <w:pStyle w:val="Heading3"/>
      </w:pPr>
      <w:bookmarkStart w:id="2" w:name="product-category-performance"/>
      <w:bookmarkEnd w:id="1"/>
      <w:r>
        <w:t>2. Product Category Performance</w:t>
      </w:r>
    </w:p>
    <w:p w14:paraId="2365C76F" w14:textId="77777777" w:rsidR="00462ADD" w:rsidRDefault="00000000">
      <w:pPr>
        <w:pStyle w:val="SourceCode"/>
      </w:pPr>
      <w:r>
        <w:rPr>
          <w:rStyle w:val="VerbatimChar"/>
        </w:rPr>
        <w:t>## # A tibble: 3 × 2</w:t>
      </w:r>
      <w:r>
        <w:br/>
      </w:r>
      <w:r>
        <w:rPr>
          <w:rStyle w:val="VerbatimChar"/>
        </w:rPr>
        <w:t>##   Product_Category Total_Sales</w:t>
      </w:r>
      <w:r>
        <w:br/>
      </w:r>
      <w:r>
        <w:rPr>
          <w:rStyle w:val="VerbatimChar"/>
        </w:rPr>
        <w:t>##   &lt;chr&gt;                  &lt;int&gt;</w:t>
      </w:r>
      <w:r>
        <w:br/>
      </w:r>
      <w:r>
        <w:rPr>
          <w:rStyle w:val="VerbatimChar"/>
        </w:rPr>
        <w:t>## 1 Appliances           2478000</w:t>
      </w:r>
      <w:r>
        <w:br/>
      </w:r>
      <w:r>
        <w:rPr>
          <w:rStyle w:val="VerbatimChar"/>
        </w:rPr>
        <w:t>## 2 Electronics          3807000</w:t>
      </w:r>
      <w:r>
        <w:br/>
      </w:r>
      <w:r>
        <w:rPr>
          <w:rStyle w:val="VerbatimChar"/>
        </w:rPr>
        <w:t>## 3 Furniture            2295000</w:t>
      </w:r>
    </w:p>
    <w:p w14:paraId="12A0B3AF" w14:textId="77777777" w:rsidR="00462ADD" w:rsidRDefault="00000000">
      <w:pPr>
        <w:pStyle w:val="FirstParagraph"/>
      </w:pPr>
      <w:r>
        <w:rPr>
          <w:noProof/>
        </w:rPr>
        <w:lastRenderedPageBreak/>
        <w:drawing>
          <wp:inline distT="0" distB="0" distL="0" distR="0" wp14:anchorId="5A57E3F2" wp14:editId="78D0A4A2">
            <wp:extent cx="5334000" cy="42672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MBA-Dissertation-Presentation_files/MBA-Dissertation-Presentation_files/figure-docx/unnamed-chunk-2-1.png"/>
                    <pic:cNvPicPr>
                      <a:picLocks noChangeAspect="1" noChangeArrowheads="1"/>
                    </pic:cNvPicPr>
                  </pic:nvPicPr>
                  <pic:blipFill>
                    <a:blip r:embed="rId6"/>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rPr>
          <w:b/>
          <w:bCs/>
        </w:rPr>
        <w:t>Finding:</w:t>
      </w:r>
      <w:r>
        <w:t xml:space="preserve"> Electronics is the dominant revenue-generating category across the organisation, followed by Appliances. Furniture consistently underperformed relative to the other categories, suggesting either subdued market demand or insufficient marketing investment.</w:t>
      </w:r>
    </w:p>
    <w:p w14:paraId="3A1A098E" w14:textId="77777777" w:rsidR="00462ADD" w:rsidRDefault="00000000">
      <w:pPr>
        <w:pStyle w:val="Heading3"/>
      </w:pPr>
      <w:bookmarkStart w:id="3" w:name="regional-performance-by-product-category"/>
      <w:bookmarkEnd w:id="2"/>
      <w:r>
        <w:t>3. Regional Performance by Product Category</w:t>
      </w:r>
    </w:p>
    <w:p w14:paraId="13ED6348" w14:textId="77777777" w:rsidR="00462ADD" w:rsidRDefault="00000000">
      <w:pPr>
        <w:pStyle w:val="SourceCode"/>
      </w:pPr>
      <w:r>
        <w:rPr>
          <w:rStyle w:val="VerbatimChar"/>
        </w:rPr>
        <w:t>## # A tibble: 12 × 3</w:t>
      </w:r>
      <w:r>
        <w:br/>
      </w:r>
      <w:r>
        <w:rPr>
          <w:rStyle w:val="VerbatimChar"/>
        </w:rPr>
        <w:t>##    Region Product_Category Total_Sales</w:t>
      </w:r>
      <w:r>
        <w:br/>
      </w:r>
      <w:r>
        <w:rPr>
          <w:rStyle w:val="VerbatimChar"/>
        </w:rPr>
        <w:t>##    &lt;chr&gt;  &lt;chr&gt;                  &lt;int&gt;</w:t>
      </w:r>
      <w:r>
        <w:br/>
      </w:r>
      <w:r>
        <w:rPr>
          <w:rStyle w:val="VerbatimChar"/>
        </w:rPr>
        <w:t>##  1 East   Appliances            465000</w:t>
      </w:r>
      <w:r>
        <w:br/>
      </w:r>
      <w:r>
        <w:rPr>
          <w:rStyle w:val="VerbatimChar"/>
        </w:rPr>
        <w:t>##  2 East   Electronics           672000</w:t>
      </w:r>
      <w:r>
        <w:br/>
      </w:r>
      <w:r>
        <w:rPr>
          <w:rStyle w:val="VerbatimChar"/>
        </w:rPr>
        <w:t>##  3 East   Furniture             792000</w:t>
      </w:r>
      <w:r>
        <w:br/>
      </w:r>
      <w:r>
        <w:rPr>
          <w:rStyle w:val="VerbatimChar"/>
        </w:rPr>
        <w:t>##  4 North  Appliances            441000</w:t>
      </w:r>
      <w:r>
        <w:br/>
      </w:r>
      <w:r>
        <w:rPr>
          <w:rStyle w:val="VerbatimChar"/>
        </w:rPr>
        <w:t>##  5 North  Electronics          1116000</w:t>
      </w:r>
      <w:r>
        <w:br/>
      </w:r>
      <w:r>
        <w:rPr>
          <w:rStyle w:val="VerbatimChar"/>
        </w:rPr>
        <w:t>##  6 North  Furniture             840000</w:t>
      </w:r>
      <w:r>
        <w:br/>
      </w:r>
      <w:r>
        <w:rPr>
          <w:rStyle w:val="VerbatimChar"/>
        </w:rPr>
        <w:t>##  7 South  Appliances           1089000</w:t>
      </w:r>
      <w:r>
        <w:br/>
      </w:r>
      <w:r>
        <w:rPr>
          <w:rStyle w:val="VerbatimChar"/>
        </w:rPr>
        <w:t>##  8 South  Electronics          1431000</w:t>
      </w:r>
      <w:r>
        <w:br/>
      </w:r>
      <w:r>
        <w:rPr>
          <w:rStyle w:val="VerbatimChar"/>
        </w:rPr>
        <w:t>##  9 South  Furniture             315000</w:t>
      </w:r>
      <w:r>
        <w:br/>
      </w:r>
      <w:r>
        <w:rPr>
          <w:rStyle w:val="VerbatimChar"/>
        </w:rPr>
        <w:t>## 10 West   Appliances            483000</w:t>
      </w:r>
      <w:r>
        <w:br/>
      </w:r>
      <w:r>
        <w:rPr>
          <w:rStyle w:val="VerbatimChar"/>
        </w:rPr>
        <w:t>## 11 West   Electronics           588000</w:t>
      </w:r>
      <w:r>
        <w:br/>
      </w:r>
      <w:r>
        <w:rPr>
          <w:rStyle w:val="VerbatimChar"/>
        </w:rPr>
        <w:t>## 12 West   Furniture             348000</w:t>
      </w:r>
    </w:p>
    <w:p w14:paraId="15067AB4" w14:textId="77777777" w:rsidR="00462ADD" w:rsidRDefault="00000000">
      <w:pPr>
        <w:pStyle w:val="FirstParagraph"/>
      </w:pPr>
      <w:r>
        <w:rPr>
          <w:noProof/>
        </w:rPr>
        <w:lastRenderedPageBreak/>
        <w:drawing>
          <wp:inline distT="0" distB="0" distL="0" distR="0" wp14:anchorId="7748E65D" wp14:editId="42BA863B">
            <wp:extent cx="5334000" cy="42672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MBA-Dissertation-Presentation_files/MBA-Dissertation-Presentation_files/figure-docx/unnamed-chunk-3-1.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rPr>
          <w:b/>
          <w:bCs/>
        </w:rPr>
        <w:t>Finding:</w:t>
      </w:r>
      <w:r>
        <w:t xml:space="preserve"> Electronics leads revenue in all regions with the exception of the East, where Furniture records the highest category sales. This regional anomaly indicates distinct consumer purchasing behaviour in the East that warrants further market investigation.</w:t>
      </w:r>
    </w:p>
    <w:p w14:paraId="349E120D" w14:textId="77777777" w:rsidR="00462ADD" w:rsidRDefault="00000000">
      <w:pPr>
        <w:pStyle w:val="Heading2"/>
      </w:pPr>
      <w:bookmarkStart w:id="4" w:name="sales-representative-target-achievement"/>
      <w:bookmarkEnd w:id="0"/>
      <w:bookmarkEnd w:id="3"/>
      <w:r>
        <w:t>4. Sales Representative Target Achievement</w:t>
      </w:r>
    </w:p>
    <w:p w14:paraId="2F273B37" w14:textId="77777777" w:rsidR="00462ADD" w:rsidRDefault="00000000">
      <w:pPr>
        <w:pStyle w:val="SourceCode"/>
      </w:pPr>
      <w:r>
        <w:rPr>
          <w:rStyle w:val="VerbatimChar"/>
        </w:rPr>
        <w:t>## # A tibble: 17 × 4</w:t>
      </w:r>
      <w:r>
        <w:br/>
      </w:r>
      <w:r>
        <w:rPr>
          <w:rStyle w:val="VerbatimChar"/>
        </w:rPr>
        <w:t>##    Sales_Rep      Total_Sales Target Target_Met</w:t>
      </w:r>
      <w:r>
        <w:br/>
      </w:r>
      <w:r>
        <w:rPr>
          <w:rStyle w:val="VerbatimChar"/>
        </w:rPr>
        <w:t xml:space="preserve">##    &lt;chr&gt;                &lt;int&gt;  &lt;dbl&gt; &lt;chr&gt;     </w:t>
      </w:r>
      <w:r>
        <w:br/>
      </w:r>
      <w:r>
        <w:rPr>
          <w:rStyle w:val="VerbatimChar"/>
        </w:rPr>
        <w:t xml:space="preserve">##  1 Alice Kamau         630000 200000 Met       </w:t>
      </w:r>
      <w:r>
        <w:br/>
      </w:r>
      <w:r>
        <w:rPr>
          <w:rStyle w:val="VerbatimChar"/>
        </w:rPr>
        <w:t xml:space="preserve">##  2 Bob Osei            486000 200000 Met       </w:t>
      </w:r>
      <w:r>
        <w:br/>
      </w:r>
      <w:r>
        <w:rPr>
          <w:rStyle w:val="VerbatimChar"/>
        </w:rPr>
        <w:t xml:space="preserve">##  3 Carol Mensah        405000 140000 Met       </w:t>
      </w:r>
      <w:r>
        <w:br/>
      </w:r>
      <w:r>
        <w:rPr>
          <w:rStyle w:val="VerbatimChar"/>
        </w:rPr>
        <w:t xml:space="preserve">##  4 Daniel Agyei        441000 150000 Met       </w:t>
      </w:r>
      <w:r>
        <w:br/>
      </w:r>
      <w:r>
        <w:rPr>
          <w:rStyle w:val="VerbatimChar"/>
        </w:rPr>
        <w:t xml:space="preserve">##  5 David Nkosi         747000 240000 Met       </w:t>
      </w:r>
      <w:r>
        <w:br/>
      </w:r>
      <w:r>
        <w:rPr>
          <w:rStyle w:val="VerbatimChar"/>
        </w:rPr>
        <w:t xml:space="preserve">##  6 Eve Boateng         315000 110000 Met       </w:t>
      </w:r>
      <w:r>
        <w:br/>
      </w:r>
      <w:r>
        <w:rPr>
          <w:rStyle w:val="VerbatimChar"/>
        </w:rPr>
        <w:t xml:space="preserve">##  7 Frank Okafor        510000 170000 Met       </w:t>
      </w:r>
      <w:r>
        <w:br/>
      </w:r>
      <w:r>
        <w:rPr>
          <w:rStyle w:val="VerbatimChar"/>
        </w:rPr>
        <w:t xml:space="preserve">##  8 Grace Adjei         684000 220000 Met       </w:t>
      </w:r>
      <w:r>
        <w:br/>
      </w:r>
      <w:r>
        <w:rPr>
          <w:rStyle w:val="VerbatimChar"/>
        </w:rPr>
        <w:t xml:space="preserve">##  9 Henry Darko         366000 125000 Met       </w:t>
      </w:r>
      <w:r>
        <w:br/>
      </w:r>
      <w:r>
        <w:rPr>
          <w:rStyle w:val="VerbatimChar"/>
        </w:rPr>
        <w:t xml:space="preserve">## 10 Irene Asante        672000 220000 Met       </w:t>
      </w:r>
      <w:r>
        <w:br/>
      </w:r>
      <w:r>
        <w:rPr>
          <w:rStyle w:val="VerbatimChar"/>
        </w:rPr>
        <w:t xml:space="preserve">## 11 James Owusu         465000 155000 Met       </w:t>
      </w:r>
      <w:r>
        <w:br/>
      </w:r>
      <w:r>
        <w:rPr>
          <w:rStyle w:val="VerbatimChar"/>
        </w:rPr>
        <w:t xml:space="preserve">## 12 Karen Bediako       426000 145000 Met       </w:t>
      </w:r>
      <w:r>
        <w:br/>
      </w:r>
      <w:r>
        <w:rPr>
          <w:rStyle w:val="VerbatimChar"/>
        </w:rPr>
        <w:t xml:space="preserve">## 13 Leo Amponsah        588000 200000 Met       </w:t>
      </w:r>
      <w:r>
        <w:br/>
      </w:r>
      <w:r>
        <w:rPr>
          <w:rStyle w:val="VerbatimChar"/>
        </w:rPr>
        <w:t xml:space="preserve">## 14 Mary Tetteh         483000 160000 Met       </w:t>
      </w:r>
      <w:r>
        <w:br/>
      </w:r>
      <w:r>
        <w:rPr>
          <w:rStyle w:val="VerbatimChar"/>
        </w:rPr>
        <w:t xml:space="preserve">## 15 Nathan Quaye        348000 120000 Met       </w:t>
      </w:r>
      <w:r>
        <w:br/>
      </w:r>
      <w:r>
        <w:rPr>
          <w:rStyle w:val="VerbatimChar"/>
        </w:rPr>
        <w:lastRenderedPageBreak/>
        <w:t xml:space="preserve">## 16 Olivia Sarpong      435000 145000 Met       </w:t>
      </w:r>
      <w:r>
        <w:br/>
      </w:r>
      <w:r>
        <w:rPr>
          <w:rStyle w:val="VerbatimChar"/>
        </w:rPr>
        <w:t>## 17 Peter Antwi         579000 185000 Met</w:t>
      </w:r>
    </w:p>
    <w:p w14:paraId="0F177331" w14:textId="77777777" w:rsidR="00462ADD" w:rsidRDefault="00000000">
      <w:pPr>
        <w:pStyle w:val="FirstParagraph"/>
      </w:pPr>
      <w:r>
        <w:rPr>
          <w:noProof/>
        </w:rPr>
        <w:drawing>
          <wp:inline distT="0" distB="0" distL="0" distR="0" wp14:anchorId="08BC566F" wp14:editId="3C4CA15D">
            <wp:extent cx="5334000" cy="42672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MBA-Dissertation-Presentation_files/MBA-Dissertation-Presentation_files/figure-docx/unnamed-chunk-4-1.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14:paraId="11AAD9D9" w14:textId="77777777" w:rsidR="00462ADD" w:rsidRDefault="00000000">
      <w:pPr>
        <w:pStyle w:val="BodyText"/>
      </w:pPr>
      <w:r>
        <w:rPr>
          <w:b/>
          <w:bCs/>
        </w:rPr>
        <w:t>Finding:</w:t>
      </w:r>
      <w:r>
        <w:t xml:space="preserve"> All ten sales representatives met their annual targets in 2024, reflecting strong individual performance across the organisation. The red dashed line denotes the average target threshold.</w:t>
      </w:r>
    </w:p>
    <w:p w14:paraId="62741267" w14:textId="77777777" w:rsidR="00462ADD" w:rsidRDefault="00000000">
      <w:pPr>
        <w:pStyle w:val="Heading3"/>
      </w:pPr>
      <w:bookmarkStart w:id="5" w:name="strategic-recommendations"/>
      <w:r>
        <w:t>5. Strategic Recommendations</w:t>
      </w:r>
    </w:p>
    <w:p w14:paraId="19F2D894" w14:textId="77777777" w:rsidR="00462ADD" w:rsidRDefault="00000000">
      <w:pPr>
        <w:pStyle w:val="FirstParagraph"/>
      </w:pPr>
      <w:r>
        <w:rPr>
          <w:b/>
          <w:bCs/>
        </w:rPr>
        <w:t>1. Invest further in the Southern region</w:t>
      </w:r>
      <w:r>
        <w:t xml:space="preserve"> The South demonstrates the strongest sales performance and should receive increased marketing budget and headcount to sustain and accelerate growth.</w:t>
      </w:r>
    </w:p>
    <w:p w14:paraId="146B7378" w14:textId="77777777" w:rsidR="00462ADD" w:rsidRDefault="00000000">
      <w:pPr>
        <w:pStyle w:val="BodyText"/>
      </w:pPr>
      <w:r>
        <w:rPr>
          <w:b/>
          <w:bCs/>
        </w:rPr>
        <w:t>2. Investigate and support the Western region</w:t>
      </w:r>
      <w:r>
        <w:t xml:space="preserve"> The West recorded the lowest sales across all categories. A targeted performance review, additional training, and increased marketing spend are recommended to close the gap with other regions.</w:t>
      </w:r>
    </w:p>
    <w:p w14:paraId="793983EE" w14:textId="77777777" w:rsidR="00462ADD" w:rsidRDefault="00000000">
      <w:pPr>
        <w:pStyle w:val="BodyText"/>
      </w:pPr>
      <w:r>
        <w:rPr>
          <w:b/>
          <w:bCs/>
        </w:rPr>
        <w:t>3. Prioritise Electronics across all regions</w:t>
      </w:r>
      <w:r>
        <w:t xml:space="preserve"> As the highest-grossing category organisation-wide, Electronics should remain the focal point of procurement, promotions, and sales incentive programmes.</w:t>
      </w:r>
    </w:p>
    <w:p w14:paraId="2E872A49" w14:textId="77777777" w:rsidR="00462ADD" w:rsidRDefault="00000000">
      <w:pPr>
        <w:pStyle w:val="BodyText"/>
      </w:pPr>
      <w:r>
        <w:rPr>
          <w:b/>
          <w:bCs/>
        </w:rPr>
        <w:lastRenderedPageBreak/>
        <w:t>4. Conduct consumer research in the East</w:t>
      </w:r>
      <w:r>
        <w:t xml:space="preserve"> The preference for Furniture over Electronics in the East is a distinctive behavioural pattern. Dedicated market research would clarify whether this reflects demographic differences, pricing sensitivity, or competitor dynamics.</w:t>
      </w:r>
    </w:p>
    <w:p w14:paraId="126E10DB" w14:textId="77777777" w:rsidR="00462ADD" w:rsidRDefault="00000000">
      <w:pPr>
        <w:pStyle w:val="BodyText"/>
      </w:pPr>
      <w:r>
        <w:rPr>
          <w:b/>
          <w:bCs/>
        </w:rPr>
        <w:t>5. Review annual sales targets</w:t>
      </w:r>
      <w:r>
        <w:t xml:space="preserve"> Given that all representatives achieved their targets, leadership should consider revising targets upward to maintain performance motivation and drive incremental revenue growth.</w:t>
      </w:r>
    </w:p>
    <w:p w14:paraId="23896F56" w14:textId="77777777" w:rsidR="00462ADD" w:rsidRDefault="00000000">
      <w:pPr>
        <w:pStyle w:val="BodyText"/>
      </w:pPr>
      <w:r>
        <w:t>*Report prepared by Patricia Mugabe</w:t>
      </w:r>
      <w:bookmarkEnd w:id="4"/>
      <w:bookmarkEnd w:id="5"/>
    </w:p>
    <w:sectPr w:rsidR="00462AD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368EB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71467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ADD"/>
    <w:rsid w:val="00181156"/>
    <w:rsid w:val="00247908"/>
    <w:rsid w:val="00462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28B9EC"/>
  <w15:docId w15:val="{961D0316-1D26-0947-946D-A4AA3EFC9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701</Words>
  <Characters>4001</Characters>
  <Application>Microsoft Office Word</Application>
  <DocSecurity>0</DocSecurity>
  <Lines>33</Lines>
  <Paragraphs>9</Paragraphs>
  <ScaleCrop>false</ScaleCrop>
  <Company/>
  <LinksUpToDate>false</LinksUpToDate>
  <CharactersWithSpaces>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Sales Performance Analysis</dc:title>
  <dc:creator>Patricia Mugabe</dc:creator>
  <cp:keywords/>
  <cp:lastModifiedBy>Patricia Mugabe</cp:lastModifiedBy>
  <cp:revision>2</cp:revision>
  <dcterms:created xsi:type="dcterms:W3CDTF">2026-05-25T07:00:00Z</dcterms:created>
  <dcterms:modified xsi:type="dcterms:W3CDTF">2026-05-25T07:00:00Z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2026-05-25</vt:lpwstr>
  </property>
  <property fmtid="{D5CDD505-2E9C-101B-9397-08002B2CF9AE}" pid="3" name="output">
    <vt:lpwstr/>
  </property>
</Properties>
</file>