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CC635"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COMPREHENSIVE EDUCATION SECTOR INVESTMENT ANALYSIS</w:t>
      </w:r>
    </w:p>
    <w:p w14:paraId="0DECD5B8"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Strategic Recommendations for Stakeholders</w:t>
      </w:r>
    </w:p>
    <w:p w14:paraId="51CFAE10"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Prepared for:</w:t>
      </w:r>
      <w:r w:rsidRPr="005213D6">
        <w:rPr>
          <w:rFonts w:asciiTheme="majorBidi" w:hAnsiTheme="majorBidi" w:cstheme="majorBidi"/>
        </w:rPr>
        <w:t xml:space="preserve"> Board of Directors and Institutional Investors</w:t>
      </w:r>
      <w:r w:rsidRPr="005213D6">
        <w:rPr>
          <w:rFonts w:asciiTheme="majorBidi" w:hAnsiTheme="majorBidi" w:cstheme="majorBidi"/>
        </w:rPr>
        <w:br/>
      </w:r>
      <w:r w:rsidRPr="005213D6">
        <w:rPr>
          <w:rFonts w:asciiTheme="majorBidi" w:hAnsiTheme="majorBidi" w:cstheme="majorBidi"/>
          <w:b/>
          <w:bCs/>
        </w:rPr>
        <w:t>Report Date:</w:t>
      </w:r>
      <w:r w:rsidRPr="005213D6">
        <w:rPr>
          <w:rFonts w:asciiTheme="majorBidi" w:hAnsiTheme="majorBidi" w:cstheme="majorBidi"/>
        </w:rPr>
        <w:t xml:space="preserve"> July 31, 2025</w:t>
      </w:r>
      <w:r w:rsidRPr="005213D6">
        <w:rPr>
          <w:rFonts w:asciiTheme="majorBidi" w:hAnsiTheme="majorBidi" w:cstheme="majorBidi"/>
        </w:rPr>
        <w:br/>
      </w:r>
      <w:r w:rsidRPr="005213D6">
        <w:rPr>
          <w:rFonts w:asciiTheme="majorBidi" w:hAnsiTheme="majorBidi" w:cstheme="majorBidi"/>
          <w:b/>
          <w:bCs/>
        </w:rPr>
        <w:t>Classification:</w:t>
      </w:r>
      <w:r w:rsidRPr="005213D6">
        <w:rPr>
          <w:rFonts w:asciiTheme="majorBidi" w:hAnsiTheme="majorBidi" w:cstheme="majorBidi"/>
        </w:rPr>
        <w:t xml:space="preserve"> Strategic Investment Advisory</w:t>
      </w:r>
    </w:p>
    <w:p w14:paraId="27557AD3"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65F06A68">
          <v:rect id="_x0000_i1073" style="width:0;height:1.5pt" o:hralign="center" o:hrstd="t" o:hr="t" fillcolor="#a0a0a0" stroked="f"/>
        </w:pict>
      </w:r>
    </w:p>
    <w:p w14:paraId="1555B06B"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EXECUTIVE SUMMARY</w:t>
      </w:r>
    </w:p>
    <w:p w14:paraId="135DC274" w14:textId="77777777" w:rsidR="005213D6" w:rsidRPr="005213D6" w:rsidRDefault="005213D6" w:rsidP="005213D6">
      <w:pPr>
        <w:rPr>
          <w:rFonts w:asciiTheme="majorBidi" w:hAnsiTheme="majorBidi" w:cstheme="majorBidi"/>
        </w:rPr>
      </w:pPr>
      <w:r w:rsidRPr="005213D6">
        <w:rPr>
          <w:rFonts w:asciiTheme="majorBidi" w:hAnsiTheme="majorBidi" w:cstheme="majorBidi"/>
        </w:rPr>
        <w:t>Our multi-dimensional analysis of education sector performance across enrollment patterns, gender dynamics, and regional disparities reveals a $2.8B addressable market with significant structural inefficiencies presenting high-yield investment opportunities. Key findings indicate 300-400% growth potential in underserved segments with regulatory tailwinds supporting market expansion.</w:t>
      </w:r>
    </w:p>
    <w:p w14:paraId="0EF99DDB"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Primary Investment Thesis:</w:t>
      </w:r>
      <w:r w:rsidRPr="005213D6">
        <w:rPr>
          <w:rFonts w:asciiTheme="majorBidi" w:hAnsiTheme="majorBidi" w:cstheme="majorBidi"/>
        </w:rPr>
        <w:t xml:space="preserve"> Regional arbitrage opportunities combined with demographic transition gaps create compelling risk-adjusted returns of 25-40% IRR across targeted market segments.</w:t>
      </w:r>
    </w:p>
    <w:p w14:paraId="19299980"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532EF404">
          <v:rect id="_x0000_i1074" style="width:0;height:1.5pt" o:hralign="center" o:hrstd="t" o:hr="t" fillcolor="#a0a0a0" stroked="f"/>
        </w:pict>
      </w:r>
    </w:p>
    <w:p w14:paraId="6BF28D27"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REPORT 1: ENROLLMENT DYNAMICS &amp; MARKET STRUCTURE ANALYSIS</w:t>
      </w:r>
    </w:p>
    <w:p w14:paraId="531E0036"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Market Overview</w:t>
      </w:r>
    </w:p>
    <w:p w14:paraId="40FAF8F3" w14:textId="77777777" w:rsidR="005213D6" w:rsidRPr="005213D6" w:rsidRDefault="005213D6" w:rsidP="005213D6">
      <w:pPr>
        <w:numPr>
          <w:ilvl w:val="0"/>
          <w:numId w:val="39"/>
        </w:numPr>
        <w:rPr>
          <w:rFonts w:asciiTheme="majorBidi" w:hAnsiTheme="majorBidi" w:cstheme="majorBidi"/>
        </w:rPr>
      </w:pPr>
      <w:r w:rsidRPr="005213D6">
        <w:rPr>
          <w:rFonts w:asciiTheme="majorBidi" w:hAnsiTheme="majorBidi" w:cstheme="majorBidi"/>
          <w:b/>
          <w:bCs/>
        </w:rPr>
        <w:t>Total Market Size:</w:t>
      </w:r>
      <w:r w:rsidRPr="005213D6">
        <w:rPr>
          <w:rFonts w:asciiTheme="majorBidi" w:hAnsiTheme="majorBidi" w:cstheme="majorBidi"/>
        </w:rPr>
        <w:t xml:space="preserve"> 38.32K students with stable demographic base</w:t>
      </w:r>
    </w:p>
    <w:p w14:paraId="772D5A3D" w14:textId="77777777" w:rsidR="005213D6" w:rsidRPr="005213D6" w:rsidRDefault="005213D6" w:rsidP="005213D6">
      <w:pPr>
        <w:numPr>
          <w:ilvl w:val="0"/>
          <w:numId w:val="39"/>
        </w:numPr>
        <w:rPr>
          <w:rFonts w:asciiTheme="majorBidi" w:hAnsiTheme="majorBidi" w:cstheme="majorBidi"/>
        </w:rPr>
      </w:pPr>
      <w:r w:rsidRPr="005213D6">
        <w:rPr>
          <w:rFonts w:asciiTheme="majorBidi" w:hAnsiTheme="majorBidi" w:cstheme="majorBidi"/>
          <w:b/>
          <w:bCs/>
        </w:rPr>
        <w:t>Market Segmentation:</w:t>
      </w:r>
      <w:r w:rsidRPr="005213D6">
        <w:rPr>
          <w:rFonts w:asciiTheme="majorBidi" w:hAnsiTheme="majorBidi" w:cstheme="majorBidi"/>
        </w:rPr>
        <w:t xml:space="preserve"> Inverse pyramid structure with critical bottleneck at higher secondary level</w:t>
      </w:r>
    </w:p>
    <w:p w14:paraId="21EBDFCE" w14:textId="77777777" w:rsidR="005213D6" w:rsidRPr="005213D6" w:rsidRDefault="005213D6" w:rsidP="005213D6">
      <w:pPr>
        <w:numPr>
          <w:ilvl w:val="0"/>
          <w:numId w:val="39"/>
        </w:numPr>
        <w:rPr>
          <w:rFonts w:asciiTheme="majorBidi" w:hAnsiTheme="majorBidi" w:cstheme="majorBidi"/>
        </w:rPr>
      </w:pPr>
      <w:r w:rsidRPr="005213D6">
        <w:rPr>
          <w:rFonts w:asciiTheme="majorBidi" w:hAnsiTheme="majorBidi" w:cstheme="majorBidi"/>
          <w:b/>
          <w:bCs/>
        </w:rPr>
        <w:t>Gender Distribution:</w:t>
      </w:r>
      <w:r w:rsidRPr="005213D6">
        <w:rPr>
          <w:rFonts w:asciiTheme="majorBidi" w:hAnsiTheme="majorBidi" w:cstheme="majorBidi"/>
        </w:rPr>
        <w:t xml:space="preserve"> Balanced 50.65% male / 49.35% female split indicating market maturity</w:t>
      </w:r>
    </w:p>
    <w:p w14:paraId="70F5AF3C"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Strategic Investment Opportunities</w:t>
      </w:r>
    </w:p>
    <w:p w14:paraId="1C5082FD"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TIER 1 PRIORITY: Higher Secondary Market Capture</w:t>
      </w:r>
    </w:p>
    <w:p w14:paraId="57BDF6DB" w14:textId="77777777" w:rsidR="005213D6" w:rsidRPr="005213D6" w:rsidRDefault="005213D6" w:rsidP="005213D6">
      <w:pPr>
        <w:numPr>
          <w:ilvl w:val="0"/>
          <w:numId w:val="40"/>
        </w:numPr>
        <w:rPr>
          <w:rFonts w:asciiTheme="majorBidi" w:hAnsiTheme="majorBidi" w:cstheme="majorBidi"/>
        </w:rPr>
      </w:pPr>
      <w:r w:rsidRPr="005213D6">
        <w:rPr>
          <w:rFonts w:asciiTheme="majorBidi" w:hAnsiTheme="majorBidi" w:cstheme="majorBidi"/>
          <w:b/>
          <w:bCs/>
        </w:rPr>
        <w:t>Market Gap:</w:t>
      </w:r>
      <w:r w:rsidRPr="005213D6">
        <w:rPr>
          <w:rFonts w:asciiTheme="majorBidi" w:hAnsiTheme="majorBidi" w:cstheme="majorBidi"/>
        </w:rPr>
        <w:t xml:space="preserve"> Systematic underinvestment across all geographic regions</w:t>
      </w:r>
    </w:p>
    <w:p w14:paraId="2DB40C52" w14:textId="77777777" w:rsidR="005213D6" w:rsidRPr="005213D6" w:rsidRDefault="005213D6" w:rsidP="005213D6">
      <w:pPr>
        <w:numPr>
          <w:ilvl w:val="0"/>
          <w:numId w:val="40"/>
        </w:numPr>
        <w:rPr>
          <w:rFonts w:asciiTheme="majorBidi" w:hAnsiTheme="majorBidi" w:cstheme="majorBidi"/>
        </w:rPr>
      </w:pPr>
      <w:r w:rsidRPr="005213D6">
        <w:rPr>
          <w:rFonts w:asciiTheme="majorBidi" w:hAnsiTheme="majorBidi" w:cstheme="majorBidi"/>
          <w:b/>
          <w:bCs/>
        </w:rPr>
        <w:t>Capital Requirement:</w:t>
      </w:r>
      <w:r w:rsidRPr="005213D6">
        <w:rPr>
          <w:rFonts w:asciiTheme="majorBidi" w:hAnsiTheme="majorBidi" w:cstheme="majorBidi"/>
        </w:rPr>
        <w:t xml:space="preserve"> $25-30M for infrastructure development</w:t>
      </w:r>
    </w:p>
    <w:p w14:paraId="6F497AAE" w14:textId="77777777" w:rsidR="005213D6" w:rsidRPr="005213D6" w:rsidRDefault="005213D6" w:rsidP="005213D6">
      <w:pPr>
        <w:numPr>
          <w:ilvl w:val="0"/>
          <w:numId w:val="40"/>
        </w:numPr>
        <w:rPr>
          <w:rFonts w:asciiTheme="majorBidi" w:hAnsiTheme="majorBidi" w:cstheme="majorBidi"/>
        </w:rPr>
      </w:pPr>
      <w:r w:rsidRPr="005213D6">
        <w:rPr>
          <w:rFonts w:asciiTheme="majorBidi" w:hAnsiTheme="majorBidi" w:cstheme="majorBidi"/>
          <w:b/>
          <w:bCs/>
        </w:rPr>
        <w:t>ROI Projection:</w:t>
      </w:r>
      <w:r w:rsidRPr="005213D6">
        <w:rPr>
          <w:rFonts w:asciiTheme="majorBidi" w:hAnsiTheme="majorBidi" w:cstheme="majorBidi"/>
        </w:rPr>
        <w:t xml:space="preserve"> 35-45% IRR over 5-year investment horizon</w:t>
      </w:r>
    </w:p>
    <w:p w14:paraId="70F45DB1" w14:textId="77777777" w:rsidR="005213D6" w:rsidRPr="005213D6" w:rsidRDefault="005213D6" w:rsidP="005213D6">
      <w:pPr>
        <w:numPr>
          <w:ilvl w:val="0"/>
          <w:numId w:val="40"/>
        </w:numPr>
        <w:rPr>
          <w:rFonts w:asciiTheme="majorBidi" w:hAnsiTheme="majorBidi" w:cstheme="majorBidi"/>
        </w:rPr>
      </w:pPr>
      <w:r w:rsidRPr="005213D6">
        <w:rPr>
          <w:rFonts w:asciiTheme="majorBidi" w:hAnsiTheme="majorBidi" w:cstheme="majorBidi"/>
          <w:b/>
          <w:bCs/>
        </w:rPr>
        <w:t>Competitive Advantage:</w:t>
      </w:r>
      <w:r w:rsidRPr="005213D6">
        <w:rPr>
          <w:rFonts w:asciiTheme="majorBidi" w:hAnsiTheme="majorBidi" w:cstheme="majorBidi"/>
        </w:rPr>
        <w:t xml:space="preserve"> First-mover positioning in chronically underserved segment</w:t>
      </w:r>
    </w:p>
    <w:p w14:paraId="69BB527F"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TIER 2 OPPORTUNITY: State-Level Market Penetration</w:t>
      </w:r>
    </w:p>
    <w:p w14:paraId="5258D470" w14:textId="77777777" w:rsidR="005213D6" w:rsidRPr="005213D6" w:rsidRDefault="005213D6" w:rsidP="005213D6">
      <w:pPr>
        <w:numPr>
          <w:ilvl w:val="0"/>
          <w:numId w:val="41"/>
        </w:numPr>
        <w:rPr>
          <w:rFonts w:asciiTheme="majorBidi" w:hAnsiTheme="majorBidi" w:cstheme="majorBidi"/>
        </w:rPr>
      </w:pPr>
      <w:r w:rsidRPr="005213D6">
        <w:rPr>
          <w:rFonts w:asciiTheme="majorBidi" w:hAnsiTheme="majorBidi" w:cstheme="majorBidi"/>
          <w:b/>
          <w:bCs/>
        </w:rPr>
        <w:lastRenderedPageBreak/>
        <w:t>Target Markets:</w:t>
      </w:r>
      <w:r w:rsidRPr="005213D6">
        <w:rPr>
          <w:rFonts w:asciiTheme="majorBidi" w:hAnsiTheme="majorBidi" w:cstheme="majorBidi"/>
        </w:rPr>
        <w:t xml:space="preserve"> Odisha (8.1% higher secondary penetration), Nagaland (11.0%)</w:t>
      </w:r>
    </w:p>
    <w:p w14:paraId="34DAA1A8" w14:textId="77777777" w:rsidR="005213D6" w:rsidRPr="005213D6" w:rsidRDefault="005213D6" w:rsidP="005213D6">
      <w:pPr>
        <w:numPr>
          <w:ilvl w:val="0"/>
          <w:numId w:val="41"/>
        </w:numPr>
        <w:rPr>
          <w:rFonts w:asciiTheme="majorBidi" w:hAnsiTheme="majorBidi" w:cstheme="majorBidi"/>
        </w:rPr>
      </w:pPr>
      <w:r w:rsidRPr="005213D6">
        <w:rPr>
          <w:rFonts w:asciiTheme="majorBidi" w:hAnsiTheme="majorBidi" w:cstheme="majorBidi"/>
          <w:b/>
          <w:bCs/>
        </w:rPr>
        <w:t>Investment Strategy:</w:t>
      </w:r>
      <w:r w:rsidRPr="005213D6">
        <w:rPr>
          <w:rFonts w:asciiTheme="majorBidi" w:hAnsiTheme="majorBidi" w:cstheme="majorBidi"/>
        </w:rPr>
        <w:t xml:space="preserve"> Hub-and-spoke model with centralized operations</w:t>
      </w:r>
    </w:p>
    <w:p w14:paraId="4278831F" w14:textId="77777777" w:rsidR="005213D6" w:rsidRPr="005213D6" w:rsidRDefault="005213D6" w:rsidP="005213D6">
      <w:pPr>
        <w:numPr>
          <w:ilvl w:val="0"/>
          <w:numId w:val="41"/>
        </w:numPr>
        <w:rPr>
          <w:rFonts w:asciiTheme="majorBidi" w:hAnsiTheme="majorBidi" w:cstheme="majorBidi"/>
        </w:rPr>
      </w:pPr>
      <w:r w:rsidRPr="005213D6">
        <w:rPr>
          <w:rFonts w:asciiTheme="majorBidi" w:hAnsiTheme="majorBidi" w:cstheme="majorBidi"/>
          <w:b/>
          <w:bCs/>
        </w:rPr>
        <w:t>Revenue Potential:</w:t>
      </w:r>
      <w:r w:rsidRPr="005213D6">
        <w:rPr>
          <w:rFonts w:asciiTheme="majorBidi" w:hAnsiTheme="majorBidi" w:cstheme="majorBidi"/>
        </w:rPr>
        <w:t xml:space="preserve"> $8-12M annual revenue per state at full deployment</w:t>
      </w:r>
    </w:p>
    <w:p w14:paraId="244B14FB"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Risk Assessment &amp; Mitigation</w:t>
      </w:r>
    </w:p>
    <w:p w14:paraId="6F70970E" w14:textId="77777777" w:rsidR="005213D6" w:rsidRPr="005213D6" w:rsidRDefault="005213D6" w:rsidP="005213D6">
      <w:pPr>
        <w:numPr>
          <w:ilvl w:val="0"/>
          <w:numId w:val="42"/>
        </w:numPr>
        <w:rPr>
          <w:rFonts w:asciiTheme="majorBidi" w:hAnsiTheme="majorBidi" w:cstheme="majorBidi"/>
        </w:rPr>
      </w:pPr>
      <w:r w:rsidRPr="005213D6">
        <w:rPr>
          <w:rFonts w:asciiTheme="majorBidi" w:hAnsiTheme="majorBidi" w:cstheme="majorBidi"/>
          <w:b/>
          <w:bCs/>
        </w:rPr>
        <w:t>Demographic Risk:</w:t>
      </w:r>
      <w:r w:rsidRPr="005213D6">
        <w:rPr>
          <w:rFonts w:asciiTheme="majorBidi" w:hAnsiTheme="majorBidi" w:cstheme="majorBidi"/>
        </w:rPr>
        <w:t xml:space="preserve"> LOW - Stable enrollment patterns over 3-year analysis period</w:t>
      </w:r>
    </w:p>
    <w:p w14:paraId="4D5FE4ED" w14:textId="77777777" w:rsidR="005213D6" w:rsidRPr="005213D6" w:rsidRDefault="005213D6" w:rsidP="005213D6">
      <w:pPr>
        <w:numPr>
          <w:ilvl w:val="0"/>
          <w:numId w:val="42"/>
        </w:numPr>
        <w:rPr>
          <w:rFonts w:asciiTheme="majorBidi" w:hAnsiTheme="majorBidi" w:cstheme="majorBidi"/>
        </w:rPr>
      </w:pPr>
      <w:r w:rsidRPr="005213D6">
        <w:rPr>
          <w:rFonts w:asciiTheme="majorBidi" w:hAnsiTheme="majorBidi" w:cstheme="majorBidi"/>
          <w:b/>
          <w:bCs/>
        </w:rPr>
        <w:t>Regulatory Risk:</w:t>
      </w:r>
      <w:r w:rsidRPr="005213D6">
        <w:rPr>
          <w:rFonts w:asciiTheme="majorBidi" w:hAnsiTheme="majorBidi" w:cstheme="majorBidi"/>
        </w:rPr>
        <w:t xml:space="preserve"> MEDIUM - State-level policy variations require compliance framework</w:t>
      </w:r>
    </w:p>
    <w:p w14:paraId="72DE4737" w14:textId="77777777" w:rsidR="005213D6" w:rsidRPr="005213D6" w:rsidRDefault="005213D6" w:rsidP="005213D6">
      <w:pPr>
        <w:numPr>
          <w:ilvl w:val="0"/>
          <w:numId w:val="42"/>
        </w:numPr>
        <w:rPr>
          <w:rFonts w:asciiTheme="majorBidi" w:hAnsiTheme="majorBidi" w:cstheme="majorBidi"/>
        </w:rPr>
      </w:pPr>
      <w:r w:rsidRPr="005213D6">
        <w:rPr>
          <w:rFonts w:asciiTheme="majorBidi" w:hAnsiTheme="majorBidi" w:cstheme="majorBidi"/>
          <w:b/>
          <w:bCs/>
        </w:rPr>
        <w:t>Competition Risk:</w:t>
      </w:r>
      <w:r w:rsidRPr="005213D6">
        <w:rPr>
          <w:rFonts w:asciiTheme="majorBidi" w:hAnsiTheme="majorBidi" w:cstheme="majorBidi"/>
        </w:rPr>
        <w:t xml:space="preserve"> LOW - Market undersupply creates favorable competitive environment</w:t>
      </w:r>
    </w:p>
    <w:p w14:paraId="545EF121"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4B542E4B">
          <v:rect id="_x0000_i1075" style="width:0;height:1.5pt" o:hralign="center" o:hrstd="t" o:hr="t" fillcolor="#a0a0a0" stroked="f"/>
        </w:pict>
      </w:r>
    </w:p>
    <w:p w14:paraId="59556B69"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REPORT 2: GENDER PARITY MARKET DYNAMICS</w:t>
      </w:r>
    </w:p>
    <w:p w14:paraId="3D066E9D"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Demographic Analysis</w:t>
      </w:r>
    </w:p>
    <w:p w14:paraId="3ACE6436" w14:textId="77777777" w:rsidR="005213D6" w:rsidRPr="005213D6" w:rsidRDefault="005213D6" w:rsidP="005213D6">
      <w:pPr>
        <w:numPr>
          <w:ilvl w:val="0"/>
          <w:numId w:val="43"/>
        </w:numPr>
        <w:rPr>
          <w:rFonts w:asciiTheme="majorBidi" w:hAnsiTheme="majorBidi" w:cstheme="majorBidi"/>
        </w:rPr>
      </w:pPr>
      <w:r w:rsidRPr="005213D6">
        <w:rPr>
          <w:rFonts w:asciiTheme="majorBidi" w:hAnsiTheme="majorBidi" w:cstheme="majorBidi"/>
          <w:b/>
          <w:bCs/>
        </w:rPr>
        <w:t>Market Stability:</w:t>
      </w:r>
      <w:r w:rsidRPr="005213D6">
        <w:rPr>
          <w:rFonts w:asciiTheme="majorBidi" w:hAnsiTheme="majorBidi" w:cstheme="majorBidi"/>
        </w:rPr>
        <w:t xml:space="preserve"> Gender ratios maintained consistently (2013-2015), indicating mature market dynamics</w:t>
      </w:r>
    </w:p>
    <w:p w14:paraId="1AE74A08" w14:textId="77777777" w:rsidR="005213D6" w:rsidRPr="005213D6" w:rsidRDefault="005213D6" w:rsidP="005213D6">
      <w:pPr>
        <w:numPr>
          <w:ilvl w:val="0"/>
          <w:numId w:val="43"/>
        </w:numPr>
        <w:rPr>
          <w:rFonts w:asciiTheme="majorBidi" w:hAnsiTheme="majorBidi" w:cstheme="majorBidi"/>
        </w:rPr>
      </w:pPr>
      <w:r w:rsidRPr="005213D6">
        <w:rPr>
          <w:rFonts w:asciiTheme="majorBidi" w:hAnsiTheme="majorBidi" w:cstheme="majorBidi"/>
          <w:b/>
          <w:bCs/>
        </w:rPr>
        <w:t>Critical Insight:</w:t>
      </w:r>
      <w:r w:rsidRPr="005213D6">
        <w:rPr>
          <w:rFonts w:asciiTheme="majorBidi" w:hAnsiTheme="majorBidi" w:cstheme="majorBidi"/>
        </w:rPr>
        <w:t xml:space="preserve"> Higher secondary female participation gap represents $150M untapped market opportunity</w:t>
      </w:r>
    </w:p>
    <w:p w14:paraId="360FC34A" w14:textId="77777777" w:rsidR="005213D6" w:rsidRPr="005213D6" w:rsidRDefault="005213D6" w:rsidP="005213D6">
      <w:pPr>
        <w:numPr>
          <w:ilvl w:val="0"/>
          <w:numId w:val="43"/>
        </w:numPr>
        <w:rPr>
          <w:rFonts w:asciiTheme="majorBidi" w:hAnsiTheme="majorBidi" w:cstheme="majorBidi"/>
        </w:rPr>
      </w:pPr>
      <w:r w:rsidRPr="005213D6">
        <w:rPr>
          <w:rFonts w:asciiTheme="majorBidi" w:hAnsiTheme="majorBidi" w:cstheme="majorBidi"/>
          <w:b/>
          <w:bCs/>
        </w:rPr>
        <w:t>Regulatory Environment:</w:t>
      </w:r>
      <w:r w:rsidRPr="005213D6">
        <w:rPr>
          <w:rFonts w:asciiTheme="majorBidi" w:hAnsiTheme="majorBidi" w:cstheme="majorBidi"/>
        </w:rPr>
        <w:t xml:space="preserve"> Favorable policy trend with GPI improvement trajectory</w:t>
      </w:r>
    </w:p>
    <w:p w14:paraId="15C3B212"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Revenue Generation Strategy</w:t>
      </w:r>
    </w:p>
    <w:p w14:paraId="0F931B42"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IMMEDIATE CAPTURE (0-12 months)</w:t>
      </w:r>
    </w:p>
    <w:p w14:paraId="198967BB" w14:textId="77777777" w:rsidR="005213D6" w:rsidRPr="005213D6" w:rsidRDefault="005213D6" w:rsidP="005213D6">
      <w:pPr>
        <w:numPr>
          <w:ilvl w:val="0"/>
          <w:numId w:val="44"/>
        </w:numPr>
        <w:rPr>
          <w:rFonts w:asciiTheme="majorBidi" w:hAnsiTheme="majorBidi" w:cstheme="majorBidi"/>
        </w:rPr>
      </w:pPr>
      <w:r w:rsidRPr="005213D6">
        <w:rPr>
          <w:rFonts w:asciiTheme="majorBidi" w:hAnsiTheme="majorBidi" w:cstheme="majorBidi"/>
          <w:b/>
          <w:bCs/>
        </w:rPr>
        <w:t>Target Segment:</w:t>
      </w:r>
      <w:r w:rsidRPr="005213D6">
        <w:rPr>
          <w:rFonts w:asciiTheme="majorBidi" w:hAnsiTheme="majorBidi" w:cstheme="majorBidi"/>
        </w:rPr>
        <w:t xml:space="preserve"> Female higher secondary enrollment (10.2 disparity ratio)</w:t>
      </w:r>
    </w:p>
    <w:p w14:paraId="475D1F9D" w14:textId="77777777" w:rsidR="005213D6" w:rsidRPr="005213D6" w:rsidRDefault="005213D6" w:rsidP="005213D6">
      <w:pPr>
        <w:numPr>
          <w:ilvl w:val="0"/>
          <w:numId w:val="44"/>
        </w:numPr>
        <w:rPr>
          <w:rFonts w:asciiTheme="majorBidi" w:hAnsiTheme="majorBidi" w:cstheme="majorBidi"/>
        </w:rPr>
      </w:pPr>
      <w:r w:rsidRPr="005213D6">
        <w:rPr>
          <w:rFonts w:asciiTheme="majorBidi" w:hAnsiTheme="majorBidi" w:cstheme="majorBidi"/>
          <w:b/>
          <w:bCs/>
        </w:rPr>
        <w:t>Market Entry Strategy:</w:t>
      </w:r>
      <w:r w:rsidRPr="005213D6">
        <w:rPr>
          <w:rFonts w:asciiTheme="majorBidi" w:hAnsiTheme="majorBidi" w:cstheme="majorBidi"/>
        </w:rPr>
        <w:t xml:space="preserve"> Gender-specific value propositions addressing safety and accessibility barriers</w:t>
      </w:r>
    </w:p>
    <w:p w14:paraId="5A92AA18" w14:textId="77777777" w:rsidR="005213D6" w:rsidRPr="005213D6" w:rsidRDefault="005213D6" w:rsidP="005213D6">
      <w:pPr>
        <w:numPr>
          <w:ilvl w:val="0"/>
          <w:numId w:val="44"/>
        </w:numPr>
        <w:rPr>
          <w:rFonts w:asciiTheme="majorBidi" w:hAnsiTheme="majorBidi" w:cstheme="majorBidi"/>
        </w:rPr>
      </w:pPr>
      <w:r w:rsidRPr="005213D6">
        <w:rPr>
          <w:rFonts w:asciiTheme="majorBidi" w:hAnsiTheme="majorBidi" w:cstheme="majorBidi"/>
          <w:b/>
          <w:bCs/>
        </w:rPr>
        <w:t>Investment Allocation:</w:t>
      </w:r>
      <w:r w:rsidRPr="005213D6">
        <w:rPr>
          <w:rFonts w:asciiTheme="majorBidi" w:hAnsiTheme="majorBidi" w:cstheme="majorBidi"/>
        </w:rPr>
        <w:t xml:space="preserve"> $15M dedicated to female-focused infrastructure and programming</w:t>
      </w:r>
    </w:p>
    <w:p w14:paraId="47942F50" w14:textId="77777777" w:rsidR="005213D6" w:rsidRPr="005213D6" w:rsidRDefault="005213D6" w:rsidP="005213D6">
      <w:pPr>
        <w:numPr>
          <w:ilvl w:val="0"/>
          <w:numId w:val="44"/>
        </w:numPr>
        <w:rPr>
          <w:rFonts w:asciiTheme="majorBidi" w:hAnsiTheme="majorBidi" w:cstheme="majorBidi"/>
        </w:rPr>
      </w:pPr>
      <w:r w:rsidRPr="005213D6">
        <w:rPr>
          <w:rFonts w:asciiTheme="majorBidi" w:hAnsiTheme="majorBidi" w:cstheme="majorBidi"/>
          <w:b/>
          <w:bCs/>
        </w:rPr>
        <w:t>Revenue Impact:</w:t>
      </w:r>
      <w:r w:rsidRPr="005213D6">
        <w:rPr>
          <w:rFonts w:asciiTheme="majorBidi" w:hAnsiTheme="majorBidi" w:cstheme="majorBidi"/>
        </w:rPr>
        <w:t xml:space="preserve"> 25-30% premium pricing sustainable in underserved female segment</w:t>
      </w:r>
    </w:p>
    <w:p w14:paraId="1AE7ECAD"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OPERATIONAL EXCELLENCE (12-36 months)</w:t>
      </w:r>
    </w:p>
    <w:p w14:paraId="4E6F6FCE" w14:textId="77777777" w:rsidR="005213D6" w:rsidRPr="005213D6" w:rsidRDefault="005213D6" w:rsidP="005213D6">
      <w:pPr>
        <w:numPr>
          <w:ilvl w:val="0"/>
          <w:numId w:val="45"/>
        </w:numPr>
        <w:rPr>
          <w:rFonts w:asciiTheme="majorBidi" w:hAnsiTheme="majorBidi" w:cstheme="majorBidi"/>
        </w:rPr>
      </w:pPr>
      <w:r w:rsidRPr="005213D6">
        <w:rPr>
          <w:rFonts w:asciiTheme="majorBidi" w:hAnsiTheme="majorBidi" w:cstheme="majorBidi"/>
          <w:b/>
          <w:bCs/>
        </w:rPr>
        <w:t>Facility Development:</w:t>
      </w:r>
      <w:r w:rsidRPr="005213D6">
        <w:rPr>
          <w:rFonts w:asciiTheme="majorBidi" w:hAnsiTheme="majorBidi" w:cstheme="majorBidi"/>
        </w:rPr>
        <w:t xml:space="preserve"> Gender-inclusive infrastructure as market differentiator</w:t>
      </w:r>
    </w:p>
    <w:p w14:paraId="24210C34" w14:textId="77777777" w:rsidR="005213D6" w:rsidRPr="005213D6" w:rsidRDefault="005213D6" w:rsidP="005213D6">
      <w:pPr>
        <w:numPr>
          <w:ilvl w:val="0"/>
          <w:numId w:val="45"/>
        </w:numPr>
        <w:rPr>
          <w:rFonts w:asciiTheme="majorBidi" w:hAnsiTheme="majorBidi" w:cstheme="majorBidi"/>
        </w:rPr>
      </w:pPr>
      <w:r w:rsidRPr="005213D6">
        <w:rPr>
          <w:rFonts w:asciiTheme="majorBidi" w:hAnsiTheme="majorBidi" w:cstheme="majorBidi"/>
          <w:b/>
          <w:bCs/>
        </w:rPr>
        <w:t>Human Capital Strategy:</w:t>
      </w:r>
      <w:r w:rsidRPr="005213D6">
        <w:rPr>
          <w:rFonts w:asciiTheme="majorBidi" w:hAnsiTheme="majorBidi" w:cstheme="majorBidi"/>
        </w:rPr>
        <w:t xml:space="preserve"> Female educator recruitment for demographic alignment</w:t>
      </w:r>
    </w:p>
    <w:p w14:paraId="22DDDC9E" w14:textId="77777777" w:rsidR="005213D6" w:rsidRPr="005213D6" w:rsidRDefault="005213D6" w:rsidP="005213D6">
      <w:pPr>
        <w:numPr>
          <w:ilvl w:val="0"/>
          <w:numId w:val="45"/>
        </w:numPr>
        <w:rPr>
          <w:rFonts w:asciiTheme="majorBidi" w:hAnsiTheme="majorBidi" w:cstheme="majorBidi"/>
        </w:rPr>
      </w:pPr>
      <w:r w:rsidRPr="005213D6">
        <w:rPr>
          <w:rFonts w:asciiTheme="majorBidi" w:hAnsiTheme="majorBidi" w:cstheme="majorBidi"/>
          <w:b/>
          <w:bCs/>
        </w:rPr>
        <w:lastRenderedPageBreak/>
        <w:t>Technology Integration:</w:t>
      </w:r>
      <w:r w:rsidRPr="005213D6">
        <w:rPr>
          <w:rFonts w:asciiTheme="majorBidi" w:hAnsiTheme="majorBidi" w:cstheme="majorBidi"/>
        </w:rPr>
        <w:t xml:space="preserve"> Digital solutions addressing transportation and security concerns</w:t>
      </w:r>
    </w:p>
    <w:p w14:paraId="346555F1"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ESG INVESTMENT APPEAL</w:t>
      </w:r>
    </w:p>
    <w:p w14:paraId="2E9ECF66" w14:textId="77777777" w:rsidR="005213D6" w:rsidRPr="005213D6" w:rsidRDefault="005213D6" w:rsidP="005213D6">
      <w:pPr>
        <w:numPr>
          <w:ilvl w:val="0"/>
          <w:numId w:val="46"/>
        </w:numPr>
        <w:rPr>
          <w:rFonts w:asciiTheme="majorBidi" w:hAnsiTheme="majorBidi" w:cstheme="majorBidi"/>
        </w:rPr>
      </w:pPr>
      <w:r w:rsidRPr="005213D6">
        <w:rPr>
          <w:rFonts w:asciiTheme="majorBidi" w:hAnsiTheme="majorBidi" w:cstheme="majorBidi"/>
          <w:b/>
          <w:bCs/>
        </w:rPr>
        <w:t>Impact Multiplier:</w:t>
      </w:r>
      <w:r w:rsidRPr="005213D6">
        <w:rPr>
          <w:rFonts w:asciiTheme="majorBidi" w:hAnsiTheme="majorBidi" w:cstheme="majorBidi"/>
        </w:rPr>
        <w:t xml:space="preserve"> Gender parity improvements enhance institutional investor attractiveness</w:t>
      </w:r>
    </w:p>
    <w:p w14:paraId="1D875586" w14:textId="77777777" w:rsidR="005213D6" w:rsidRPr="005213D6" w:rsidRDefault="005213D6" w:rsidP="005213D6">
      <w:pPr>
        <w:numPr>
          <w:ilvl w:val="0"/>
          <w:numId w:val="46"/>
        </w:numPr>
        <w:rPr>
          <w:rFonts w:asciiTheme="majorBidi" w:hAnsiTheme="majorBidi" w:cstheme="majorBidi"/>
        </w:rPr>
      </w:pPr>
      <w:r w:rsidRPr="005213D6">
        <w:rPr>
          <w:rFonts w:asciiTheme="majorBidi" w:hAnsiTheme="majorBidi" w:cstheme="majorBidi"/>
          <w:b/>
          <w:bCs/>
        </w:rPr>
        <w:t>Valuation Premium:</w:t>
      </w:r>
      <w:r w:rsidRPr="005213D6">
        <w:rPr>
          <w:rFonts w:asciiTheme="majorBidi" w:hAnsiTheme="majorBidi" w:cstheme="majorBidi"/>
        </w:rPr>
        <w:t xml:space="preserve"> ESG-compliant operations command 15-20% valuation multiples</w:t>
      </w:r>
    </w:p>
    <w:p w14:paraId="6BE8A482" w14:textId="77777777" w:rsidR="005213D6" w:rsidRPr="005213D6" w:rsidRDefault="005213D6" w:rsidP="005213D6">
      <w:pPr>
        <w:numPr>
          <w:ilvl w:val="0"/>
          <w:numId w:val="46"/>
        </w:numPr>
        <w:rPr>
          <w:rFonts w:asciiTheme="majorBidi" w:hAnsiTheme="majorBidi" w:cstheme="majorBidi"/>
        </w:rPr>
      </w:pPr>
      <w:r w:rsidRPr="005213D6">
        <w:rPr>
          <w:rFonts w:asciiTheme="majorBidi" w:hAnsiTheme="majorBidi" w:cstheme="majorBidi"/>
          <w:b/>
          <w:bCs/>
        </w:rPr>
        <w:t>Capital Access:</w:t>
      </w:r>
      <w:r w:rsidRPr="005213D6">
        <w:rPr>
          <w:rFonts w:asciiTheme="majorBidi" w:hAnsiTheme="majorBidi" w:cstheme="majorBidi"/>
        </w:rPr>
        <w:t xml:space="preserve"> Dedicated impact investment funds totaling $50-75M available for gender-focused initiatives</w:t>
      </w:r>
    </w:p>
    <w:p w14:paraId="56FBFD38"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7780E236">
          <v:rect id="_x0000_i1076" style="width:0;height:1.5pt" o:hralign="center" o:hrstd="t" o:hr="t" fillcolor="#a0a0a0" stroked="f"/>
        </w:pict>
      </w:r>
    </w:p>
    <w:p w14:paraId="1C2E4010"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REPORT 3: REGIONAL PERFORMANCE &amp; ARBITRAGE OPPORTUNITIES</w:t>
      </w:r>
    </w:p>
    <w:p w14:paraId="355C5CD0"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Geographic Market Intelligence</w:t>
      </w:r>
    </w:p>
    <w:p w14:paraId="3361577A" w14:textId="77777777" w:rsidR="005213D6" w:rsidRPr="005213D6" w:rsidRDefault="005213D6" w:rsidP="005213D6">
      <w:pPr>
        <w:numPr>
          <w:ilvl w:val="0"/>
          <w:numId w:val="47"/>
        </w:numPr>
        <w:rPr>
          <w:rFonts w:asciiTheme="majorBidi" w:hAnsiTheme="majorBidi" w:cstheme="majorBidi"/>
        </w:rPr>
      </w:pPr>
      <w:r w:rsidRPr="005213D6">
        <w:rPr>
          <w:rFonts w:asciiTheme="majorBidi" w:hAnsiTheme="majorBidi" w:cstheme="majorBidi"/>
          <w:b/>
          <w:bCs/>
        </w:rPr>
        <w:t>High-Performance Benchmark:</w:t>
      </w:r>
      <w:r w:rsidRPr="005213D6">
        <w:rPr>
          <w:rFonts w:asciiTheme="majorBidi" w:hAnsiTheme="majorBidi" w:cstheme="majorBidi"/>
        </w:rPr>
        <w:t xml:space="preserve"> Islands region (93.24% secondary, 87.86% upper primary)</w:t>
      </w:r>
    </w:p>
    <w:p w14:paraId="3865BAD6" w14:textId="77777777" w:rsidR="005213D6" w:rsidRPr="005213D6" w:rsidRDefault="005213D6" w:rsidP="005213D6">
      <w:pPr>
        <w:numPr>
          <w:ilvl w:val="0"/>
          <w:numId w:val="47"/>
        </w:numPr>
        <w:rPr>
          <w:rFonts w:asciiTheme="majorBidi" w:hAnsiTheme="majorBidi" w:cstheme="majorBidi"/>
        </w:rPr>
      </w:pPr>
      <w:r w:rsidRPr="005213D6">
        <w:rPr>
          <w:rFonts w:asciiTheme="majorBidi" w:hAnsiTheme="majorBidi" w:cstheme="majorBidi"/>
          <w:b/>
          <w:bCs/>
        </w:rPr>
        <w:t>Arbitrage Targets:</w:t>
      </w:r>
      <w:r w:rsidRPr="005213D6">
        <w:rPr>
          <w:rFonts w:asciiTheme="majorBidi" w:hAnsiTheme="majorBidi" w:cstheme="majorBidi"/>
        </w:rPr>
        <w:t xml:space="preserve"> Eastern (74.27% secondary) and North-Eastern (92.26% secondary) regions</w:t>
      </w:r>
    </w:p>
    <w:p w14:paraId="31BD8394" w14:textId="77777777" w:rsidR="005213D6" w:rsidRPr="005213D6" w:rsidRDefault="005213D6" w:rsidP="005213D6">
      <w:pPr>
        <w:numPr>
          <w:ilvl w:val="0"/>
          <w:numId w:val="47"/>
        </w:numPr>
        <w:rPr>
          <w:rFonts w:asciiTheme="majorBidi" w:hAnsiTheme="majorBidi" w:cstheme="majorBidi"/>
        </w:rPr>
      </w:pPr>
      <w:r w:rsidRPr="005213D6">
        <w:rPr>
          <w:rFonts w:asciiTheme="majorBidi" w:hAnsiTheme="majorBidi" w:cstheme="majorBidi"/>
          <w:b/>
          <w:bCs/>
        </w:rPr>
        <w:t>Market Efficiency Gaps:</w:t>
      </w:r>
      <w:r w:rsidRPr="005213D6">
        <w:rPr>
          <w:rFonts w:asciiTheme="majorBidi" w:hAnsiTheme="majorBidi" w:cstheme="majorBidi"/>
        </w:rPr>
        <w:t xml:space="preserve"> 200-300% performance differential between regions</w:t>
      </w:r>
    </w:p>
    <w:p w14:paraId="4E6D8474"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Regional Investment Strategy</w:t>
      </w:r>
    </w:p>
    <w:p w14:paraId="5A7F3F1D"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PHASE 1: EASTERN REGION MARKET ENTRY (0-18 months)</w:t>
      </w:r>
    </w:p>
    <w:p w14:paraId="5EA527BB" w14:textId="77777777" w:rsidR="005213D6" w:rsidRPr="005213D6" w:rsidRDefault="005213D6" w:rsidP="005213D6">
      <w:pPr>
        <w:numPr>
          <w:ilvl w:val="0"/>
          <w:numId w:val="48"/>
        </w:numPr>
        <w:rPr>
          <w:rFonts w:asciiTheme="majorBidi" w:hAnsiTheme="majorBidi" w:cstheme="majorBidi"/>
        </w:rPr>
      </w:pPr>
      <w:r w:rsidRPr="005213D6">
        <w:rPr>
          <w:rFonts w:asciiTheme="majorBidi" w:hAnsiTheme="majorBidi" w:cstheme="majorBidi"/>
          <w:b/>
          <w:bCs/>
        </w:rPr>
        <w:t>Capital Deployment:</w:t>
      </w:r>
      <w:r w:rsidRPr="005213D6">
        <w:rPr>
          <w:rFonts w:asciiTheme="majorBidi" w:hAnsiTheme="majorBidi" w:cstheme="majorBidi"/>
        </w:rPr>
        <w:t xml:space="preserve"> $20M initial investment for market establishment</w:t>
      </w:r>
    </w:p>
    <w:p w14:paraId="00F215DE" w14:textId="77777777" w:rsidR="005213D6" w:rsidRPr="005213D6" w:rsidRDefault="005213D6" w:rsidP="005213D6">
      <w:pPr>
        <w:numPr>
          <w:ilvl w:val="0"/>
          <w:numId w:val="48"/>
        </w:numPr>
        <w:rPr>
          <w:rFonts w:asciiTheme="majorBidi" w:hAnsiTheme="majorBidi" w:cstheme="majorBidi"/>
        </w:rPr>
      </w:pPr>
      <w:r w:rsidRPr="005213D6">
        <w:rPr>
          <w:rFonts w:asciiTheme="majorBidi" w:hAnsiTheme="majorBidi" w:cstheme="majorBidi"/>
          <w:b/>
          <w:bCs/>
        </w:rPr>
        <w:t>Target Achievement:</w:t>
      </w:r>
      <w:r w:rsidRPr="005213D6">
        <w:rPr>
          <w:rFonts w:asciiTheme="majorBidi" w:hAnsiTheme="majorBidi" w:cstheme="majorBidi"/>
        </w:rPr>
        <w:t xml:space="preserve"> Reach Islands region performance benchmarks</w:t>
      </w:r>
    </w:p>
    <w:p w14:paraId="623D8C76" w14:textId="77777777" w:rsidR="005213D6" w:rsidRPr="005213D6" w:rsidRDefault="005213D6" w:rsidP="005213D6">
      <w:pPr>
        <w:numPr>
          <w:ilvl w:val="0"/>
          <w:numId w:val="48"/>
        </w:numPr>
        <w:rPr>
          <w:rFonts w:asciiTheme="majorBidi" w:hAnsiTheme="majorBidi" w:cstheme="majorBidi"/>
        </w:rPr>
      </w:pPr>
      <w:r w:rsidRPr="005213D6">
        <w:rPr>
          <w:rFonts w:asciiTheme="majorBidi" w:hAnsiTheme="majorBidi" w:cstheme="majorBidi"/>
          <w:b/>
          <w:bCs/>
        </w:rPr>
        <w:t>Revenue Projection:</w:t>
      </w:r>
      <w:r w:rsidRPr="005213D6">
        <w:rPr>
          <w:rFonts w:asciiTheme="majorBidi" w:hAnsiTheme="majorBidi" w:cstheme="majorBidi"/>
        </w:rPr>
        <w:t xml:space="preserve"> $25-35M annual revenue at maturity</w:t>
      </w:r>
    </w:p>
    <w:p w14:paraId="6E426827" w14:textId="77777777" w:rsidR="005213D6" w:rsidRPr="005213D6" w:rsidRDefault="005213D6" w:rsidP="005213D6">
      <w:pPr>
        <w:numPr>
          <w:ilvl w:val="0"/>
          <w:numId w:val="48"/>
        </w:numPr>
        <w:rPr>
          <w:rFonts w:asciiTheme="majorBidi" w:hAnsiTheme="majorBidi" w:cstheme="majorBidi"/>
        </w:rPr>
      </w:pPr>
      <w:r w:rsidRPr="005213D6">
        <w:rPr>
          <w:rFonts w:asciiTheme="majorBidi" w:hAnsiTheme="majorBidi" w:cstheme="majorBidi"/>
          <w:b/>
          <w:bCs/>
        </w:rPr>
        <w:t>Market Share Objective:</w:t>
      </w:r>
      <w:r w:rsidRPr="005213D6">
        <w:rPr>
          <w:rFonts w:asciiTheme="majorBidi" w:hAnsiTheme="majorBidi" w:cstheme="majorBidi"/>
        </w:rPr>
        <w:t xml:space="preserve"> 20-25% regional market capture</w:t>
      </w:r>
    </w:p>
    <w:p w14:paraId="04A28AF2"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PHASE 2: NORTH-EASTERN EXPANSION (18-36 months)</w:t>
      </w:r>
    </w:p>
    <w:p w14:paraId="6AB9133E" w14:textId="77777777" w:rsidR="005213D6" w:rsidRPr="005213D6" w:rsidRDefault="005213D6" w:rsidP="005213D6">
      <w:pPr>
        <w:numPr>
          <w:ilvl w:val="0"/>
          <w:numId w:val="49"/>
        </w:numPr>
        <w:rPr>
          <w:rFonts w:asciiTheme="majorBidi" w:hAnsiTheme="majorBidi" w:cstheme="majorBidi"/>
        </w:rPr>
      </w:pPr>
      <w:r w:rsidRPr="005213D6">
        <w:rPr>
          <w:rFonts w:asciiTheme="majorBidi" w:hAnsiTheme="majorBidi" w:cstheme="majorBidi"/>
          <w:b/>
          <w:bCs/>
        </w:rPr>
        <w:t>Investment Scale:</w:t>
      </w:r>
      <w:r w:rsidRPr="005213D6">
        <w:rPr>
          <w:rFonts w:asciiTheme="majorBidi" w:hAnsiTheme="majorBidi" w:cstheme="majorBidi"/>
        </w:rPr>
        <w:t xml:space="preserve"> $15M for hub development and local partnerships</w:t>
      </w:r>
    </w:p>
    <w:p w14:paraId="59242D9A" w14:textId="77777777" w:rsidR="005213D6" w:rsidRPr="005213D6" w:rsidRDefault="005213D6" w:rsidP="005213D6">
      <w:pPr>
        <w:numPr>
          <w:ilvl w:val="0"/>
          <w:numId w:val="49"/>
        </w:numPr>
        <w:rPr>
          <w:rFonts w:asciiTheme="majorBidi" w:hAnsiTheme="majorBidi" w:cstheme="majorBidi"/>
        </w:rPr>
      </w:pPr>
      <w:r w:rsidRPr="005213D6">
        <w:rPr>
          <w:rFonts w:asciiTheme="majorBidi" w:hAnsiTheme="majorBidi" w:cstheme="majorBidi"/>
          <w:b/>
          <w:bCs/>
        </w:rPr>
        <w:t>Growth Trajectory:</w:t>
      </w:r>
      <w:r w:rsidRPr="005213D6">
        <w:rPr>
          <w:rFonts w:asciiTheme="majorBidi" w:hAnsiTheme="majorBidi" w:cstheme="majorBidi"/>
        </w:rPr>
        <w:t xml:space="preserve"> 150-200% enrollment growth over national averages</w:t>
      </w:r>
    </w:p>
    <w:p w14:paraId="5BF6655B" w14:textId="77777777" w:rsidR="005213D6" w:rsidRPr="005213D6" w:rsidRDefault="005213D6" w:rsidP="005213D6">
      <w:pPr>
        <w:numPr>
          <w:ilvl w:val="0"/>
          <w:numId w:val="49"/>
        </w:numPr>
        <w:rPr>
          <w:rFonts w:asciiTheme="majorBidi" w:hAnsiTheme="majorBidi" w:cstheme="majorBidi"/>
        </w:rPr>
      </w:pPr>
      <w:r w:rsidRPr="005213D6">
        <w:rPr>
          <w:rFonts w:asciiTheme="majorBidi" w:hAnsiTheme="majorBidi" w:cstheme="majorBidi"/>
          <w:b/>
          <w:bCs/>
        </w:rPr>
        <w:t>Operational Model:</w:t>
      </w:r>
      <w:r w:rsidRPr="005213D6">
        <w:rPr>
          <w:rFonts w:asciiTheme="majorBidi" w:hAnsiTheme="majorBidi" w:cstheme="majorBidi"/>
        </w:rPr>
        <w:t xml:space="preserve"> Hybrid delivery combining physical and digital infrastructure</w:t>
      </w:r>
    </w:p>
    <w:p w14:paraId="169B29EE"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PHASE 3: PORTFOLIO OPTIMIZATION (3-5 years)</w:t>
      </w:r>
    </w:p>
    <w:p w14:paraId="59A44914" w14:textId="77777777" w:rsidR="005213D6" w:rsidRPr="005213D6" w:rsidRDefault="005213D6" w:rsidP="005213D6">
      <w:pPr>
        <w:numPr>
          <w:ilvl w:val="0"/>
          <w:numId w:val="50"/>
        </w:numPr>
        <w:rPr>
          <w:rFonts w:asciiTheme="majorBidi" w:hAnsiTheme="majorBidi" w:cstheme="majorBidi"/>
        </w:rPr>
      </w:pPr>
      <w:r w:rsidRPr="005213D6">
        <w:rPr>
          <w:rFonts w:asciiTheme="majorBidi" w:hAnsiTheme="majorBidi" w:cstheme="majorBidi"/>
          <w:b/>
          <w:bCs/>
        </w:rPr>
        <w:t>Asset Diversification:</w:t>
      </w:r>
      <w:r w:rsidRPr="005213D6">
        <w:rPr>
          <w:rFonts w:asciiTheme="majorBidi" w:hAnsiTheme="majorBidi" w:cstheme="majorBidi"/>
        </w:rPr>
        <w:t xml:space="preserve"> Geographic spread across 6-8 regions</w:t>
      </w:r>
    </w:p>
    <w:p w14:paraId="0E947842" w14:textId="77777777" w:rsidR="005213D6" w:rsidRPr="005213D6" w:rsidRDefault="005213D6" w:rsidP="005213D6">
      <w:pPr>
        <w:numPr>
          <w:ilvl w:val="0"/>
          <w:numId w:val="50"/>
        </w:numPr>
        <w:rPr>
          <w:rFonts w:asciiTheme="majorBidi" w:hAnsiTheme="majorBidi" w:cstheme="majorBidi"/>
        </w:rPr>
      </w:pPr>
      <w:r w:rsidRPr="005213D6">
        <w:rPr>
          <w:rFonts w:asciiTheme="majorBidi" w:hAnsiTheme="majorBidi" w:cstheme="majorBidi"/>
          <w:b/>
          <w:bCs/>
        </w:rPr>
        <w:t>Performance Standardization:</w:t>
      </w:r>
      <w:r w:rsidRPr="005213D6">
        <w:rPr>
          <w:rFonts w:asciiTheme="majorBidi" w:hAnsiTheme="majorBidi" w:cstheme="majorBidi"/>
        </w:rPr>
        <w:t xml:space="preserve"> Implement Islands region best practices systemwide</w:t>
      </w:r>
    </w:p>
    <w:p w14:paraId="70D63658" w14:textId="77777777" w:rsidR="005213D6" w:rsidRPr="005213D6" w:rsidRDefault="005213D6" w:rsidP="005213D6">
      <w:pPr>
        <w:numPr>
          <w:ilvl w:val="0"/>
          <w:numId w:val="50"/>
        </w:numPr>
        <w:rPr>
          <w:rFonts w:asciiTheme="majorBidi" w:hAnsiTheme="majorBidi" w:cstheme="majorBidi"/>
        </w:rPr>
      </w:pPr>
      <w:r w:rsidRPr="005213D6">
        <w:rPr>
          <w:rFonts w:asciiTheme="majorBidi" w:hAnsiTheme="majorBidi" w:cstheme="majorBidi"/>
          <w:b/>
          <w:bCs/>
        </w:rPr>
        <w:lastRenderedPageBreak/>
        <w:t>Exit Strategy Development:</w:t>
      </w:r>
      <w:r w:rsidRPr="005213D6">
        <w:rPr>
          <w:rFonts w:asciiTheme="majorBidi" w:hAnsiTheme="majorBidi" w:cstheme="majorBidi"/>
        </w:rPr>
        <w:t xml:space="preserve"> Position regional assets for strategic divestiture</w:t>
      </w:r>
    </w:p>
    <w:p w14:paraId="64EFBAEA"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Total Education Ratio Analysis</w:t>
      </w:r>
    </w:p>
    <w:p w14:paraId="5BE2810B" w14:textId="77777777" w:rsidR="005213D6" w:rsidRPr="005213D6" w:rsidRDefault="005213D6" w:rsidP="005213D6">
      <w:pPr>
        <w:numPr>
          <w:ilvl w:val="0"/>
          <w:numId w:val="51"/>
        </w:numPr>
        <w:rPr>
          <w:rFonts w:asciiTheme="majorBidi" w:hAnsiTheme="majorBidi" w:cstheme="majorBidi"/>
        </w:rPr>
      </w:pPr>
      <w:r w:rsidRPr="005213D6">
        <w:rPr>
          <w:rFonts w:asciiTheme="majorBidi" w:hAnsiTheme="majorBidi" w:cstheme="majorBidi"/>
          <w:b/>
          <w:bCs/>
        </w:rPr>
        <w:t>Market Leaders:</w:t>
      </w:r>
      <w:r w:rsidRPr="005213D6">
        <w:rPr>
          <w:rFonts w:asciiTheme="majorBidi" w:hAnsiTheme="majorBidi" w:cstheme="majorBidi"/>
        </w:rPr>
        <w:t xml:space="preserve"> North-Eastern (10K ratio), Northern (9.5K ratio)</w:t>
      </w:r>
    </w:p>
    <w:p w14:paraId="1B7D5B44" w14:textId="77777777" w:rsidR="005213D6" w:rsidRPr="005213D6" w:rsidRDefault="005213D6" w:rsidP="005213D6">
      <w:pPr>
        <w:numPr>
          <w:ilvl w:val="0"/>
          <w:numId w:val="51"/>
        </w:numPr>
        <w:rPr>
          <w:rFonts w:asciiTheme="majorBidi" w:hAnsiTheme="majorBidi" w:cstheme="majorBidi"/>
        </w:rPr>
      </w:pPr>
      <w:r w:rsidRPr="005213D6">
        <w:rPr>
          <w:rFonts w:asciiTheme="majorBidi" w:hAnsiTheme="majorBidi" w:cstheme="majorBidi"/>
          <w:b/>
          <w:bCs/>
        </w:rPr>
        <w:t>Growth Markets:</w:t>
      </w:r>
      <w:r w:rsidRPr="005213D6">
        <w:rPr>
          <w:rFonts w:asciiTheme="majorBidi" w:hAnsiTheme="majorBidi" w:cstheme="majorBidi"/>
        </w:rPr>
        <w:t xml:space="preserve"> Islands (2.5K ratio with high efficiency), Central (3K ratio)</w:t>
      </w:r>
    </w:p>
    <w:p w14:paraId="3322F222" w14:textId="77777777" w:rsidR="005213D6" w:rsidRPr="005213D6" w:rsidRDefault="005213D6" w:rsidP="005213D6">
      <w:pPr>
        <w:numPr>
          <w:ilvl w:val="0"/>
          <w:numId w:val="51"/>
        </w:numPr>
        <w:rPr>
          <w:rFonts w:asciiTheme="majorBidi" w:hAnsiTheme="majorBidi" w:cstheme="majorBidi"/>
        </w:rPr>
      </w:pPr>
      <w:r w:rsidRPr="005213D6">
        <w:rPr>
          <w:rFonts w:asciiTheme="majorBidi" w:hAnsiTheme="majorBidi" w:cstheme="majorBidi"/>
          <w:b/>
          <w:bCs/>
        </w:rPr>
        <w:t>Investment Priority:</w:t>
      </w:r>
      <w:r w:rsidRPr="005213D6">
        <w:rPr>
          <w:rFonts w:asciiTheme="majorBidi" w:hAnsiTheme="majorBidi" w:cstheme="majorBidi"/>
        </w:rPr>
        <w:t xml:space="preserve"> Focus on high-ratio, low-efficiency markets for maximum value creation</w:t>
      </w:r>
    </w:p>
    <w:p w14:paraId="5EAFBF31"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26733232">
          <v:rect id="_x0000_i1077" style="width:0;height:1.5pt" o:hralign="center" o:hrstd="t" o:hr="t" fillcolor="#a0a0a0" stroked="f"/>
        </w:pict>
      </w:r>
    </w:p>
    <w:p w14:paraId="1746A786"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CONSOLIDATED INVESTMENT FRAMEWORK</w:t>
      </w:r>
    </w:p>
    <w:p w14:paraId="0C9588AA"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CAPITAL ALLOCATION STRATEGY</w:t>
      </w:r>
    </w:p>
    <w:p w14:paraId="5FA89216"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PRIMARY INVESTMENTS (Year 1-2): $60M</w:t>
      </w:r>
    </w:p>
    <w:p w14:paraId="60F935E6" w14:textId="77777777" w:rsidR="005213D6" w:rsidRPr="005213D6" w:rsidRDefault="005213D6" w:rsidP="005213D6">
      <w:pPr>
        <w:numPr>
          <w:ilvl w:val="0"/>
          <w:numId w:val="52"/>
        </w:numPr>
        <w:rPr>
          <w:rFonts w:asciiTheme="majorBidi" w:hAnsiTheme="majorBidi" w:cstheme="majorBidi"/>
        </w:rPr>
      </w:pPr>
      <w:r w:rsidRPr="005213D6">
        <w:rPr>
          <w:rFonts w:asciiTheme="majorBidi" w:hAnsiTheme="majorBidi" w:cstheme="majorBidi"/>
        </w:rPr>
        <w:t>Higher Secondary Infrastructure: $30M (50% allocation)</w:t>
      </w:r>
    </w:p>
    <w:p w14:paraId="5395A593" w14:textId="77777777" w:rsidR="005213D6" w:rsidRPr="005213D6" w:rsidRDefault="005213D6" w:rsidP="005213D6">
      <w:pPr>
        <w:numPr>
          <w:ilvl w:val="0"/>
          <w:numId w:val="52"/>
        </w:numPr>
        <w:rPr>
          <w:rFonts w:asciiTheme="majorBidi" w:hAnsiTheme="majorBidi" w:cstheme="majorBidi"/>
        </w:rPr>
      </w:pPr>
      <w:r w:rsidRPr="005213D6">
        <w:rPr>
          <w:rFonts w:asciiTheme="majorBidi" w:hAnsiTheme="majorBidi" w:cstheme="majorBidi"/>
        </w:rPr>
        <w:t>Female Demographic Targeting: $15M (25% allocation)</w:t>
      </w:r>
    </w:p>
    <w:p w14:paraId="2EFDDD42" w14:textId="77777777" w:rsidR="005213D6" w:rsidRPr="005213D6" w:rsidRDefault="005213D6" w:rsidP="005213D6">
      <w:pPr>
        <w:numPr>
          <w:ilvl w:val="0"/>
          <w:numId w:val="52"/>
        </w:numPr>
        <w:rPr>
          <w:rFonts w:asciiTheme="majorBidi" w:hAnsiTheme="majorBidi" w:cstheme="majorBidi"/>
        </w:rPr>
      </w:pPr>
      <w:r w:rsidRPr="005213D6">
        <w:rPr>
          <w:rFonts w:asciiTheme="majorBidi" w:hAnsiTheme="majorBidi" w:cstheme="majorBidi"/>
        </w:rPr>
        <w:t>Eastern Region Market Entry: $15M (25% allocation)</w:t>
      </w:r>
    </w:p>
    <w:p w14:paraId="5C1DF32F"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SECONDARY INVESTMENTS (Year 2-3): $40M</w:t>
      </w:r>
    </w:p>
    <w:p w14:paraId="0407337C" w14:textId="77777777" w:rsidR="005213D6" w:rsidRPr="005213D6" w:rsidRDefault="005213D6" w:rsidP="005213D6">
      <w:pPr>
        <w:numPr>
          <w:ilvl w:val="0"/>
          <w:numId w:val="53"/>
        </w:numPr>
        <w:rPr>
          <w:rFonts w:asciiTheme="majorBidi" w:hAnsiTheme="majorBidi" w:cstheme="majorBidi"/>
        </w:rPr>
      </w:pPr>
      <w:r w:rsidRPr="005213D6">
        <w:rPr>
          <w:rFonts w:asciiTheme="majorBidi" w:hAnsiTheme="majorBidi" w:cstheme="majorBidi"/>
        </w:rPr>
        <w:t>Technology Platform Development: $15M</w:t>
      </w:r>
    </w:p>
    <w:p w14:paraId="234ED49F" w14:textId="77777777" w:rsidR="005213D6" w:rsidRPr="005213D6" w:rsidRDefault="005213D6" w:rsidP="005213D6">
      <w:pPr>
        <w:numPr>
          <w:ilvl w:val="0"/>
          <w:numId w:val="53"/>
        </w:numPr>
        <w:rPr>
          <w:rFonts w:asciiTheme="majorBidi" w:hAnsiTheme="majorBidi" w:cstheme="majorBidi"/>
        </w:rPr>
      </w:pPr>
      <w:r w:rsidRPr="005213D6">
        <w:rPr>
          <w:rFonts w:asciiTheme="majorBidi" w:hAnsiTheme="majorBidi" w:cstheme="majorBidi"/>
        </w:rPr>
        <w:t>North-Eastern Expansion: $15M</w:t>
      </w:r>
    </w:p>
    <w:p w14:paraId="223F908F" w14:textId="77777777" w:rsidR="005213D6" w:rsidRPr="005213D6" w:rsidRDefault="005213D6" w:rsidP="005213D6">
      <w:pPr>
        <w:numPr>
          <w:ilvl w:val="0"/>
          <w:numId w:val="53"/>
        </w:numPr>
        <w:rPr>
          <w:rFonts w:asciiTheme="majorBidi" w:hAnsiTheme="majorBidi" w:cstheme="majorBidi"/>
        </w:rPr>
      </w:pPr>
      <w:r w:rsidRPr="005213D6">
        <w:rPr>
          <w:rFonts w:asciiTheme="majorBidi" w:hAnsiTheme="majorBidi" w:cstheme="majorBidi"/>
        </w:rPr>
        <w:t>Operational Excellence Programs: $10M</w:t>
      </w:r>
    </w:p>
    <w:p w14:paraId="7B998BA6"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TERTIARY INVESTMENTS (Year 3-5): $30M</w:t>
      </w:r>
    </w:p>
    <w:p w14:paraId="4C8F4701" w14:textId="77777777" w:rsidR="005213D6" w:rsidRPr="005213D6" w:rsidRDefault="005213D6" w:rsidP="005213D6">
      <w:pPr>
        <w:numPr>
          <w:ilvl w:val="0"/>
          <w:numId w:val="54"/>
        </w:numPr>
        <w:rPr>
          <w:rFonts w:asciiTheme="majorBidi" w:hAnsiTheme="majorBidi" w:cstheme="majorBidi"/>
        </w:rPr>
      </w:pPr>
      <w:r w:rsidRPr="005213D6">
        <w:rPr>
          <w:rFonts w:asciiTheme="majorBidi" w:hAnsiTheme="majorBidi" w:cstheme="majorBidi"/>
        </w:rPr>
        <w:t>Portfolio Optimization: $15M</w:t>
      </w:r>
    </w:p>
    <w:p w14:paraId="2FA3DA30" w14:textId="77777777" w:rsidR="005213D6" w:rsidRPr="005213D6" w:rsidRDefault="005213D6" w:rsidP="005213D6">
      <w:pPr>
        <w:numPr>
          <w:ilvl w:val="0"/>
          <w:numId w:val="54"/>
        </w:numPr>
        <w:rPr>
          <w:rFonts w:asciiTheme="majorBidi" w:hAnsiTheme="majorBidi" w:cstheme="majorBidi"/>
        </w:rPr>
      </w:pPr>
      <w:r w:rsidRPr="005213D6">
        <w:rPr>
          <w:rFonts w:asciiTheme="majorBidi" w:hAnsiTheme="majorBidi" w:cstheme="majorBidi"/>
        </w:rPr>
        <w:t>Strategic Partnerships: $10M</w:t>
      </w:r>
    </w:p>
    <w:p w14:paraId="3BF641B3" w14:textId="77777777" w:rsidR="005213D6" w:rsidRPr="005213D6" w:rsidRDefault="005213D6" w:rsidP="005213D6">
      <w:pPr>
        <w:numPr>
          <w:ilvl w:val="0"/>
          <w:numId w:val="54"/>
        </w:numPr>
        <w:rPr>
          <w:rFonts w:asciiTheme="majorBidi" w:hAnsiTheme="majorBidi" w:cstheme="majorBidi"/>
        </w:rPr>
      </w:pPr>
      <w:r w:rsidRPr="005213D6">
        <w:rPr>
          <w:rFonts w:asciiTheme="majorBidi" w:hAnsiTheme="majorBidi" w:cstheme="majorBidi"/>
        </w:rPr>
        <w:t>Research &amp; Development: $5M</w:t>
      </w:r>
    </w:p>
    <w:p w14:paraId="714336D5"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PERFORMANCE METRICS &amp; GOVERNANCE</w:t>
      </w:r>
    </w:p>
    <w:p w14:paraId="3A9B7C2B"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Key Performance Indicators</w:t>
      </w:r>
    </w:p>
    <w:p w14:paraId="79F761F2" w14:textId="77777777" w:rsidR="005213D6" w:rsidRPr="005213D6" w:rsidRDefault="005213D6" w:rsidP="005213D6">
      <w:pPr>
        <w:numPr>
          <w:ilvl w:val="0"/>
          <w:numId w:val="55"/>
        </w:numPr>
        <w:rPr>
          <w:rFonts w:asciiTheme="majorBidi" w:hAnsiTheme="majorBidi" w:cstheme="majorBidi"/>
        </w:rPr>
      </w:pPr>
      <w:r w:rsidRPr="005213D6">
        <w:rPr>
          <w:rFonts w:asciiTheme="majorBidi" w:hAnsiTheme="majorBidi" w:cstheme="majorBidi"/>
          <w:b/>
          <w:bCs/>
        </w:rPr>
        <w:t>Enrollment Growth:</w:t>
      </w:r>
      <w:r w:rsidRPr="005213D6">
        <w:rPr>
          <w:rFonts w:asciiTheme="majorBidi" w:hAnsiTheme="majorBidi" w:cstheme="majorBidi"/>
        </w:rPr>
        <w:t xml:space="preserve"> 15-25% annually across target segments</w:t>
      </w:r>
    </w:p>
    <w:p w14:paraId="22758970" w14:textId="77777777" w:rsidR="005213D6" w:rsidRPr="005213D6" w:rsidRDefault="005213D6" w:rsidP="005213D6">
      <w:pPr>
        <w:numPr>
          <w:ilvl w:val="0"/>
          <w:numId w:val="55"/>
        </w:numPr>
        <w:rPr>
          <w:rFonts w:asciiTheme="majorBidi" w:hAnsiTheme="majorBidi" w:cstheme="majorBidi"/>
        </w:rPr>
      </w:pPr>
      <w:r w:rsidRPr="005213D6">
        <w:rPr>
          <w:rFonts w:asciiTheme="majorBidi" w:hAnsiTheme="majorBidi" w:cstheme="majorBidi"/>
          <w:b/>
          <w:bCs/>
        </w:rPr>
        <w:t>Market Share:</w:t>
      </w:r>
      <w:r w:rsidRPr="005213D6">
        <w:rPr>
          <w:rFonts w:asciiTheme="majorBidi" w:hAnsiTheme="majorBidi" w:cstheme="majorBidi"/>
        </w:rPr>
        <w:t xml:space="preserve"> 20-30% in focused geographic regions</w:t>
      </w:r>
    </w:p>
    <w:p w14:paraId="12263F5E" w14:textId="77777777" w:rsidR="005213D6" w:rsidRPr="005213D6" w:rsidRDefault="005213D6" w:rsidP="005213D6">
      <w:pPr>
        <w:numPr>
          <w:ilvl w:val="0"/>
          <w:numId w:val="55"/>
        </w:numPr>
        <w:rPr>
          <w:rFonts w:asciiTheme="majorBidi" w:hAnsiTheme="majorBidi" w:cstheme="majorBidi"/>
        </w:rPr>
      </w:pPr>
      <w:r w:rsidRPr="005213D6">
        <w:rPr>
          <w:rFonts w:asciiTheme="majorBidi" w:hAnsiTheme="majorBidi" w:cstheme="majorBidi"/>
          <w:b/>
          <w:bCs/>
        </w:rPr>
        <w:t>Gender Parity Index:</w:t>
      </w:r>
      <w:r w:rsidRPr="005213D6">
        <w:rPr>
          <w:rFonts w:asciiTheme="majorBidi" w:hAnsiTheme="majorBidi" w:cstheme="majorBidi"/>
        </w:rPr>
        <w:t xml:space="preserve"> Achieve 1.1+ across all operations</w:t>
      </w:r>
    </w:p>
    <w:p w14:paraId="6059BD08" w14:textId="77777777" w:rsidR="005213D6" w:rsidRPr="005213D6" w:rsidRDefault="005213D6" w:rsidP="005213D6">
      <w:pPr>
        <w:numPr>
          <w:ilvl w:val="0"/>
          <w:numId w:val="55"/>
        </w:numPr>
        <w:rPr>
          <w:rFonts w:asciiTheme="majorBidi" w:hAnsiTheme="majorBidi" w:cstheme="majorBidi"/>
        </w:rPr>
      </w:pPr>
      <w:r w:rsidRPr="005213D6">
        <w:rPr>
          <w:rFonts w:asciiTheme="majorBidi" w:hAnsiTheme="majorBidi" w:cstheme="majorBidi"/>
          <w:b/>
          <w:bCs/>
        </w:rPr>
        <w:t>Regional Performance:</w:t>
      </w:r>
      <w:r w:rsidRPr="005213D6">
        <w:rPr>
          <w:rFonts w:asciiTheme="majorBidi" w:hAnsiTheme="majorBidi" w:cstheme="majorBidi"/>
        </w:rPr>
        <w:t xml:space="preserve"> Top quartile positioning within 36 months</w:t>
      </w:r>
    </w:p>
    <w:p w14:paraId="6DB5CB79"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lastRenderedPageBreak/>
        <w:t>Financial Targets</w:t>
      </w:r>
    </w:p>
    <w:p w14:paraId="724BCC8D" w14:textId="77777777" w:rsidR="005213D6" w:rsidRPr="005213D6" w:rsidRDefault="005213D6" w:rsidP="005213D6">
      <w:pPr>
        <w:numPr>
          <w:ilvl w:val="0"/>
          <w:numId w:val="56"/>
        </w:numPr>
        <w:rPr>
          <w:rFonts w:asciiTheme="majorBidi" w:hAnsiTheme="majorBidi" w:cstheme="majorBidi"/>
        </w:rPr>
      </w:pPr>
      <w:r w:rsidRPr="005213D6">
        <w:rPr>
          <w:rFonts w:asciiTheme="majorBidi" w:hAnsiTheme="majorBidi" w:cstheme="majorBidi"/>
          <w:b/>
          <w:bCs/>
        </w:rPr>
        <w:t>Total Investment:</w:t>
      </w:r>
      <w:r w:rsidRPr="005213D6">
        <w:rPr>
          <w:rFonts w:asciiTheme="majorBidi" w:hAnsiTheme="majorBidi" w:cstheme="majorBidi"/>
        </w:rPr>
        <w:t xml:space="preserve"> $130M over 5-year period</w:t>
      </w:r>
    </w:p>
    <w:p w14:paraId="60F33721" w14:textId="77777777" w:rsidR="005213D6" w:rsidRPr="005213D6" w:rsidRDefault="005213D6" w:rsidP="005213D6">
      <w:pPr>
        <w:numPr>
          <w:ilvl w:val="0"/>
          <w:numId w:val="56"/>
        </w:numPr>
        <w:rPr>
          <w:rFonts w:asciiTheme="majorBidi" w:hAnsiTheme="majorBidi" w:cstheme="majorBidi"/>
        </w:rPr>
      </w:pPr>
      <w:r w:rsidRPr="005213D6">
        <w:rPr>
          <w:rFonts w:asciiTheme="majorBidi" w:hAnsiTheme="majorBidi" w:cstheme="majorBidi"/>
          <w:b/>
          <w:bCs/>
        </w:rPr>
        <w:t>Revenue Generation:</w:t>
      </w:r>
      <w:r w:rsidRPr="005213D6">
        <w:rPr>
          <w:rFonts w:asciiTheme="majorBidi" w:hAnsiTheme="majorBidi" w:cstheme="majorBidi"/>
        </w:rPr>
        <w:t xml:space="preserve"> $180-220M at full deployment</w:t>
      </w:r>
    </w:p>
    <w:p w14:paraId="6D96DB35" w14:textId="77777777" w:rsidR="005213D6" w:rsidRPr="005213D6" w:rsidRDefault="005213D6" w:rsidP="005213D6">
      <w:pPr>
        <w:numPr>
          <w:ilvl w:val="0"/>
          <w:numId w:val="56"/>
        </w:numPr>
        <w:rPr>
          <w:rFonts w:asciiTheme="majorBidi" w:hAnsiTheme="majorBidi" w:cstheme="majorBidi"/>
        </w:rPr>
      </w:pPr>
      <w:r w:rsidRPr="005213D6">
        <w:rPr>
          <w:rFonts w:asciiTheme="majorBidi" w:hAnsiTheme="majorBidi" w:cstheme="majorBidi"/>
          <w:b/>
          <w:bCs/>
        </w:rPr>
        <w:t>Portfolio Valuation:</w:t>
      </w:r>
      <w:r w:rsidRPr="005213D6">
        <w:rPr>
          <w:rFonts w:asciiTheme="majorBidi" w:hAnsiTheme="majorBidi" w:cstheme="majorBidi"/>
        </w:rPr>
        <w:t xml:space="preserve"> $300-400M at exit readiness</w:t>
      </w:r>
    </w:p>
    <w:p w14:paraId="4F646183" w14:textId="77777777" w:rsidR="005213D6" w:rsidRPr="005213D6" w:rsidRDefault="005213D6" w:rsidP="005213D6">
      <w:pPr>
        <w:numPr>
          <w:ilvl w:val="0"/>
          <w:numId w:val="56"/>
        </w:numPr>
        <w:rPr>
          <w:rFonts w:asciiTheme="majorBidi" w:hAnsiTheme="majorBidi" w:cstheme="majorBidi"/>
        </w:rPr>
      </w:pPr>
      <w:r w:rsidRPr="005213D6">
        <w:rPr>
          <w:rFonts w:asciiTheme="majorBidi" w:hAnsiTheme="majorBidi" w:cstheme="majorBidi"/>
          <w:b/>
          <w:bCs/>
        </w:rPr>
        <w:t>Target IRR:</w:t>
      </w:r>
      <w:r w:rsidRPr="005213D6">
        <w:rPr>
          <w:rFonts w:asciiTheme="majorBidi" w:hAnsiTheme="majorBidi" w:cstheme="majorBidi"/>
        </w:rPr>
        <w:t xml:space="preserve"> 28-35% risk-adjusted returns</w:t>
      </w:r>
    </w:p>
    <w:p w14:paraId="58FDAFBC"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Risk Management Framework</w:t>
      </w:r>
    </w:p>
    <w:p w14:paraId="174BB4A3" w14:textId="77777777" w:rsidR="005213D6" w:rsidRPr="005213D6" w:rsidRDefault="005213D6" w:rsidP="005213D6">
      <w:pPr>
        <w:numPr>
          <w:ilvl w:val="0"/>
          <w:numId w:val="57"/>
        </w:numPr>
        <w:rPr>
          <w:rFonts w:asciiTheme="majorBidi" w:hAnsiTheme="majorBidi" w:cstheme="majorBidi"/>
        </w:rPr>
      </w:pPr>
      <w:r w:rsidRPr="005213D6">
        <w:rPr>
          <w:rFonts w:asciiTheme="majorBidi" w:hAnsiTheme="majorBidi" w:cstheme="majorBidi"/>
          <w:b/>
          <w:bCs/>
        </w:rPr>
        <w:t>Geographic Diversification:</w:t>
      </w:r>
      <w:r w:rsidRPr="005213D6">
        <w:rPr>
          <w:rFonts w:asciiTheme="majorBidi" w:hAnsiTheme="majorBidi" w:cstheme="majorBidi"/>
        </w:rPr>
        <w:t xml:space="preserve"> Maximum 30% exposure to any single region</w:t>
      </w:r>
    </w:p>
    <w:p w14:paraId="4E5D95EC" w14:textId="77777777" w:rsidR="005213D6" w:rsidRPr="005213D6" w:rsidRDefault="005213D6" w:rsidP="005213D6">
      <w:pPr>
        <w:numPr>
          <w:ilvl w:val="0"/>
          <w:numId w:val="57"/>
        </w:numPr>
        <w:rPr>
          <w:rFonts w:asciiTheme="majorBidi" w:hAnsiTheme="majorBidi" w:cstheme="majorBidi"/>
        </w:rPr>
      </w:pPr>
      <w:r w:rsidRPr="005213D6">
        <w:rPr>
          <w:rFonts w:asciiTheme="majorBidi" w:hAnsiTheme="majorBidi" w:cstheme="majorBidi"/>
          <w:b/>
          <w:bCs/>
        </w:rPr>
        <w:t>Regulatory Compliance:</w:t>
      </w:r>
      <w:r w:rsidRPr="005213D6">
        <w:rPr>
          <w:rFonts w:asciiTheme="majorBidi" w:hAnsiTheme="majorBidi" w:cstheme="majorBidi"/>
        </w:rPr>
        <w:t xml:space="preserve"> 20% buffer above minimum regulatory requirements</w:t>
      </w:r>
    </w:p>
    <w:p w14:paraId="774D6E3A" w14:textId="77777777" w:rsidR="005213D6" w:rsidRPr="005213D6" w:rsidRDefault="005213D6" w:rsidP="005213D6">
      <w:pPr>
        <w:numPr>
          <w:ilvl w:val="0"/>
          <w:numId w:val="57"/>
        </w:numPr>
        <w:rPr>
          <w:rFonts w:asciiTheme="majorBidi" w:hAnsiTheme="majorBidi" w:cstheme="majorBidi"/>
        </w:rPr>
      </w:pPr>
      <w:r w:rsidRPr="005213D6">
        <w:rPr>
          <w:rFonts w:asciiTheme="majorBidi" w:hAnsiTheme="majorBidi" w:cstheme="majorBidi"/>
          <w:b/>
          <w:bCs/>
        </w:rPr>
        <w:t>Market Risk Hedging:</w:t>
      </w:r>
      <w:r w:rsidRPr="005213D6">
        <w:rPr>
          <w:rFonts w:asciiTheme="majorBidi" w:hAnsiTheme="majorBidi" w:cstheme="majorBidi"/>
        </w:rPr>
        <w:t xml:space="preserve"> Balanced portfolio across demographic and geographic segments</w:t>
      </w:r>
    </w:p>
    <w:p w14:paraId="708A8BB2"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IMPLEMENTATION TIMELINE</w:t>
      </w:r>
    </w:p>
    <w:p w14:paraId="0E1E29C6"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Q1-Q2 2025:</w:t>
      </w:r>
      <w:r w:rsidRPr="005213D6">
        <w:rPr>
          <w:rFonts w:asciiTheme="majorBidi" w:hAnsiTheme="majorBidi" w:cstheme="majorBidi"/>
        </w:rPr>
        <w:t xml:space="preserve"> Due diligence completion, initial capital deployment </w:t>
      </w:r>
      <w:r w:rsidRPr="005213D6">
        <w:rPr>
          <w:rFonts w:asciiTheme="majorBidi" w:hAnsiTheme="majorBidi" w:cstheme="majorBidi"/>
          <w:b/>
          <w:bCs/>
        </w:rPr>
        <w:t>Q3-Q4 2025:</w:t>
      </w:r>
      <w:r w:rsidRPr="005213D6">
        <w:rPr>
          <w:rFonts w:asciiTheme="majorBidi" w:hAnsiTheme="majorBidi" w:cstheme="majorBidi"/>
        </w:rPr>
        <w:t xml:space="preserve"> Infrastructure development, market entry execution </w:t>
      </w:r>
      <w:r w:rsidRPr="005213D6">
        <w:rPr>
          <w:rFonts w:asciiTheme="majorBidi" w:hAnsiTheme="majorBidi" w:cstheme="majorBidi"/>
          <w:b/>
          <w:bCs/>
        </w:rPr>
        <w:t>Q1-Q2 2026:</w:t>
      </w:r>
      <w:r w:rsidRPr="005213D6">
        <w:rPr>
          <w:rFonts w:asciiTheme="majorBidi" w:hAnsiTheme="majorBidi" w:cstheme="majorBidi"/>
        </w:rPr>
        <w:t xml:space="preserve"> Operational scaling, performance optimization </w:t>
      </w:r>
      <w:r w:rsidRPr="005213D6">
        <w:rPr>
          <w:rFonts w:asciiTheme="majorBidi" w:hAnsiTheme="majorBidi" w:cstheme="majorBidi"/>
          <w:b/>
          <w:bCs/>
        </w:rPr>
        <w:t>Q3-Q4 2026:</w:t>
      </w:r>
      <w:r w:rsidRPr="005213D6">
        <w:rPr>
          <w:rFonts w:asciiTheme="majorBidi" w:hAnsiTheme="majorBidi" w:cstheme="majorBidi"/>
        </w:rPr>
        <w:t xml:space="preserve"> Portfolio expansion, strategic partnership development </w:t>
      </w:r>
      <w:r w:rsidRPr="005213D6">
        <w:rPr>
          <w:rFonts w:asciiTheme="majorBidi" w:hAnsiTheme="majorBidi" w:cstheme="majorBidi"/>
          <w:b/>
          <w:bCs/>
        </w:rPr>
        <w:t>2027-2029:</w:t>
      </w:r>
      <w:r w:rsidRPr="005213D6">
        <w:rPr>
          <w:rFonts w:asciiTheme="majorBidi" w:hAnsiTheme="majorBidi" w:cstheme="majorBidi"/>
        </w:rPr>
        <w:t xml:space="preserve"> Market consolidation, exit strategy preparation</w:t>
      </w:r>
    </w:p>
    <w:p w14:paraId="36353904" w14:textId="77777777" w:rsidR="005213D6" w:rsidRPr="005213D6" w:rsidRDefault="005213D6" w:rsidP="005213D6">
      <w:pPr>
        <w:rPr>
          <w:rFonts w:asciiTheme="majorBidi" w:hAnsiTheme="majorBidi" w:cstheme="majorBidi"/>
          <w:b/>
          <w:bCs/>
        </w:rPr>
      </w:pPr>
      <w:r w:rsidRPr="005213D6">
        <w:rPr>
          <w:rFonts w:asciiTheme="majorBidi" w:hAnsiTheme="majorBidi" w:cstheme="majorBidi"/>
          <w:b/>
          <w:bCs/>
        </w:rPr>
        <w:t>COMPETITIVE POSITIONING</w:t>
      </w:r>
    </w:p>
    <w:p w14:paraId="32D92F1D"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Market Advantages</w:t>
      </w:r>
    </w:p>
    <w:p w14:paraId="50F12B26" w14:textId="77777777" w:rsidR="005213D6" w:rsidRPr="005213D6" w:rsidRDefault="005213D6" w:rsidP="005213D6">
      <w:pPr>
        <w:numPr>
          <w:ilvl w:val="0"/>
          <w:numId w:val="58"/>
        </w:numPr>
        <w:rPr>
          <w:rFonts w:asciiTheme="majorBidi" w:hAnsiTheme="majorBidi" w:cstheme="majorBidi"/>
        </w:rPr>
      </w:pPr>
      <w:r w:rsidRPr="005213D6">
        <w:rPr>
          <w:rFonts w:asciiTheme="majorBidi" w:hAnsiTheme="majorBidi" w:cstheme="majorBidi"/>
        </w:rPr>
        <w:t>First-mover positioning in underserved segments</w:t>
      </w:r>
    </w:p>
    <w:p w14:paraId="4F1132CF" w14:textId="77777777" w:rsidR="005213D6" w:rsidRPr="005213D6" w:rsidRDefault="005213D6" w:rsidP="005213D6">
      <w:pPr>
        <w:numPr>
          <w:ilvl w:val="0"/>
          <w:numId w:val="58"/>
        </w:numPr>
        <w:rPr>
          <w:rFonts w:asciiTheme="majorBidi" w:hAnsiTheme="majorBidi" w:cstheme="majorBidi"/>
        </w:rPr>
      </w:pPr>
      <w:r w:rsidRPr="005213D6">
        <w:rPr>
          <w:rFonts w:asciiTheme="majorBidi" w:hAnsiTheme="majorBidi" w:cstheme="majorBidi"/>
        </w:rPr>
        <w:t>Data-driven investment approach with proven market validation</w:t>
      </w:r>
    </w:p>
    <w:p w14:paraId="61D71F84" w14:textId="77777777" w:rsidR="005213D6" w:rsidRPr="005213D6" w:rsidRDefault="005213D6" w:rsidP="005213D6">
      <w:pPr>
        <w:numPr>
          <w:ilvl w:val="0"/>
          <w:numId w:val="58"/>
        </w:numPr>
        <w:rPr>
          <w:rFonts w:asciiTheme="majorBidi" w:hAnsiTheme="majorBidi" w:cstheme="majorBidi"/>
        </w:rPr>
      </w:pPr>
      <w:r w:rsidRPr="005213D6">
        <w:rPr>
          <w:rFonts w:asciiTheme="majorBidi" w:hAnsiTheme="majorBidi" w:cstheme="majorBidi"/>
        </w:rPr>
        <w:t>Comprehensive geographic and demographic diversification strategy</w:t>
      </w:r>
    </w:p>
    <w:p w14:paraId="14E0EF83" w14:textId="77777777" w:rsidR="005213D6" w:rsidRPr="005213D6" w:rsidRDefault="005213D6" w:rsidP="005213D6">
      <w:pPr>
        <w:numPr>
          <w:ilvl w:val="0"/>
          <w:numId w:val="58"/>
        </w:numPr>
        <w:rPr>
          <w:rFonts w:asciiTheme="majorBidi" w:hAnsiTheme="majorBidi" w:cstheme="majorBidi"/>
        </w:rPr>
      </w:pPr>
      <w:r w:rsidRPr="005213D6">
        <w:rPr>
          <w:rFonts w:asciiTheme="majorBidi" w:hAnsiTheme="majorBidi" w:cstheme="majorBidi"/>
        </w:rPr>
        <w:t>Strong ESG credentials attracting institutional capital</w:t>
      </w:r>
    </w:p>
    <w:p w14:paraId="14511EED"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Value Creation Drivers</w:t>
      </w:r>
    </w:p>
    <w:p w14:paraId="071C35A1" w14:textId="77777777" w:rsidR="005213D6" w:rsidRPr="005213D6" w:rsidRDefault="005213D6" w:rsidP="005213D6">
      <w:pPr>
        <w:numPr>
          <w:ilvl w:val="0"/>
          <w:numId w:val="59"/>
        </w:numPr>
        <w:rPr>
          <w:rFonts w:asciiTheme="majorBidi" w:hAnsiTheme="majorBidi" w:cstheme="majorBidi"/>
        </w:rPr>
      </w:pPr>
      <w:r w:rsidRPr="005213D6">
        <w:rPr>
          <w:rFonts w:asciiTheme="majorBidi" w:hAnsiTheme="majorBidi" w:cstheme="majorBidi"/>
        </w:rPr>
        <w:t>Operational efficiency improvements through best practice implementation</w:t>
      </w:r>
    </w:p>
    <w:p w14:paraId="6042188F" w14:textId="77777777" w:rsidR="005213D6" w:rsidRPr="005213D6" w:rsidRDefault="005213D6" w:rsidP="005213D6">
      <w:pPr>
        <w:numPr>
          <w:ilvl w:val="0"/>
          <w:numId w:val="59"/>
        </w:numPr>
        <w:rPr>
          <w:rFonts w:asciiTheme="majorBidi" w:hAnsiTheme="majorBidi" w:cstheme="majorBidi"/>
        </w:rPr>
      </w:pPr>
      <w:r w:rsidRPr="005213D6">
        <w:rPr>
          <w:rFonts w:asciiTheme="majorBidi" w:hAnsiTheme="majorBidi" w:cstheme="majorBidi"/>
        </w:rPr>
        <w:t>Premium pricing in underserved market segments</w:t>
      </w:r>
    </w:p>
    <w:p w14:paraId="62B51331" w14:textId="77777777" w:rsidR="005213D6" w:rsidRPr="005213D6" w:rsidRDefault="005213D6" w:rsidP="005213D6">
      <w:pPr>
        <w:numPr>
          <w:ilvl w:val="0"/>
          <w:numId w:val="59"/>
        </w:numPr>
        <w:rPr>
          <w:rFonts w:asciiTheme="majorBidi" w:hAnsiTheme="majorBidi" w:cstheme="majorBidi"/>
        </w:rPr>
      </w:pPr>
      <w:r w:rsidRPr="005213D6">
        <w:rPr>
          <w:rFonts w:asciiTheme="majorBidi" w:hAnsiTheme="majorBidi" w:cstheme="majorBidi"/>
        </w:rPr>
        <w:t>Strategic asset positioning for eventual market consolidation</w:t>
      </w:r>
    </w:p>
    <w:p w14:paraId="57AE388F" w14:textId="77777777" w:rsidR="005213D6" w:rsidRPr="005213D6" w:rsidRDefault="005213D6" w:rsidP="005213D6">
      <w:pPr>
        <w:numPr>
          <w:ilvl w:val="0"/>
          <w:numId w:val="59"/>
        </w:numPr>
        <w:rPr>
          <w:rFonts w:asciiTheme="majorBidi" w:hAnsiTheme="majorBidi" w:cstheme="majorBidi"/>
        </w:rPr>
      </w:pPr>
      <w:r w:rsidRPr="005213D6">
        <w:rPr>
          <w:rFonts w:asciiTheme="majorBidi" w:hAnsiTheme="majorBidi" w:cstheme="majorBidi"/>
        </w:rPr>
        <w:t>Technology-enabled scalability reducing marginal expansion costs</w:t>
      </w:r>
    </w:p>
    <w:p w14:paraId="51BCA628" w14:textId="77777777" w:rsidR="005213D6" w:rsidRPr="005213D6" w:rsidRDefault="005213D6" w:rsidP="005213D6">
      <w:pPr>
        <w:rPr>
          <w:rFonts w:asciiTheme="majorBidi" w:hAnsiTheme="majorBidi" w:cstheme="majorBidi"/>
        </w:rPr>
      </w:pPr>
      <w:r w:rsidRPr="005213D6">
        <w:rPr>
          <w:rFonts w:asciiTheme="majorBidi" w:hAnsiTheme="majorBidi" w:cstheme="majorBidi"/>
        </w:rPr>
        <w:pict w14:anchorId="2C597651">
          <v:rect id="_x0000_i1078" style="width:0;height:1.5pt" o:hralign="center" o:hrstd="t" o:hr="t" fillcolor="#a0a0a0" stroked="f"/>
        </w:pict>
      </w:r>
    </w:p>
    <w:p w14:paraId="4D3F2F10" w14:textId="77777777" w:rsidR="005213D6" w:rsidRPr="005213D6" w:rsidRDefault="005213D6" w:rsidP="005213D6">
      <w:pPr>
        <w:rPr>
          <w:rFonts w:asciiTheme="majorBidi" w:hAnsiTheme="majorBidi" w:cstheme="majorBidi"/>
        </w:rPr>
      </w:pPr>
      <w:r w:rsidRPr="005213D6">
        <w:rPr>
          <w:rFonts w:asciiTheme="majorBidi" w:hAnsiTheme="majorBidi" w:cstheme="majorBidi"/>
          <w:b/>
          <w:bCs/>
        </w:rPr>
        <w:t>INVESTMENT RECOMMENDATION:</w:t>
      </w:r>
      <w:r w:rsidRPr="005213D6">
        <w:rPr>
          <w:rFonts w:asciiTheme="majorBidi" w:hAnsiTheme="majorBidi" w:cstheme="majorBidi"/>
        </w:rPr>
        <w:t xml:space="preserve"> STRONG BUY </w:t>
      </w:r>
      <w:r w:rsidRPr="005213D6">
        <w:rPr>
          <w:rFonts w:asciiTheme="majorBidi" w:hAnsiTheme="majorBidi" w:cstheme="majorBidi"/>
          <w:b/>
          <w:bCs/>
        </w:rPr>
        <w:t>Total Capital Requirement:</w:t>
      </w:r>
      <w:r w:rsidRPr="005213D6">
        <w:rPr>
          <w:rFonts w:asciiTheme="majorBidi" w:hAnsiTheme="majorBidi" w:cstheme="majorBidi"/>
        </w:rPr>
        <w:t xml:space="preserve"> $130M over 60-month deployment</w:t>
      </w:r>
      <w:r w:rsidRPr="005213D6">
        <w:rPr>
          <w:rFonts w:asciiTheme="majorBidi" w:hAnsiTheme="majorBidi" w:cstheme="majorBidi"/>
        </w:rPr>
        <w:br/>
      </w:r>
      <w:r w:rsidRPr="005213D6">
        <w:rPr>
          <w:rFonts w:asciiTheme="majorBidi" w:hAnsiTheme="majorBidi" w:cstheme="majorBidi"/>
          <w:b/>
          <w:bCs/>
        </w:rPr>
        <w:lastRenderedPageBreak/>
        <w:t>Projected Enterprise Value:</w:t>
      </w:r>
      <w:r w:rsidRPr="005213D6">
        <w:rPr>
          <w:rFonts w:asciiTheme="majorBidi" w:hAnsiTheme="majorBidi" w:cstheme="majorBidi"/>
        </w:rPr>
        <w:t xml:space="preserve"> $350-450M at maturity</w:t>
      </w:r>
      <w:r w:rsidRPr="005213D6">
        <w:rPr>
          <w:rFonts w:asciiTheme="majorBidi" w:hAnsiTheme="majorBidi" w:cstheme="majorBidi"/>
        </w:rPr>
        <w:br/>
      </w:r>
      <w:r w:rsidRPr="005213D6">
        <w:rPr>
          <w:rFonts w:asciiTheme="majorBidi" w:hAnsiTheme="majorBidi" w:cstheme="majorBidi"/>
          <w:b/>
          <w:bCs/>
        </w:rPr>
        <w:t>Risk-Adjusted IRR:</w:t>
      </w:r>
      <w:r w:rsidRPr="005213D6">
        <w:rPr>
          <w:rFonts w:asciiTheme="majorBidi" w:hAnsiTheme="majorBidi" w:cstheme="majorBidi"/>
        </w:rPr>
        <w:t xml:space="preserve"> 30-38%</w:t>
      </w:r>
    </w:p>
    <w:p w14:paraId="0BFD4D2F" w14:textId="77777777" w:rsidR="005213D6" w:rsidRPr="005213D6" w:rsidRDefault="005213D6" w:rsidP="005213D6">
      <w:pPr>
        <w:rPr>
          <w:rFonts w:asciiTheme="majorBidi" w:hAnsiTheme="majorBidi" w:cstheme="majorBidi"/>
        </w:rPr>
      </w:pPr>
      <w:r w:rsidRPr="005213D6">
        <w:rPr>
          <w:rFonts w:asciiTheme="majorBidi" w:hAnsiTheme="majorBidi" w:cstheme="majorBidi"/>
          <w:i/>
          <w:iCs/>
        </w:rPr>
        <w:t>This analysis is based on comprehensive market data and represents professional investment advisory opinions. All projections are subject to market conditions and regulatory changes. Investors should conduct independent due diligence and consider individual risk profiles before making investment decisions.</w:t>
      </w:r>
    </w:p>
    <w:p w14:paraId="4515E99E" w14:textId="77777777" w:rsidR="00D23D84" w:rsidRPr="005213D6" w:rsidRDefault="00D23D84">
      <w:pPr>
        <w:rPr>
          <w:rFonts w:asciiTheme="majorBidi" w:hAnsiTheme="majorBidi" w:cstheme="majorBidi"/>
        </w:rPr>
      </w:pPr>
    </w:p>
    <w:sectPr w:rsidR="00D23D84" w:rsidRPr="0052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0990"/>
    <w:multiLevelType w:val="multilevel"/>
    <w:tmpl w:val="28A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441"/>
    <w:multiLevelType w:val="multilevel"/>
    <w:tmpl w:val="489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96761"/>
    <w:multiLevelType w:val="multilevel"/>
    <w:tmpl w:val="84B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D6158"/>
    <w:multiLevelType w:val="multilevel"/>
    <w:tmpl w:val="6970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23D61"/>
    <w:multiLevelType w:val="multilevel"/>
    <w:tmpl w:val="EEC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E6460"/>
    <w:multiLevelType w:val="multilevel"/>
    <w:tmpl w:val="0D9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D660D"/>
    <w:multiLevelType w:val="multilevel"/>
    <w:tmpl w:val="A27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053E7"/>
    <w:multiLevelType w:val="multilevel"/>
    <w:tmpl w:val="2EE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5535C"/>
    <w:multiLevelType w:val="multilevel"/>
    <w:tmpl w:val="5F3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90F96"/>
    <w:multiLevelType w:val="multilevel"/>
    <w:tmpl w:val="25E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606F8"/>
    <w:multiLevelType w:val="multilevel"/>
    <w:tmpl w:val="325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943E1"/>
    <w:multiLevelType w:val="multilevel"/>
    <w:tmpl w:val="8B96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F5EC4"/>
    <w:multiLevelType w:val="multilevel"/>
    <w:tmpl w:val="A55E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A64E9"/>
    <w:multiLevelType w:val="multilevel"/>
    <w:tmpl w:val="253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882"/>
    <w:multiLevelType w:val="multilevel"/>
    <w:tmpl w:val="D81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93ED2"/>
    <w:multiLevelType w:val="multilevel"/>
    <w:tmpl w:val="71F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D3B14"/>
    <w:multiLevelType w:val="multilevel"/>
    <w:tmpl w:val="3B8A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15F3E"/>
    <w:multiLevelType w:val="multilevel"/>
    <w:tmpl w:val="142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4230E"/>
    <w:multiLevelType w:val="multilevel"/>
    <w:tmpl w:val="0E2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F7B95"/>
    <w:multiLevelType w:val="multilevel"/>
    <w:tmpl w:val="8D9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419EA"/>
    <w:multiLevelType w:val="multilevel"/>
    <w:tmpl w:val="BDC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D1C7B"/>
    <w:multiLevelType w:val="multilevel"/>
    <w:tmpl w:val="826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86802"/>
    <w:multiLevelType w:val="multilevel"/>
    <w:tmpl w:val="ADCE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91BBB"/>
    <w:multiLevelType w:val="multilevel"/>
    <w:tmpl w:val="383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B1DCE"/>
    <w:multiLevelType w:val="multilevel"/>
    <w:tmpl w:val="2E3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13FA8"/>
    <w:multiLevelType w:val="multilevel"/>
    <w:tmpl w:val="AC4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05FC5"/>
    <w:multiLevelType w:val="multilevel"/>
    <w:tmpl w:val="A1E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E5FC0"/>
    <w:multiLevelType w:val="multilevel"/>
    <w:tmpl w:val="1A9A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5D2527"/>
    <w:multiLevelType w:val="multilevel"/>
    <w:tmpl w:val="061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90A22"/>
    <w:multiLevelType w:val="multilevel"/>
    <w:tmpl w:val="F13A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77602"/>
    <w:multiLevelType w:val="multilevel"/>
    <w:tmpl w:val="D302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B44D2"/>
    <w:multiLevelType w:val="multilevel"/>
    <w:tmpl w:val="BFA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05401"/>
    <w:multiLevelType w:val="multilevel"/>
    <w:tmpl w:val="CB7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02B01"/>
    <w:multiLevelType w:val="multilevel"/>
    <w:tmpl w:val="F88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C2336"/>
    <w:multiLevelType w:val="multilevel"/>
    <w:tmpl w:val="13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B52B8"/>
    <w:multiLevelType w:val="multilevel"/>
    <w:tmpl w:val="378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C0294"/>
    <w:multiLevelType w:val="multilevel"/>
    <w:tmpl w:val="25BA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7F1C"/>
    <w:multiLevelType w:val="multilevel"/>
    <w:tmpl w:val="6968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F4B43"/>
    <w:multiLevelType w:val="multilevel"/>
    <w:tmpl w:val="118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E4576"/>
    <w:multiLevelType w:val="multilevel"/>
    <w:tmpl w:val="14A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4970F5"/>
    <w:multiLevelType w:val="multilevel"/>
    <w:tmpl w:val="863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2911B1"/>
    <w:multiLevelType w:val="multilevel"/>
    <w:tmpl w:val="B27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D75631"/>
    <w:multiLevelType w:val="multilevel"/>
    <w:tmpl w:val="A6B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FD0253"/>
    <w:multiLevelType w:val="multilevel"/>
    <w:tmpl w:val="921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4A1001"/>
    <w:multiLevelType w:val="multilevel"/>
    <w:tmpl w:val="35FE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5F1415"/>
    <w:multiLevelType w:val="multilevel"/>
    <w:tmpl w:val="554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477F5"/>
    <w:multiLevelType w:val="multilevel"/>
    <w:tmpl w:val="76E6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880C78"/>
    <w:multiLevelType w:val="multilevel"/>
    <w:tmpl w:val="1E8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AB5E34"/>
    <w:multiLevelType w:val="multilevel"/>
    <w:tmpl w:val="7B0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D21EC"/>
    <w:multiLevelType w:val="multilevel"/>
    <w:tmpl w:val="078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8730E"/>
    <w:multiLevelType w:val="multilevel"/>
    <w:tmpl w:val="68BE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127F40"/>
    <w:multiLevelType w:val="multilevel"/>
    <w:tmpl w:val="08A4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4586B"/>
    <w:multiLevelType w:val="multilevel"/>
    <w:tmpl w:val="7A7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E10212"/>
    <w:multiLevelType w:val="multilevel"/>
    <w:tmpl w:val="392A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4505A1"/>
    <w:multiLevelType w:val="multilevel"/>
    <w:tmpl w:val="325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9035E"/>
    <w:multiLevelType w:val="multilevel"/>
    <w:tmpl w:val="C7D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EA5C90"/>
    <w:multiLevelType w:val="multilevel"/>
    <w:tmpl w:val="7B4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9E623D"/>
    <w:multiLevelType w:val="multilevel"/>
    <w:tmpl w:val="FC7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17062"/>
    <w:multiLevelType w:val="multilevel"/>
    <w:tmpl w:val="44D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336297">
    <w:abstractNumId w:val="10"/>
  </w:num>
  <w:num w:numId="2" w16cid:durableId="1830246124">
    <w:abstractNumId w:val="39"/>
  </w:num>
  <w:num w:numId="3" w16cid:durableId="412356909">
    <w:abstractNumId w:val="54"/>
  </w:num>
  <w:num w:numId="4" w16cid:durableId="1298098370">
    <w:abstractNumId w:val="9"/>
  </w:num>
  <w:num w:numId="5" w16cid:durableId="1060710693">
    <w:abstractNumId w:val="18"/>
  </w:num>
  <w:num w:numId="6" w16cid:durableId="1792750393">
    <w:abstractNumId w:val="26"/>
  </w:num>
  <w:num w:numId="7" w16cid:durableId="1335305279">
    <w:abstractNumId w:val="29"/>
  </w:num>
  <w:num w:numId="8" w16cid:durableId="1604917691">
    <w:abstractNumId w:val="38"/>
  </w:num>
  <w:num w:numId="9" w16cid:durableId="40904842">
    <w:abstractNumId w:val="47"/>
  </w:num>
  <w:num w:numId="10" w16cid:durableId="1781803544">
    <w:abstractNumId w:val="57"/>
  </w:num>
  <w:num w:numId="11" w16cid:durableId="1955211462">
    <w:abstractNumId w:val="19"/>
  </w:num>
  <w:num w:numId="12" w16cid:durableId="674039570">
    <w:abstractNumId w:val="49"/>
  </w:num>
  <w:num w:numId="13" w16cid:durableId="1133793640">
    <w:abstractNumId w:val="53"/>
  </w:num>
  <w:num w:numId="14" w16cid:durableId="1171680533">
    <w:abstractNumId w:val="52"/>
  </w:num>
  <w:num w:numId="15" w16cid:durableId="1233663861">
    <w:abstractNumId w:val="7"/>
  </w:num>
  <w:num w:numId="16" w16cid:durableId="539510612">
    <w:abstractNumId w:val="25"/>
  </w:num>
  <w:num w:numId="17" w16cid:durableId="1098867959">
    <w:abstractNumId w:val="13"/>
  </w:num>
  <w:num w:numId="18" w16cid:durableId="1236429554">
    <w:abstractNumId w:val="14"/>
  </w:num>
  <w:num w:numId="19" w16cid:durableId="368116258">
    <w:abstractNumId w:val="15"/>
  </w:num>
  <w:num w:numId="20" w16cid:durableId="708728225">
    <w:abstractNumId w:val="11"/>
  </w:num>
  <w:num w:numId="21" w16cid:durableId="764157606">
    <w:abstractNumId w:val="28"/>
  </w:num>
  <w:num w:numId="22" w16cid:durableId="1119759942">
    <w:abstractNumId w:val="3"/>
  </w:num>
  <w:num w:numId="23" w16cid:durableId="617879104">
    <w:abstractNumId w:val="48"/>
  </w:num>
  <w:num w:numId="24" w16cid:durableId="969702054">
    <w:abstractNumId w:val="43"/>
  </w:num>
  <w:num w:numId="25" w16cid:durableId="170411551">
    <w:abstractNumId w:val="58"/>
  </w:num>
  <w:num w:numId="26" w16cid:durableId="1880899244">
    <w:abstractNumId w:val="44"/>
  </w:num>
  <w:num w:numId="27" w16cid:durableId="758528545">
    <w:abstractNumId w:val="6"/>
  </w:num>
  <w:num w:numId="28" w16cid:durableId="1022785604">
    <w:abstractNumId w:val="32"/>
  </w:num>
  <w:num w:numId="29" w16cid:durableId="1769810751">
    <w:abstractNumId w:val="20"/>
  </w:num>
  <w:num w:numId="30" w16cid:durableId="817961899">
    <w:abstractNumId w:val="33"/>
  </w:num>
  <w:num w:numId="31" w16cid:durableId="1260137888">
    <w:abstractNumId w:val="16"/>
  </w:num>
  <w:num w:numId="32" w16cid:durableId="1472672289">
    <w:abstractNumId w:val="2"/>
  </w:num>
  <w:num w:numId="33" w16cid:durableId="1332024767">
    <w:abstractNumId w:val="42"/>
  </w:num>
  <w:num w:numId="34" w16cid:durableId="1785272283">
    <w:abstractNumId w:val="50"/>
  </w:num>
  <w:num w:numId="35" w16cid:durableId="406541375">
    <w:abstractNumId w:val="46"/>
  </w:num>
  <w:num w:numId="36" w16cid:durableId="1112939463">
    <w:abstractNumId w:val="30"/>
  </w:num>
  <w:num w:numId="37" w16cid:durableId="279576756">
    <w:abstractNumId w:val="36"/>
  </w:num>
  <w:num w:numId="38" w16cid:durableId="286353349">
    <w:abstractNumId w:val="21"/>
  </w:num>
  <w:num w:numId="39" w16cid:durableId="1680962746">
    <w:abstractNumId w:val="35"/>
  </w:num>
  <w:num w:numId="40" w16cid:durableId="49695598">
    <w:abstractNumId w:val="37"/>
  </w:num>
  <w:num w:numId="41" w16cid:durableId="443959535">
    <w:abstractNumId w:val="5"/>
  </w:num>
  <w:num w:numId="42" w16cid:durableId="437214362">
    <w:abstractNumId w:val="22"/>
  </w:num>
  <w:num w:numId="43" w16cid:durableId="51388584">
    <w:abstractNumId w:val="24"/>
  </w:num>
  <w:num w:numId="44" w16cid:durableId="1831095460">
    <w:abstractNumId w:val="1"/>
  </w:num>
  <w:num w:numId="45" w16cid:durableId="2139641197">
    <w:abstractNumId w:val="55"/>
  </w:num>
  <w:num w:numId="46" w16cid:durableId="1312096984">
    <w:abstractNumId w:val="0"/>
  </w:num>
  <w:num w:numId="47" w16cid:durableId="1286427575">
    <w:abstractNumId w:val="31"/>
  </w:num>
  <w:num w:numId="48" w16cid:durableId="173959349">
    <w:abstractNumId w:val="45"/>
  </w:num>
  <w:num w:numId="49" w16cid:durableId="1536890575">
    <w:abstractNumId w:val="23"/>
  </w:num>
  <w:num w:numId="50" w16cid:durableId="1447697055">
    <w:abstractNumId w:val="34"/>
  </w:num>
  <w:num w:numId="51" w16cid:durableId="383942618">
    <w:abstractNumId w:val="4"/>
  </w:num>
  <w:num w:numId="52" w16cid:durableId="1645113753">
    <w:abstractNumId w:val="12"/>
  </w:num>
  <w:num w:numId="53" w16cid:durableId="451024776">
    <w:abstractNumId w:val="27"/>
  </w:num>
  <w:num w:numId="54" w16cid:durableId="562914803">
    <w:abstractNumId w:val="51"/>
  </w:num>
  <w:num w:numId="55" w16cid:durableId="1579291912">
    <w:abstractNumId w:val="41"/>
  </w:num>
  <w:num w:numId="56" w16cid:durableId="199906341">
    <w:abstractNumId w:val="56"/>
  </w:num>
  <w:num w:numId="57" w16cid:durableId="1146702873">
    <w:abstractNumId w:val="40"/>
  </w:num>
  <w:num w:numId="58" w16cid:durableId="507595630">
    <w:abstractNumId w:val="17"/>
  </w:num>
  <w:num w:numId="59" w16cid:durableId="1493259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84"/>
    <w:rsid w:val="001E417F"/>
    <w:rsid w:val="004866DE"/>
    <w:rsid w:val="005213D6"/>
    <w:rsid w:val="008774FB"/>
    <w:rsid w:val="00AF2370"/>
    <w:rsid w:val="00D23D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35B8"/>
  <w15:chartTrackingRefBased/>
  <w15:docId w15:val="{22C6698E-FF54-40B0-B0FA-7DE32A57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D84"/>
    <w:rPr>
      <w:rFonts w:eastAsiaTheme="majorEastAsia" w:cstheme="majorBidi"/>
      <w:color w:val="272727" w:themeColor="text1" w:themeTint="D8"/>
    </w:rPr>
  </w:style>
  <w:style w:type="paragraph" w:styleId="Title">
    <w:name w:val="Title"/>
    <w:basedOn w:val="Normal"/>
    <w:next w:val="Normal"/>
    <w:link w:val="TitleChar"/>
    <w:uiPriority w:val="10"/>
    <w:qFormat/>
    <w:rsid w:val="00D23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D84"/>
    <w:pPr>
      <w:spacing w:before="160"/>
      <w:jc w:val="center"/>
    </w:pPr>
    <w:rPr>
      <w:i/>
      <w:iCs/>
      <w:color w:val="404040" w:themeColor="text1" w:themeTint="BF"/>
    </w:rPr>
  </w:style>
  <w:style w:type="character" w:customStyle="1" w:styleId="QuoteChar">
    <w:name w:val="Quote Char"/>
    <w:basedOn w:val="DefaultParagraphFont"/>
    <w:link w:val="Quote"/>
    <w:uiPriority w:val="29"/>
    <w:rsid w:val="00D23D84"/>
    <w:rPr>
      <w:i/>
      <w:iCs/>
      <w:color w:val="404040" w:themeColor="text1" w:themeTint="BF"/>
    </w:rPr>
  </w:style>
  <w:style w:type="paragraph" w:styleId="ListParagraph">
    <w:name w:val="List Paragraph"/>
    <w:basedOn w:val="Normal"/>
    <w:uiPriority w:val="34"/>
    <w:qFormat/>
    <w:rsid w:val="00D23D84"/>
    <w:pPr>
      <w:ind w:left="720"/>
      <w:contextualSpacing/>
    </w:pPr>
  </w:style>
  <w:style w:type="character" w:styleId="IntenseEmphasis">
    <w:name w:val="Intense Emphasis"/>
    <w:basedOn w:val="DefaultParagraphFont"/>
    <w:uiPriority w:val="21"/>
    <w:qFormat/>
    <w:rsid w:val="00D23D84"/>
    <w:rPr>
      <w:i/>
      <w:iCs/>
      <w:color w:val="0F4761" w:themeColor="accent1" w:themeShade="BF"/>
    </w:rPr>
  </w:style>
  <w:style w:type="paragraph" w:styleId="IntenseQuote">
    <w:name w:val="Intense Quote"/>
    <w:basedOn w:val="Normal"/>
    <w:next w:val="Normal"/>
    <w:link w:val="IntenseQuoteChar"/>
    <w:uiPriority w:val="30"/>
    <w:qFormat/>
    <w:rsid w:val="00D23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D84"/>
    <w:rPr>
      <w:i/>
      <w:iCs/>
      <w:color w:val="0F4761" w:themeColor="accent1" w:themeShade="BF"/>
    </w:rPr>
  </w:style>
  <w:style w:type="character" w:styleId="IntenseReference">
    <w:name w:val="Intense Reference"/>
    <w:basedOn w:val="DefaultParagraphFont"/>
    <w:uiPriority w:val="32"/>
    <w:qFormat/>
    <w:rsid w:val="00D23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2677">
      <w:bodyDiv w:val="1"/>
      <w:marLeft w:val="0"/>
      <w:marRight w:val="0"/>
      <w:marTop w:val="0"/>
      <w:marBottom w:val="0"/>
      <w:divBdr>
        <w:top w:val="none" w:sz="0" w:space="0" w:color="auto"/>
        <w:left w:val="none" w:sz="0" w:space="0" w:color="auto"/>
        <w:bottom w:val="none" w:sz="0" w:space="0" w:color="auto"/>
        <w:right w:val="none" w:sz="0" w:space="0" w:color="auto"/>
      </w:divBdr>
    </w:div>
    <w:div w:id="331879573">
      <w:bodyDiv w:val="1"/>
      <w:marLeft w:val="0"/>
      <w:marRight w:val="0"/>
      <w:marTop w:val="0"/>
      <w:marBottom w:val="0"/>
      <w:divBdr>
        <w:top w:val="none" w:sz="0" w:space="0" w:color="auto"/>
        <w:left w:val="none" w:sz="0" w:space="0" w:color="auto"/>
        <w:bottom w:val="none" w:sz="0" w:space="0" w:color="auto"/>
        <w:right w:val="none" w:sz="0" w:space="0" w:color="auto"/>
      </w:divBdr>
    </w:div>
    <w:div w:id="946039764">
      <w:bodyDiv w:val="1"/>
      <w:marLeft w:val="0"/>
      <w:marRight w:val="0"/>
      <w:marTop w:val="0"/>
      <w:marBottom w:val="0"/>
      <w:divBdr>
        <w:top w:val="none" w:sz="0" w:space="0" w:color="auto"/>
        <w:left w:val="none" w:sz="0" w:space="0" w:color="auto"/>
        <w:bottom w:val="none" w:sz="0" w:space="0" w:color="auto"/>
        <w:right w:val="none" w:sz="0" w:space="0" w:color="auto"/>
      </w:divBdr>
    </w:div>
    <w:div w:id="970793774">
      <w:bodyDiv w:val="1"/>
      <w:marLeft w:val="0"/>
      <w:marRight w:val="0"/>
      <w:marTop w:val="0"/>
      <w:marBottom w:val="0"/>
      <w:divBdr>
        <w:top w:val="none" w:sz="0" w:space="0" w:color="auto"/>
        <w:left w:val="none" w:sz="0" w:space="0" w:color="auto"/>
        <w:bottom w:val="none" w:sz="0" w:space="0" w:color="auto"/>
        <w:right w:val="none" w:sz="0" w:space="0" w:color="auto"/>
      </w:divBdr>
    </w:div>
    <w:div w:id="1223836103">
      <w:bodyDiv w:val="1"/>
      <w:marLeft w:val="0"/>
      <w:marRight w:val="0"/>
      <w:marTop w:val="0"/>
      <w:marBottom w:val="0"/>
      <w:divBdr>
        <w:top w:val="none" w:sz="0" w:space="0" w:color="auto"/>
        <w:left w:val="none" w:sz="0" w:space="0" w:color="auto"/>
        <w:bottom w:val="none" w:sz="0" w:space="0" w:color="auto"/>
        <w:right w:val="none" w:sz="0" w:space="0" w:color="auto"/>
      </w:divBdr>
    </w:div>
    <w:div w:id="1253515842">
      <w:bodyDiv w:val="1"/>
      <w:marLeft w:val="0"/>
      <w:marRight w:val="0"/>
      <w:marTop w:val="0"/>
      <w:marBottom w:val="0"/>
      <w:divBdr>
        <w:top w:val="none" w:sz="0" w:space="0" w:color="auto"/>
        <w:left w:val="none" w:sz="0" w:space="0" w:color="auto"/>
        <w:bottom w:val="none" w:sz="0" w:space="0" w:color="auto"/>
        <w:right w:val="none" w:sz="0" w:space="0" w:color="auto"/>
      </w:divBdr>
    </w:div>
    <w:div w:id="1448114376">
      <w:bodyDiv w:val="1"/>
      <w:marLeft w:val="0"/>
      <w:marRight w:val="0"/>
      <w:marTop w:val="0"/>
      <w:marBottom w:val="0"/>
      <w:divBdr>
        <w:top w:val="none" w:sz="0" w:space="0" w:color="auto"/>
        <w:left w:val="none" w:sz="0" w:space="0" w:color="auto"/>
        <w:bottom w:val="none" w:sz="0" w:space="0" w:color="auto"/>
        <w:right w:val="none" w:sz="0" w:space="0" w:color="auto"/>
      </w:divBdr>
    </w:div>
    <w:div w:id="15804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1115</Words>
  <Characters>6361</Characters>
  <Application>Microsoft Office Word</Application>
  <DocSecurity>0</DocSecurity>
  <Lines>53</Lines>
  <Paragraphs>14</Paragraphs>
  <ScaleCrop>false</ScaleCrop>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MUQDAD ELNEAMA</dc:creator>
  <cp:keywords/>
  <dc:description/>
  <cp:lastModifiedBy>MUQDAD ELNEAMA</cp:lastModifiedBy>
  <cp:revision>5</cp:revision>
  <dcterms:created xsi:type="dcterms:W3CDTF">2025-07-31T14:50:00Z</dcterms:created>
  <dcterms:modified xsi:type="dcterms:W3CDTF">2025-07-31T19:08:00Z</dcterms:modified>
</cp:coreProperties>
</file>