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help you move from the pilot phase to a commercial-scale operation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120 raceways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I’ve outlined the primary infrastructure requirements and the estimated power consumption. This data is essential for your business plan to demonstrate a clear understanding of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(Capital Expenditure)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(Operating Expenditure).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Line-Item Equipment List (Estimates)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list assumes a central pump station feeding a manifold that distributes water across your 120-unit array.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Specification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Main Intake Pumps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5.5kW - 7.5kW Mixed Flow (IP66)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 Duty, 1 Standby (Redundancy).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VFD Controllers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7.5kW Inverter (IP66 rated)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Speed control for exchange rate adjustment.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Main Trunk 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250mm - 315mm HDPE (PN10)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~150m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Main artery to  move $180\text{ m}^3\text{/hr}$.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Distribution Manifold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160mm - 200mm PVC-U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4-6 Lines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Feeds rows of 20-30 raceways each.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Raceway Inlets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40mm Ball Valve + Flow 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120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Precise $25\text{ L/min}$ control per tank.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Paddlewheel Motors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0.37kW Brushless 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120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Internal circulation and "Cleaning Pulse."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Control Logic (PLC)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Centralized Industrial Controller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Automates the cleaning pulses and alarms.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Power Consumption Estimate (OPEX)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Electricity is often the second-highest cost after feed in land-based aquaculture. For 120 raceways, here is your daily draw: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 Intake Pumping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Average Load: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$5.5\text{ kW}$ (Running 24/7).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Daily Consumption: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$132\text{ kWh}$.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Paddlewheels (The "Stirrers")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 Mode (23 hrs):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120 units at $0.05\text{ kW}$ load = $138\text{ kWh}$.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Cleaning Pulse (1 hr):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120 units at $0.25\text{ kW}$ load = $30\text{ kWh}$.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Daily Consumption: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$168\text{ kWh}$.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Estimated Daily Draw: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$300\text{ kWh}$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Business Plan 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an average Australian commercial rate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$0.25\text{ per kWh}$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your daily power cost would be approximately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$75.00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($27,375 per year).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Engineering Strategy for Fundraising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presenting to investors or banks, emphasize these three "Efficiency Pillars" inherent in your design: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Hydraulic 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using large-diameter pipes (315mm), we minimize "friction loss," allowing us to use smaller, cheaper-to-run pumps to move the same volume of water.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Decoupled Flow: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achieve high-velocity cleaning with small paddlewheel motors ($0.37\text{kW}$) rather than trying to achieve that velocity through massive water exchange, which would require $5\times$ more pumping power.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Modular Scalability: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is designed in "Banks of 20." This allows you to start month 1 with 20 raceways and scale up to 120 by month 7 without redesigning the primary intake.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Immediate Technical Consideration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With 120 raceways, you will generate a significant volume of "waste-heavy" water during the cleaning pulses.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Engineering Tip: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need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Central Drainage Channel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capable of handling a surge of water. I recommend a sloped concrete or fiberglass "V-trough" running between the rows of raceways, leading to a settling pond or mechanical drum filter before the water is discharged or recirculated.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Suggested Next Step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Would you like me to draft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"Risk Mitigation" section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your manual? This would cover the protocols for a total power failure—specifically how to maintain dissolved oxygen in those 120 shallow tanks until the backup generator kicks 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